
<file path=[Content_Types].xml><?xml version="1.0" encoding="utf-8"?>
<Types xmlns="http://schemas.openxmlformats.org/package/2006/content-types">
  <Default Extension="png" ContentType="image/png"/>
  <Default Extension="tmp"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5B85" w:rsidRPr="0097484C" w:rsidRDefault="005D5B85" w:rsidP="005D5B85">
      <w:pPr>
        <w:pStyle w:val="Heading6"/>
        <w:pageBreakBefore w:val="0"/>
        <w:framePr w:hSpace="1134" w:wrap="around" w:vAnchor="page" w:hAnchor="page" w:x="97" w:y="2041"/>
        <w:numPr>
          <w:ilvl w:val="0"/>
          <w:numId w:val="0"/>
        </w:numPr>
        <w:spacing w:after="0" w:line="14" w:lineRule="exact"/>
        <w:ind w:left="-1134"/>
        <w:rPr>
          <w:b/>
          <w:i w:val="0"/>
          <w:color w:val="FFFFFF"/>
          <w:sz w:val="14"/>
          <w:szCs w:val="14"/>
        </w:rPr>
      </w:pPr>
    </w:p>
    <w:p w:rsidR="00BC4823" w:rsidRPr="0097484C" w:rsidRDefault="00BC4823" w:rsidP="00BC4823">
      <w:pPr>
        <w:pStyle w:val="Heading6"/>
        <w:pageBreakBefore w:val="0"/>
        <w:framePr w:hSpace="1134" w:wrap="around" w:vAnchor="page" w:hAnchor="page" w:x="97" w:y="3481"/>
        <w:numPr>
          <w:ilvl w:val="0"/>
          <w:numId w:val="0"/>
        </w:numPr>
        <w:spacing w:after="0" w:line="14" w:lineRule="exact"/>
        <w:ind w:left="-1134"/>
        <w:rPr>
          <w:b/>
          <w:i w:val="0"/>
          <w:color w:val="FFFFFF"/>
          <w:sz w:val="14"/>
          <w:szCs w:val="14"/>
        </w:rPr>
      </w:pPr>
    </w:p>
    <w:tbl>
      <w:tblPr>
        <w:tblStyle w:val="TableGrid"/>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505"/>
      </w:tblGrid>
      <w:tr w:rsidR="00612FD3" w:rsidTr="00301B6D">
        <w:trPr>
          <w:cantSplit/>
          <w:trHeight w:hRule="exact" w:val="1150"/>
        </w:trPr>
        <w:tc>
          <w:tcPr>
            <w:tcW w:w="8505" w:type="dxa"/>
          </w:tcPr>
          <w:p w:rsidR="00612FD3" w:rsidRDefault="00612FD3" w:rsidP="00301B6D">
            <w:pPr>
              <w:pStyle w:val="Confidential"/>
              <w:jc w:val="right"/>
            </w:pPr>
            <w:bookmarkStart w:id="0" w:name="_GoBack"/>
          </w:p>
        </w:tc>
      </w:tr>
      <w:tr w:rsidR="00612FD3" w:rsidTr="00301B6D">
        <w:trPr>
          <w:cantSplit/>
          <w:trHeight w:val="1968"/>
        </w:trPr>
        <w:tc>
          <w:tcPr>
            <w:tcW w:w="8505" w:type="dxa"/>
          </w:tcPr>
          <w:p w:rsidR="00612FD3" w:rsidRDefault="00612FD3" w:rsidP="00301B6D">
            <w:pPr>
              <w:pStyle w:val="BodyText"/>
              <w:spacing w:before="0"/>
            </w:pPr>
          </w:p>
        </w:tc>
      </w:tr>
      <w:tr w:rsidR="00612FD3" w:rsidTr="00301B6D">
        <w:trPr>
          <w:cantSplit/>
          <w:trHeight w:val="2988"/>
        </w:trPr>
        <w:tc>
          <w:tcPr>
            <w:tcW w:w="8505" w:type="dxa"/>
          </w:tcPr>
          <w:p w:rsidR="00612FD3" w:rsidRDefault="00612FD3" w:rsidP="00301B6D">
            <w:pPr>
              <w:pStyle w:val="Title"/>
            </w:pPr>
            <w:r>
              <w:t>Decision Regulation Impact Statement</w:t>
            </w:r>
          </w:p>
          <w:p w:rsidR="00612FD3" w:rsidRPr="0089278E" w:rsidRDefault="00612FD3" w:rsidP="00301B6D">
            <w:pPr>
              <w:pStyle w:val="Subtitle"/>
            </w:pPr>
            <w:r w:rsidRPr="00A66B27">
              <w:rPr>
                <w:color w:val="000000" w:themeColor="text1"/>
              </w:rPr>
              <w:t>Energy Efficiency of Commercial Buildings</w:t>
            </w:r>
          </w:p>
        </w:tc>
      </w:tr>
      <w:tr w:rsidR="00C74C79" w:rsidTr="00C74C79">
        <w:trPr>
          <w:cantSplit/>
          <w:trHeight w:hRule="exact" w:val="3640"/>
        </w:trPr>
        <w:tc>
          <w:tcPr>
            <w:tcW w:w="8505" w:type="dxa"/>
          </w:tcPr>
          <w:p w:rsidR="00C74C79" w:rsidRDefault="00C74C79" w:rsidP="00301B6D">
            <w:pPr>
              <w:pStyle w:val="BodyText"/>
            </w:pPr>
          </w:p>
        </w:tc>
      </w:tr>
      <w:tr w:rsidR="00612FD3" w:rsidTr="00301B6D">
        <w:trPr>
          <w:cantSplit/>
          <w:trHeight w:val="4224"/>
        </w:trPr>
        <w:tc>
          <w:tcPr>
            <w:tcW w:w="8505" w:type="dxa"/>
          </w:tcPr>
          <w:p w:rsidR="00612FD3" w:rsidRDefault="00612FD3" w:rsidP="00301B6D">
            <w:pPr>
              <w:pStyle w:val="Client"/>
              <w:spacing w:before="280"/>
            </w:pPr>
            <w:r w:rsidRPr="001647E4">
              <w:t>Prepared for</w:t>
            </w:r>
          </w:p>
          <w:p w:rsidR="00612FD3" w:rsidRDefault="00612FD3" w:rsidP="00612FD3">
            <w:pPr>
              <w:pStyle w:val="Client"/>
            </w:pPr>
            <w:r>
              <w:t>Australian Building Codes Board</w:t>
            </w:r>
          </w:p>
          <w:p w:rsidR="00612FD3" w:rsidRPr="009E7DDD" w:rsidRDefault="00B14AF9" w:rsidP="00301B6D">
            <w:pPr>
              <w:pStyle w:val="Date"/>
            </w:pPr>
            <w:r>
              <w:t>13</w:t>
            </w:r>
            <w:r w:rsidR="00D452D8">
              <w:t xml:space="preserve"> </w:t>
            </w:r>
            <w:r w:rsidR="00251538">
              <w:t>November 2018</w:t>
            </w:r>
          </w:p>
        </w:tc>
      </w:tr>
      <w:tr w:rsidR="00612FD3" w:rsidTr="00301B6D">
        <w:trPr>
          <w:cantSplit/>
          <w:trHeight w:val="419"/>
        </w:trPr>
        <w:tc>
          <w:tcPr>
            <w:tcW w:w="8505" w:type="dxa"/>
          </w:tcPr>
          <w:p w:rsidR="00612FD3" w:rsidRPr="00F062BF" w:rsidRDefault="00612FD3" w:rsidP="00301B6D">
            <w:pPr>
              <w:pStyle w:val="BodyText"/>
              <w:spacing w:before="0"/>
              <w:rPr>
                <w:rFonts w:ascii="Franklin Gothic Demi" w:hAnsi="Franklin Gothic Demi"/>
                <w:caps/>
                <w:spacing w:val="10"/>
                <w:sz w:val="20"/>
              </w:rPr>
            </w:pPr>
            <w:r w:rsidRPr="00F062BF">
              <w:rPr>
                <w:rFonts w:ascii="Franklin Gothic Demi" w:hAnsi="Franklin Gothic Demi"/>
                <w:caps/>
                <w:spacing w:val="10"/>
                <w:sz w:val="20"/>
              </w:rPr>
              <w:t>The Centre for International Economics</w:t>
            </w:r>
          </w:p>
          <w:p w:rsidR="00612FD3" w:rsidRPr="00DA40B0" w:rsidRDefault="00612FD3" w:rsidP="00301B6D">
            <w:pPr>
              <w:pStyle w:val="BodyText"/>
              <w:spacing w:before="0"/>
              <w:rPr>
                <w:i/>
                <w:color w:val="9B917E" w:themeColor="accent4"/>
                <w:spacing w:val="10"/>
                <w:sz w:val="25"/>
              </w:rPr>
            </w:pPr>
            <w:r w:rsidRPr="00DA40B0">
              <w:rPr>
                <w:i/>
                <w:color w:val="9B917E" w:themeColor="accent4"/>
                <w:spacing w:val="10"/>
                <w:sz w:val="25"/>
              </w:rPr>
              <w:t>www.TheCIE.com.au</w:t>
            </w:r>
          </w:p>
        </w:tc>
      </w:tr>
    </w:tbl>
    <w:bookmarkEnd w:id="0"/>
    <w:p w:rsidR="002A5062" w:rsidRDefault="00612FD3" w:rsidP="00612FD3">
      <w:pPr>
        <w:pStyle w:val="BodyText"/>
        <w:spacing w:before="0" w:line="240" w:lineRule="auto"/>
      </w:pPr>
      <w:r>
        <w:rPr>
          <w:noProof/>
        </w:rPr>
        <w:drawing>
          <wp:anchor distT="0" distB="0" distL="114300" distR="114300" simplePos="0" relativeHeight="251658240" behindDoc="1" locked="1" layoutInCell="0" allowOverlap="1" wp14:anchorId="79F2431F" wp14:editId="5E05EDC7">
            <wp:simplePos x="0" y="0"/>
            <wp:positionH relativeFrom="page">
              <wp:posOffset>0</wp:posOffset>
            </wp:positionH>
            <wp:positionV relativeFrom="page">
              <wp:posOffset>0</wp:posOffset>
            </wp:positionV>
            <wp:extent cx="7560000" cy="10692000"/>
            <wp:effectExtent l="0" t="0" r="3175" b="0"/>
            <wp:wrapNone/>
            <wp:docPr id="4" name="Picture 4">
              <a:extLst xmlns:a="http://schemas.openxmlformats.org/drawingml/2006/main">
                <a:ext uri="{C183D7F6-B498-43B3-948B-1728B52AA6E4}">
                  <adec:decorative xmlns:adec="http://schemas.microsoft.com/office/drawing/2017/decorative" xmlns:w="http://schemas.openxmlformats.org/wordprocessingml/2006/main" xmlns:w10="urn:schemas-microsoft-com:office:word" xmlns:v="urn:schemas-microsoft-com:vml" xmlns:o="urn:schemas-microsoft-com:office:office"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_no_imag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p w:rsidR="008F1A78" w:rsidRDefault="008F1A78" w:rsidP="00656D2E">
      <w:pPr>
        <w:rPr>
          <w:lang w:bidi="fa-IR"/>
        </w:rPr>
      </w:pPr>
    </w:p>
    <w:p w:rsidR="008F1A78" w:rsidRDefault="008F1A78" w:rsidP="00656D2E">
      <w:pPr>
        <w:rPr>
          <w:lang w:bidi="fa-IR"/>
        </w:rPr>
        <w:sectPr w:rsidR="008F1A78" w:rsidSect="001B3438">
          <w:headerReference w:type="default" r:id="rId13"/>
          <w:footerReference w:type="even" r:id="rId14"/>
          <w:pgSz w:w="11906" w:h="16838" w:code="9"/>
          <w:pgMar w:top="1145" w:right="1701" w:bottom="284" w:left="2268" w:header="680" w:footer="57" w:gutter="0"/>
          <w:cols w:space="708"/>
          <w:docGrid w:linePitch="360"/>
        </w:sectPr>
      </w:pPr>
    </w:p>
    <w:p w:rsidR="00721CE9" w:rsidRDefault="00721CE9" w:rsidP="00721CE9">
      <w:pPr>
        <w:pStyle w:val="BodyText"/>
        <w:pageBreakBefore/>
        <w:spacing w:before="0"/>
      </w:pPr>
      <w:bookmarkStart w:id="1" w:name="SummaryPage"/>
      <w:r>
        <w:lastRenderedPageBreak/>
        <w:t>The Centre for International Economics is a private economic research agency that provides professional, independent and timely analysis of international and domestic events and policies.</w:t>
      </w:r>
    </w:p>
    <w:p w:rsidR="00721CE9" w:rsidRDefault="00721CE9" w:rsidP="00721CE9">
      <w:pPr>
        <w:pStyle w:val="BodyText"/>
      </w:pPr>
      <w:r>
        <w:t>The CIE’s professional staff arrange, undertake and publish commissioned economic research and analysis for industry, corporations, governments, international agencies and individuals.</w:t>
      </w:r>
    </w:p>
    <w:p w:rsidR="00721CE9" w:rsidRPr="00A838D1" w:rsidRDefault="00721CE9" w:rsidP="00B876DC">
      <w:pPr>
        <w:pStyle w:val="BodyText"/>
        <w:spacing w:before="1800"/>
      </w:pPr>
      <w:r w:rsidRPr="00A838D1">
        <w:t xml:space="preserve">© Centre for International Economics </w:t>
      </w:r>
      <w:r w:rsidRPr="00A838D1">
        <w:fldChar w:fldCharType="begin"/>
      </w:r>
      <w:r w:rsidRPr="00A838D1">
        <w:instrText xml:space="preserve"> SAVEDATE  \@ "yyyy"  \* MERGEFORMAT </w:instrText>
      </w:r>
      <w:r w:rsidRPr="00A838D1">
        <w:fldChar w:fldCharType="separate"/>
      </w:r>
      <w:r w:rsidR="00EA42ED">
        <w:rPr>
          <w:noProof/>
        </w:rPr>
        <w:t>2019</w:t>
      </w:r>
      <w:r w:rsidRPr="00A838D1">
        <w:fldChar w:fldCharType="end"/>
      </w:r>
    </w:p>
    <w:p w:rsidR="00721CE9" w:rsidRDefault="00721CE9" w:rsidP="00721CE9">
      <w:pPr>
        <w:pStyle w:val="BodyText"/>
        <w:spacing w:before="80"/>
      </w:pPr>
      <w:r w:rsidRPr="00511766">
        <w:t>This work is copyright. Individuals, agencies and corporations wishing to reproduce this material should contact the Centre for International Economics at one of the following addresses.</w:t>
      </w:r>
    </w:p>
    <w:p w:rsidR="00B876DC" w:rsidRDefault="00B876DC" w:rsidP="00B876DC">
      <w:pPr>
        <w:pStyle w:val="BodyText"/>
        <w:spacing w:before="80"/>
        <w:sectPr w:rsidR="00B876DC" w:rsidSect="00A838D1">
          <w:headerReference w:type="even" r:id="rId15"/>
          <w:headerReference w:type="default" r:id="rId16"/>
          <w:footerReference w:type="even" r:id="rId17"/>
          <w:footerReference w:type="default" r:id="rId18"/>
          <w:pgSz w:w="11906" w:h="16838" w:code="9"/>
          <w:pgMar w:top="2268" w:right="1701" w:bottom="567" w:left="2268" w:header="680" w:footer="113" w:gutter="0"/>
          <w:cols w:space="708"/>
          <w:docGrid w:linePitch="360"/>
        </w:sectPr>
      </w:pPr>
    </w:p>
    <w:p w:rsidR="00B876DC" w:rsidRPr="00B876DC" w:rsidRDefault="00B876DC" w:rsidP="00B876DC">
      <w:pPr>
        <w:pStyle w:val="DisclaimerHeading"/>
        <w:spacing w:before="840"/>
      </w:pPr>
      <w:r w:rsidRPr="00B876DC">
        <w:t>CANBERRA</w:t>
      </w:r>
    </w:p>
    <w:p w:rsidR="00B876DC" w:rsidRDefault="00B876DC" w:rsidP="00B876DC">
      <w:pPr>
        <w:pStyle w:val="BodyText"/>
        <w:spacing w:before="80"/>
      </w:pPr>
      <w:r>
        <w:t xml:space="preserve">Centre for International Economics </w:t>
      </w:r>
    </w:p>
    <w:p w:rsidR="00B876DC" w:rsidRDefault="00B876DC" w:rsidP="00B876DC">
      <w:pPr>
        <w:pStyle w:val="BodyText"/>
        <w:spacing w:before="80"/>
      </w:pPr>
      <w:r>
        <w:t xml:space="preserve">Ground Floor, 11 Lancaster Place </w:t>
      </w:r>
    </w:p>
    <w:p w:rsidR="00B876DC" w:rsidRDefault="00B876DC" w:rsidP="00B876DC">
      <w:pPr>
        <w:pStyle w:val="BodyText"/>
        <w:spacing w:before="80"/>
      </w:pPr>
      <w:r>
        <w:t>Majura Park</w:t>
      </w:r>
    </w:p>
    <w:p w:rsidR="00B876DC" w:rsidRDefault="00B876DC" w:rsidP="00B876DC">
      <w:pPr>
        <w:pStyle w:val="BodyText"/>
        <w:spacing w:before="80"/>
      </w:pPr>
      <w:r>
        <w:t xml:space="preserve">Canberra ACT 2609 </w:t>
      </w:r>
    </w:p>
    <w:p w:rsidR="00B876DC" w:rsidRDefault="00B876DC" w:rsidP="00B876DC">
      <w:pPr>
        <w:pStyle w:val="BodyText"/>
        <w:spacing w:before="80"/>
      </w:pPr>
      <w:r>
        <w:t xml:space="preserve">GPO Box 2203 </w:t>
      </w:r>
    </w:p>
    <w:p w:rsidR="00B876DC" w:rsidRDefault="00B876DC" w:rsidP="00B876DC">
      <w:pPr>
        <w:pStyle w:val="BodyText"/>
        <w:spacing w:before="80"/>
      </w:pPr>
      <w:r>
        <w:t>Canberra ACT Australia 2601</w:t>
      </w:r>
    </w:p>
    <w:p w:rsidR="00B876DC" w:rsidRDefault="00B876DC" w:rsidP="00B876DC">
      <w:pPr>
        <w:pStyle w:val="BodyText"/>
        <w:spacing w:before="80"/>
      </w:pPr>
      <w:r>
        <w:t>Telephone</w:t>
      </w:r>
      <w:r>
        <w:tab/>
        <w:t xml:space="preserve">+61 2 6245 7800 </w:t>
      </w:r>
    </w:p>
    <w:p w:rsidR="00B876DC" w:rsidRDefault="00B876DC" w:rsidP="00B876DC">
      <w:pPr>
        <w:pStyle w:val="BodyText"/>
        <w:spacing w:before="80"/>
      </w:pPr>
      <w:r>
        <w:t xml:space="preserve">Facsimile </w:t>
      </w:r>
      <w:r>
        <w:tab/>
        <w:t xml:space="preserve">+61 2 6245 7888 </w:t>
      </w:r>
    </w:p>
    <w:p w:rsidR="00B876DC" w:rsidRDefault="00B876DC" w:rsidP="00B876DC">
      <w:pPr>
        <w:pStyle w:val="DisclaimerHeading"/>
        <w:spacing w:before="960"/>
      </w:pPr>
      <w:r>
        <w:t>SYDNEY</w:t>
      </w:r>
    </w:p>
    <w:p w:rsidR="00B876DC" w:rsidRDefault="00B876DC" w:rsidP="00B876DC">
      <w:pPr>
        <w:pStyle w:val="BodyText"/>
        <w:spacing w:before="80"/>
      </w:pPr>
      <w:r>
        <w:t xml:space="preserve">Centre for International Economics </w:t>
      </w:r>
    </w:p>
    <w:p w:rsidR="00B876DC" w:rsidRDefault="00B876DC" w:rsidP="00B876DC">
      <w:pPr>
        <w:pStyle w:val="BodyText"/>
        <w:spacing w:before="80"/>
      </w:pPr>
      <w:r>
        <w:t xml:space="preserve">Level 7, 8 Spring Street </w:t>
      </w:r>
    </w:p>
    <w:p w:rsidR="00B876DC" w:rsidRDefault="00B876DC" w:rsidP="00B876DC">
      <w:pPr>
        <w:pStyle w:val="BodyText"/>
        <w:spacing w:before="80"/>
      </w:pPr>
      <w:r>
        <w:t>Sydney NSW 2000</w:t>
      </w:r>
    </w:p>
    <w:p w:rsidR="00B876DC" w:rsidRDefault="00B876DC" w:rsidP="00B876DC">
      <w:pPr>
        <w:pStyle w:val="BodyText"/>
        <w:spacing w:before="80"/>
      </w:pPr>
      <w:r>
        <w:t>Telephone</w:t>
      </w:r>
      <w:r>
        <w:tab/>
        <w:t xml:space="preserve">+61 2 9250 0800 </w:t>
      </w:r>
    </w:p>
    <w:p w:rsidR="00B876DC" w:rsidRDefault="00B876DC" w:rsidP="00B876DC">
      <w:pPr>
        <w:pStyle w:val="BodyText"/>
        <w:spacing w:before="80"/>
      </w:pPr>
      <w:r>
        <w:t>Email</w:t>
      </w:r>
      <w:r>
        <w:tab/>
        <w:t>ciesyd@TheCIE.com.au</w:t>
      </w:r>
    </w:p>
    <w:p w:rsidR="00B876DC" w:rsidRDefault="00B876DC" w:rsidP="00B876DC">
      <w:pPr>
        <w:pStyle w:val="BodyText"/>
        <w:spacing w:before="80"/>
        <w:sectPr w:rsidR="00B876DC" w:rsidSect="00B876DC">
          <w:type w:val="continuous"/>
          <w:pgSz w:w="11906" w:h="16838" w:code="9"/>
          <w:pgMar w:top="2268" w:right="1701" w:bottom="567" w:left="2268" w:header="680" w:footer="113" w:gutter="0"/>
          <w:cols w:num="2" w:space="708"/>
          <w:docGrid w:linePitch="360"/>
        </w:sectPr>
      </w:pPr>
      <w:r>
        <w:t>Website</w:t>
      </w:r>
      <w:r>
        <w:tab/>
        <w:t>www.TheCIE.com.au</w:t>
      </w:r>
      <w:r>
        <w:cr/>
      </w:r>
    </w:p>
    <w:p w:rsidR="00B876DC" w:rsidRDefault="00B876DC" w:rsidP="00B876DC">
      <w:pPr>
        <w:pStyle w:val="BodyText"/>
        <w:spacing w:before="0"/>
      </w:pPr>
      <w:r>
        <w:t>Website</w:t>
      </w:r>
      <w:r>
        <w:tab/>
      </w:r>
      <w:hyperlink r:id="rId19" w:history="1">
        <w:r w:rsidRPr="000F6E4E">
          <w:rPr>
            <w:rStyle w:val="Hyperlink"/>
          </w:rPr>
          <w:t>www.TheCIE.com.au</w:t>
        </w:r>
      </w:hyperlink>
      <w:r>
        <w:tab/>
      </w:r>
    </w:p>
    <w:p w:rsidR="00B876DC" w:rsidRDefault="00B876DC" w:rsidP="00B876DC">
      <w:pPr>
        <w:pStyle w:val="BodyText"/>
        <w:spacing w:before="80"/>
      </w:pPr>
      <w:r>
        <w:t>Email</w:t>
      </w:r>
      <w:r>
        <w:tab/>
      </w:r>
      <w:hyperlink r:id="rId20" w:history="1">
        <w:r w:rsidRPr="000F6E4E">
          <w:rPr>
            <w:rStyle w:val="Hyperlink"/>
          </w:rPr>
          <w:t>cie@TheCIE.com.au</w:t>
        </w:r>
      </w:hyperlink>
    </w:p>
    <w:p w:rsidR="00B876DC" w:rsidRDefault="00B876DC" w:rsidP="00B876DC">
      <w:pPr>
        <w:pStyle w:val="BodyText"/>
        <w:spacing w:before="80"/>
      </w:pPr>
    </w:p>
    <w:p w:rsidR="00B876DC" w:rsidRPr="00511766" w:rsidRDefault="00B876DC" w:rsidP="00B876DC">
      <w:pPr>
        <w:pStyle w:val="BodyText"/>
        <w:spacing w:before="80"/>
      </w:pPr>
      <w:r>
        <w:tab/>
      </w:r>
    </w:p>
    <w:p w:rsidR="005B1FD7" w:rsidRPr="00375BA6" w:rsidRDefault="005B1FD7" w:rsidP="00A838D1">
      <w:pPr>
        <w:pStyle w:val="DisclaimerHeading"/>
      </w:pPr>
      <w:r w:rsidRPr="00375BA6">
        <w:t>Disclaimer</w:t>
      </w:r>
    </w:p>
    <w:p w:rsidR="006730DA" w:rsidRDefault="001B25D3" w:rsidP="001B25D3">
      <w:pPr>
        <w:pStyle w:val="Disclaimer"/>
        <w:rPr>
          <w:lang w:bidi="fa-IR"/>
        </w:rPr>
      </w:pPr>
      <w:r>
        <w:t>While the CIE endeavours to provide reliable analysis and believes the material it presents is accurate, it will not be liable for any party acting on such information.</w:t>
      </w:r>
    </w:p>
    <w:p w:rsidR="001B25D3" w:rsidRDefault="001B25D3" w:rsidP="006730DA"/>
    <w:p w:rsidR="001B25D3" w:rsidRDefault="001B25D3" w:rsidP="006730DA">
      <w:pPr>
        <w:sectPr w:rsidR="001B25D3" w:rsidSect="00B876DC">
          <w:type w:val="continuous"/>
          <w:pgSz w:w="11906" w:h="16838" w:code="9"/>
          <w:pgMar w:top="2268" w:right="1701" w:bottom="567" w:left="2268" w:header="680" w:footer="113" w:gutter="0"/>
          <w:cols w:space="708"/>
          <w:docGrid w:linePitch="360"/>
        </w:sectPr>
      </w:pPr>
    </w:p>
    <w:p w:rsidR="00650F3E" w:rsidRDefault="00650F3E" w:rsidP="004E7620">
      <w:pPr>
        <w:pStyle w:val="Contents"/>
      </w:pPr>
      <w:bookmarkStart w:id="2" w:name="DeleteTOC"/>
      <w:bookmarkEnd w:id="1"/>
      <w:r>
        <w:lastRenderedPageBreak/>
        <w:t>Contents</w:t>
      </w:r>
    </w:p>
    <w:p w:rsidR="00B833F1" w:rsidRDefault="00650F3E">
      <w:pPr>
        <w:pStyle w:val="TOC1"/>
        <w:rPr>
          <w:rFonts w:asciiTheme="minorHAnsi" w:eastAsiaTheme="minorEastAsia" w:hAnsiTheme="minorHAnsi" w:cstheme="minorBidi"/>
          <w:noProof/>
          <w:sz w:val="22"/>
          <w:szCs w:val="22"/>
        </w:rPr>
      </w:pPr>
      <w:r w:rsidRPr="00876B40">
        <w:fldChar w:fldCharType="begin"/>
      </w:r>
      <w:r w:rsidRPr="00876B40">
        <w:instrText xml:space="preserve"> TOC \t "Heading 1,1</w:instrText>
      </w:r>
      <w:r w:rsidR="00D22E66">
        <w:instrText>,</w:instrText>
      </w:r>
      <w:r w:rsidR="008D3341" w:rsidRPr="008D3341">
        <w:instrText>Heading 1 NotNumbered</w:instrText>
      </w:r>
      <w:r w:rsidR="008D3341">
        <w:instrText>,1</w:instrText>
      </w:r>
      <w:r w:rsidRPr="00876B40">
        <w:instrText xml:space="preserve">,Heading 2,2,Heading </w:instrText>
      </w:r>
      <w:r>
        <w:instrText>6</w:instrText>
      </w:r>
      <w:r w:rsidRPr="00876B40">
        <w:instrText xml:space="preserve">,1,Part Title,4" </w:instrText>
      </w:r>
      <w:r w:rsidRPr="00876B40">
        <w:fldChar w:fldCharType="separate"/>
      </w:r>
      <w:r w:rsidR="00B833F1">
        <w:rPr>
          <w:noProof/>
        </w:rPr>
        <w:t>Abbreviations</w:t>
      </w:r>
      <w:r w:rsidR="00B833F1">
        <w:rPr>
          <w:noProof/>
        </w:rPr>
        <w:tab/>
      </w:r>
      <w:r w:rsidR="00B833F1">
        <w:rPr>
          <w:noProof/>
        </w:rPr>
        <w:fldChar w:fldCharType="begin"/>
      </w:r>
      <w:r w:rsidR="00B833F1">
        <w:rPr>
          <w:noProof/>
        </w:rPr>
        <w:instrText xml:space="preserve"> PAGEREF _Toc530748535 \h </w:instrText>
      </w:r>
      <w:r w:rsidR="00B833F1">
        <w:rPr>
          <w:noProof/>
        </w:rPr>
      </w:r>
      <w:r w:rsidR="00B833F1">
        <w:rPr>
          <w:noProof/>
        </w:rPr>
        <w:fldChar w:fldCharType="separate"/>
      </w:r>
      <w:r w:rsidR="00B833F1">
        <w:rPr>
          <w:noProof/>
        </w:rPr>
        <w:t>1</w:t>
      </w:r>
      <w:r w:rsidR="00B833F1">
        <w:rPr>
          <w:noProof/>
        </w:rPr>
        <w:fldChar w:fldCharType="end"/>
      </w:r>
    </w:p>
    <w:p w:rsidR="00B833F1" w:rsidRDefault="00B833F1">
      <w:pPr>
        <w:pStyle w:val="TOC1"/>
        <w:rPr>
          <w:rFonts w:asciiTheme="minorHAnsi" w:eastAsiaTheme="minorEastAsia" w:hAnsiTheme="minorHAnsi" w:cstheme="minorBidi"/>
          <w:noProof/>
          <w:sz w:val="22"/>
          <w:szCs w:val="22"/>
        </w:rPr>
      </w:pPr>
      <w:r>
        <w:rPr>
          <w:noProof/>
          <w:lang w:bidi="fa-IR"/>
        </w:rPr>
        <w:t>Executive summary</w:t>
      </w:r>
      <w:r>
        <w:rPr>
          <w:noProof/>
        </w:rPr>
        <w:tab/>
      </w:r>
      <w:r>
        <w:rPr>
          <w:noProof/>
        </w:rPr>
        <w:fldChar w:fldCharType="begin"/>
      </w:r>
      <w:r>
        <w:rPr>
          <w:noProof/>
        </w:rPr>
        <w:instrText xml:space="preserve"> PAGEREF _Toc530748536 \h </w:instrText>
      </w:r>
      <w:r>
        <w:rPr>
          <w:noProof/>
        </w:rPr>
      </w:r>
      <w:r>
        <w:rPr>
          <w:noProof/>
        </w:rPr>
        <w:fldChar w:fldCharType="separate"/>
      </w:r>
      <w:r>
        <w:rPr>
          <w:noProof/>
        </w:rPr>
        <w:t>4</w:t>
      </w:r>
      <w:r>
        <w:rPr>
          <w:noProof/>
        </w:rPr>
        <w:fldChar w:fldCharType="end"/>
      </w:r>
    </w:p>
    <w:p w:rsidR="00B833F1" w:rsidRDefault="00B833F1">
      <w:pPr>
        <w:pStyle w:val="TOC2"/>
        <w:rPr>
          <w:rFonts w:asciiTheme="minorHAnsi" w:eastAsiaTheme="minorEastAsia" w:hAnsiTheme="minorHAnsi" w:cstheme="minorBidi"/>
          <w:noProof/>
          <w:sz w:val="22"/>
          <w:szCs w:val="22"/>
        </w:rPr>
      </w:pPr>
      <w:r>
        <w:rPr>
          <w:noProof/>
          <w:lang w:bidi="fa-IR"/>
        </w:rPr>
        <w:t>Statement of the problem</w:t>
      </w:r>
      <w:r>
        <w:rPr>
          <w:noProof/>
        </w:rPr>
        <w:tab/>
      </w:r>
      <w:r>
        <w:rPr>
          <w:noProof/>
        </w:rPr>
        <w:fldChar w:fldCharType="begin"/>
      </w:r>
      <w:r>
        <w:rPr>
          <w:noProof/>
        </w:rPr>
        <w:instrText xml:space="preserve"> PAGEREF _Toc530748537 \h </w:instrText>
      </w:r>
      <w:r>
        <w:rPr>
          <w:noProof/>
        </w:rPr>
      </w:r>
      <w:r>
        <w:rPr>
          <w:noProof/>
        </w:rPr>
        <w:fldChar w:fldCharType="separate"/>
      </w:r>
      <w:r>
        <w:rPr>
          <w:noProof/>
        </w:rPr>
        <w:t>4</w:t>
      </w:r>
      <w:r>
        <w:rPr>
          <w:noProof/>
        </w:rPr>
        <w:fldChar w:fldCharType="end"/>
      </w:r>
    </w:p>
    <w:p w:rsidR="00B833F1" w:rsidRDefault="00B833F1">
      <w:pPr>
        <w:pStyle w:val="TOC2"/>
        <w:rPr>
          <w:rFonts w:asciiTheme="minorHAnsi" w:eastAsiaTheme="minorEastAsia" w:hAnsiTheme="minorHAnsi" w:cstheme="minorBidi"/>
          <w:noProof/>
          <w:sz w:val="22"/>
          <w:szCs w:val="22"/>
        </w:rPr>
      </w:pPr>
      <w:r>
        <w:rPr>
          <w:noProof/>
          <w:lang w:bidi="fa-IR"/>
        </w:rPr>
        <w:t>Objective and options</w:t>
      </w:r>
      <w:r>
        <w:rPr>
          <w:noProof/>
        </w:rPr>
        <w:tab/>
      </w:r>
      <w:r>
        <w:rPr>
          <w:noProof/>
        </w:rPr>
        <w:fldChar w:fldCharType="begin"/>
      </w:r>
      <w:r>
        <w:rPr>
          <w:noProof/>
        </w:rPr>
        <w:instrText xml:space="preserve"> PAGEREF _Toc530748538 \h </w:instrText>
      </w:r>
      <w:r>
        <w:rPr>
          <w:noProof/>
        </w:rPr>
      </w:r>
      <w:r>
        <w:rPr>
          <w:noProof/>
        </w:rPr>
        <w:fldChar w:fldCharType="separate"/>
      </w:r>
      <w:r>
        <w:rPr>
          <w:noProof/>
        </w:rPr>
        <w:t>5</w:t>
      </w:r>
      <w:r>
        <w:rPr>
          <w:noProof/>
        </w:rPr>
        <w:fldChar w:fldCharType="end"/>
      </w:r>
    </w:p>
    <w:p w:rsidR="00B833F1" w:rsidRDefault="00B833F1">
      <w:pPr>
        <w:pStyle w:val="TOC2"/>
        <w:rPr>
          <w:rFonts w:asciiTheme="minorHAnsi" w:eastAsiaTheme="minorEastAsia" w:hAnsiTheme="minorHAnsi" w:cstheme="minorBidi"/>
          <w:noProof/>
          <w:sz w:val="22"/>
          <w:szCs w:val="22"/>
        </w:rPr>
      </w:pPr>
      <w:r>
        <w:rPr>
          <w:noProof/>
          <w:lang w:bidi="fa-IR"/>
        </w:rPr>
        <w:t>Approach to the impact and cost-benefit analyses</w:t>
      </w:r>
      <w:r>
        <w:rPr>
          <w:noProof/>
        </w:rPr>
        <w:tab/>
      </w:r>
      <w:r>
        <w:rPr>
          <w:noProof/>
        </w:rPr>
        <w:fldChar w:fldCharType="begin"/>
      </w:r>
      <w:r>
        <w:rPr>
          <w:noProof/>
        </w:rPr>
        <w:instrText xml:space="preserve"> PAGEREF _Toc530748539 \h </w:instrText>
      </w:r>
      <w:r>
        <w:rPr>
          <w:noProof/>
        </w:rPr>
      </w:r>
      <w:r>
        <w:rPr>
          <w:noProof/>
        </w:rPr>
        <w:fldChar w:fldCharType="separate"/>
      </w:r>
      <w:r>
        <w:rPr>
          <w:noProof/>
        </w:rPr>
        <w:t>6</w:t>
      </w:r>
      <w:r>
        <w:rPr>
          <w:noProof/>
        </w:rPr>
        <w:fldChar w:fldCharType="end"/>
      </w:r>
    </w:p>
    <w:p w:rsidR="00B833F1" w:rsidRDefault="00B833F1">
      <w:pPr>
        <w:pStyle w:val="TOC2"/>
        <w:rPr>
          <w:rFonts w:asciiTheme="minorHAnsi" w:eastAsiaTheme="minorEastAsia" w:hAnsiTheme="minorHAnsi" w:cstheme="minorBidi"/>
          <w:noProof/>
          <w:sz w:val="22"/>
          <w:szCs w:val="22"/>
        </w:rPr>
      </w:pPr>
      <w:r>
        <w:rPr>
          <w:noProof/>
          <w:lang w:bidi="fa-IR"/>
        </w:rPr>
        <w:t>Estimated impacts</w:t>
      </w:r>
      <w:r>
        <w:rPr>
          <w:noProof/>
        </w:rPr>
        <w:tab/>
      </w:r>
      <w:r>
        <w:rPr>
          <w:noProof/>
        </w:rPr>
        <w:fldChar w:fldCharType="begin"/>
      </w:r>
      <w:r>
        <w:rPr>
          <w:noProof/>
        </w:rPr>
        <w:instrText xml:space="preserve"> PAGEREF _Toc530748540 \h </w:instrText>
      </w:r>
      <w:r>
        <w:rPr>
          <w:noProof/>
        </w:rPr>
      </w:r>
      <w:r>
        <w:rPr>
          <w:noProof/>
        </w:rPr>
        <w:fldChar w:fldCharType="separate"/>
      </w:r>
      <w:r>
        <w:rPr>
          <w:noProof/>
        </w:rPr>
        <w:t>8</w:t>
      </w:r>
      <w:r>
        <w:rPr>
          <w:noProof/>
        </w:rPr>
        <w:fldChar w:fldCharType="end"/>
      </w:r>
    </w:p>
    <w:p w:rsidR="00B833F1" w:rsidRDefault="00B833F1">
      <w:pPr>
        <w:pStyle w:val="TOC2"/>
        <w:rPr>
          <w:rFonts w:asciiTheme="minorHAnsi" w:eastAsiaTheme="minorEastAsia" w:hAnsiTheme="minorHAnsi" w:cstheme="minorBidi"/>
          <w:noProof/>
          <w:sz w:val="22"/>
          <w:szCs w:val="22"/>
        </w:rPr>
      </w:pPr>
      <w:r>
        <w:rPr>
          <w:noProof/>
          <w:lang w:bidi="fa-IR"/>
        </w:rPr>
        <w:t>Conclusions</w:t>
      </w:r>
      <w:r>
        <w:rPr>
          <w:noProof/>
        </w:rPr>
        <w:tab/>
      </w:r>
      <w:r>
        <w:rPr>
          <w:noProof/>
        </w:rPr>
        <w:fldChar w:fldCharType="begin"/>
      </w:r>
      <w:r>
        <w:rPr>
          <w:noProof/>
        </w:rPr>
        <w:instrText xml:space="preserve"> PAGEREF _Toc530748541 \h </w:instrText>
      </w:r>
      <w:r>
        <w:rPr>
          <w:noProof/>
        </w:rPr>
      </w:r>
      <w:r>
        <w:rPr>
          <w:noProof/>
        </w:rPr>
        <w:fldChar w:fldCharType="separate"/>
      </w:r>
      <w:r>
        <w:rPr>
          <w:noProof/>
        </w:rPr>
        <w:t>12</w:t>
      </w:r>
      <w:r>
        <w:rPr>
          <w:noProof/>
        </w:rPr>
        <w:fldChar w:fldCharType="end"/>
      </w:r>
    </w:p>
    <w:p w:rsidR="00B833F1" w:rsidRDefault="00B833F1">
      <w:pPr>
        <w:pStyle w:val="TOC1"/>
        <w:rPr>
          <w:rFonts w:asciiTheme="minorHAnsi" w:eastAsiaTheme="minorEastAsia" w:hAnsiTheme="minorHAnsi" w:cstheme="minorBidi"/>
          <w:noProof/>
          <w:sz w:val="22"/>
          <w:szCs w:val="22"/>
        </w:rPr>
      </w:pPr>
      <w:r>
        <w:rPr>
          <w:noProof/>
        </w:rPr>
        <w:t>1</w:t>
      </w:r>
      <w:r>
        <w:rPr>
          <w:rFonts w:asciiTheme="minorHAnsi" w:eastAsiaTheme="minorEastAsia" w:hAnsiTheme="minorHAnsi" w:cstheme="minorBidi"/>
          <w:noProof/>
          <w:sz w:val="22"/>
          <w:szCs w:val="22"/>
        </w:rPr>
        <w:tab/>
      </w:r>
      <w:r>
        <w:rPr>
          <w:noProof/>
        </w:rPr>
        <w:t>Background and introduction</w:t>
      </w:r>
      <w:r>
        <w:rPr>
          <w:noProof/>
        </w:rPr>
        <w:tab/>
      </w:r>
      <w:r>
        <w:rPr>
          <w:noProof/>
        </w:rPr>
        <w:fldChar w:fldCharType="begin"/>
      </w:r>
      <w:r>
        <w:rPr>
          <w:noProof/>
        </w:rPr>
        <w:instrText xml:space="preserve"> PAGEREF _Toc530748542 \h </w:instrText>
      </w:r>
      <w:r>
        <w:rPr>
          <w:noProof/>
        </w:rPr>
      </w:r>
      <w:r>
        <w:rPr>
          <w:noProof/>
        </w:rPr>
        <w:fldChar w:fldCharType="separate"/>
      </w:r>
      <w:r>
        <w:rPr>
          <w:noProof/>
        </w:rPr>
        <w:t>13</w:t>
      </w:r>
      <w:r>
        <w:rPr>
          <w:noProof/>
        </w:rPr>
        <w:fldChar w:fldCharType="end"/>
      </w:r>
    </w:p>
    <w:p w:rsidR="00B833F1" w:rsidRDefault="00B833F1">
      <w:pPr>
        <w:pStyle w:val="TOC2"/>
        <w:rPr>
          <w:rFonts w:asciiTheme="minorHAnsi" w:eastAsiaTheme="minorEastAsia" w:hAnsiTheme="minorHAnsi" w:cstheme="minorBidi"/>
          <w:noProof/>
          <w:sz w:val="22"/>
          <w:szCs w:val="22"/>
        </w:rPr>
      </w:pPr>
      <w:r>
        <w:rPr>
          <w:noProof/>
        </w:rPr>
        <w:t>Scope</w:t>
      </w:r>
      <w:r>
        <w:rPr>
          <w:noProof/>
        </w:rPr>
        <w:tab/>
      </w:r>
      <w:r>
        <w:rPr>
          <w:noProof/>
        </w:rPr>
        <w:fldChar w:fldCharType="begin"/>
      </w:r>
      <w:r>
        <w:rPr>
          <w:noProof/>
        </w:rPr>
        <w:instrText xml:space="preserve"> PAGEREF _Toc530748543 \h </w:instrText>
      </w:r>
      <w:r>
        <w:rPr>
          <w:noProof/>
        </w:rPr>
      </w:r>
      <w:r>
        <w:rPr>
          <w:noProof/>
        </w:rPr>
        <w:fldChar w:fldCharType="separate"/>
      </w:r>
      <w:r>
        <w:rPr>
          <w:noProof/>
        </w:rPr>
        <w:t>13</w:t>
      </w:r>
      <w:r>
        <w:rPr>
          <w:noProof/>
        </w:rPr>
        <w:fldChar w:fldCharType="end"/>
      </w:r>
    </w:p>
    <w:p w:rsidR="00B833F1" w:rsidRDefault="00B833F1">
      <w:pPr>
        <w:pStyle w:val="TOC2"/>
        <w:rPr>
          <w:rFonts w:asciiTheme="minorHAnsi" w:eastAsiaTheme="minorEastAsia" w:hAnsiTheme="minorHAnsi" w:cstheme="minorBidi"/>
          <w:noProof/>
          <w:sz w:val="22"/>
          <w:szCs w:val="22"/>
        </w:rPr>
      </w:pPr>
      <w:r>
        <w:rPr>
          <w:noProof/>
        </w:rPr>
        <w:t>Energy efficiency in the National Construction Code</w:t>
      </w:r>
      <w:r>
        <w:rPr>
          <w:noProof/>
        </w:rPr>
        <w:tab/>
      </w:r>
      <w:r>
        <w:rPr>
          <w:noProof/>
        </w:rPr>
        <w:fldChar w:fldCharType="begin"/>
      </w:r>
      <w:r>
        <w:rPr>
          <w:noProof/>
        </w:rPr>
        <w:instrText xml:space="preserve"> PAGEREF _Toc530748544 \h </w:instrText>
      </w:r>
      <w:r>
        <w:rPr>
          <w:noProof/>
        </w:rPr>
      </w:r>
      <w:r>
        <w:rPr>
          <w:noProof/>
        </w:rPr>
        <w:fldChar w:fldCharType="separate"/>
      </w:r>
      <w:r>
        <w:rPr>
          <w:noProof/>
        </w:rPr>
        <w:t>14</w:t>
      </w:r>
      <w:r>
        <w:rPr>
          <w:noProof/>
        </w:rPr>
        <w:fldChar w:fldCharType="end"/>
      </w:r>
    </w:p>
    <w:p w:rsidR="00B833F1" w:rsidRDefault="00B833F1">
      <w:pPr>
        <w:pStyle w:val="TOC2"/>
        <w:rPr>
          <w:rFonts w:asciiTheme="minorHAnsi" w:eastAsiaTheme="minorEastAsia" w:hAnsiTheme="minorHAnsi" w:cstheme="minorBidi"/>
          <w:noProof/>
          <w:sz w:val="22"/>
          <w:szCs w:val="22"/>
        </w:rPr>
      </w:pPr>
      <w:r>
        <w:rPr>
          <w:noProof/>
        </w:rPr>
        <w:t>Proposed changes to the NCC</w:t>
      </w:r>
      <w:r>
        <w:rPr>
          <w:noProof/>
        </w:rPr>
        <w:tab/>
      </w:r>
      <w:r>
        <w:rPr>
          <w:noProof/>
        </w:rPr>
        <w:fldChar w:fldCharType="begin"/>
      </w:r>
      <w:r>
        <w:rPr>
          <w:noProof/>
        </w:rPr>
        <w:instrText xml:space="preserve"> PAGEREF _Toc530748545 \h </w:instrText>
      </w:r>
      <w:r>
        <w:rPr>
          <w:noProof/>
        </w:rPr>
      </w:r>
      <w:r>
        <w:rPr>
          <w:noProof/>
        </w:rPr>
        <w:fldChar w:fldCharType="separate"/>
      </w:r>
      <w:r>
        <w:rPr>
          <w:noProof/>
        </w:rPr>
        <w:t>15</w:t>
      </w:r>
      <w:r>
        <w:rPr>
          <w:noProof/>
        </w:rPr>
        <w:fldChar w:fldCharType="end"/>
      </w:r>
    </w:p>
    <w:p w:rsidR="00B833F1" w:rsidRDefault="00B833F1">
      <w:pPr>
        <w:pStyle w:val="TOC2"/>
        <w:rPr>
          <w:rFonts w:asciiTheme="minorHAnsi" w:eastAsiaTheme="minorEastAsia" w:hAnsiTheme="minorHAnsi" w:cstheme="minorBidi"/>
          <w:noProof/>
          <w:sz w:val="22"/>
          <w:szCs w:val="22"/>
        </w:rPr>
      </w:pPr>
      <w:r>
        <w:rPr>
          <w:noProof/>
        </w:rPr>
        <w:t>Requirement for a Regulation Impact Statement</w:t>
      </w:r>
      <w:r>
        <w:rPr>
          <w:noProof/>
        </w:rPr>
        <w:tab/>
      </w:r>
      <w:r>
        <w:rPr>
          <w:noProof/>
        </w:rPr>
        <w:fldChar w:fldCharType="begin"/>
      </w:r>
      <w:r>
        <w:rPr>
          <w:noProof/>
        </w:rPr>
        <w:instrText xml:space="preserve"> PAGEREF _Toc530748546 \h </w:instrText>
      </w:r>
      <w:r>
        <w:rPr>
          <w:noProof/>
        </w:rPr>
      </w:r>
      <w:r>
        <w:rPr>
          <w:noProof/>
        </w:rPr>
        <w:fldChar w:fldCharType="separate"/>
      </w:r>
      <w:r>
        <w:rPr>
          <w:noProof/>
        </w:rPr>
        <w:t>17</w:t>
      </w:r>
      <w:r>
        <w:rPr>
          <w:noProof/>
        </w:rPr>
        <w:fldChar w:fldCharType="end"/>
      </w:r>
    </w:p>
    <w:p w:rsidR="00B833F1" w:rsidRDefault="00B833F1">
      <w:pPr>
        <w:pStyle w:val="TOC1"/>
        <w:rPr>
          <w:rFonts w:asciiTheme="minorHAnsi" w:eastAsiaTheme="minorEastAsia" w:hAnsiTheme="minorHAnsi" w:cstheme="minorBidi"/>
          <w:noProof/>
          <w:sz w:val="22"/>
          <w:szCs w:val="22"/>
        </w:rPr>
      </w:pPr>
      <w:r>
        <w:rPr>
          <w:noProof/>
        </w:rPr>
        <w:t>2</w:t>
      </w:r>
      <w:r>
        <w:rPr>
          <w:rFonts w:asciiTheme="minorHAnsi" w:eastAsiaTheme="minorEastAsia" w:hAnsiTheme="minorHAnsi" w:cstheme="minorBidi"/>
          <w:noProof/>
          <w:sz w:val="22"/>
          <w:szCs w:val="22"/>
        </w:rPr>
        <w:tab/>
      </w:r>
      <w:r>
        <w:rPr>
          <w:noProof/>
        </w:rPr>
        <w:t>Statement of the problem</w:t>
      </w:r>
      <w:r>
        <w:rPr>
          <w:noProof/>
        </w:rPr>
        <w:tab/>
      </w:r>
      <w:r>
        <w:rPr>
          <w:noProof/>
        </w:rPr>
        <w:fldChar w:fldCharType="begin"/>
      </w:r>
      <w:r>
        <w:rPr>
          <w:noProof/>
        </w:rPr>
        <w:instrText xml:space="preserve"> PAGEREF _Toc530748547 \h </w:instrText>
      </w:r>
      <w:r>
        <w:rPr>
          <w:noProof/>
        </w:rPr>
      </w:r>
      <w:r>
        <w:rPr>
          <w:noProof/>
        </w:rPr>
        <w:fldChar w:fldCharType="separate"/>
      </w:r>
      <w:r>
        <w:rPr>
          <w:noProof/>
        </w:rPr>
        <w:t>20</w:t>
      </w:r>
      <w:r>
        <w:rPr>
          <w:noProof/>
        </w:rPr>
        <w:fldChar w:fldCharType="end"/>
      </w:r>
    </w:p>
    <w:p w:rsidR="00B833F1" w:rsidRDefault="00B833F1">
      <w:pPr>
        <w:pStyle w:val="TOC2"/>
        <w:rPr>
          <w:rFonts w:asciiTheme="minorHAnsi" w:eastAsiaTheme="minorEastAsia" w:hAnsiTheme="minorHAnsi" w:cstheme="minorBidi"/>
          <w:noProof/>
          <w:sz w:val="22"/>
          <w:szCs w:val="22"/>
        </w:rPr>
      </w:pPr>
      <w:r>
        <w:rPr>
          <w:noProof/>
        </w:rPr>
        <w:t>The rationale for minimum energy efficiency standards for commercial buildings</w:t>
      </w:r>
      <w:r>
        <w:rPr>
          <w:noProof/>
        </w:rPr>
        <w:tab/>
      </w:r>
      <w:r>
        <w:rPr>
          <w:noProof/>
        </w:rPr>
        <w:fldChar w:fldCharType="begin"/>
      </w:r>
      <w:r>
        <w:rPr>
          <w:noProof/>
        </w:rPr>
        <w:instrText xml:space="preserve"> PAGEREF _Toc530748548 \h </w:instrText>
      </w:r>
      <w:r>
        <w:rPr>
          <w:noProof/>
        </w:rPr>
      </w:r>
      <w:r>
        <w:rPr>
          <w:noProof/>
        </w:rPr>
        <w:fldChar w:fldCharType="separate"/>
      </w:r>
      <w:r>
        <w:rPr>
          <w:noProof/>
        </w:rPr>
        <w:t>20</w:t>
      </w:r>
      <w:r>
        <w:rPr>
          <w:noProof/>
        </w:rPr>
        <w:fldChar w:fldCharType="end"/>
      </w:r>
    </w:p>
    <w:p w:rsidR="00B833F1" w:rsidRDefault="00B833F1">
      <w:pPr>
        <w:pStyle w:val="TOC2"/>
        <w:rPr>
          <w:rFonts w:asciiTheme="minorHAnsi" w:eastAsiaTheme="minorEastAsia" w:hAnsiTheme="minorHAnsi" w:cstheme="minorBidi"/>
          <w:noProof/>
          <w:sz w:val="22"/>
          <w:szCs w:val="22"/>
        </w:rPr>
      </w:pPr>
      <w:r>
        <w:rPr>
          <w:noProof/>
        </w:rPr>
        <w:t>The case for change</w:t>
      </w:r>
      <w:r>
        <w:rPr>
          <w:noProof/>
        </w:rPr>
        <w:tab/>
      </w:r>
      <w:r>
        <w:rPr>
          <w:noProof/>
        </w:rPr>
        <w:fldChar w:fldCharType="begin"/>
      </w:r>
      <w:r>
        <w:rPr>
          <w:noProof/>
        </w:rPr>
        <w:instrText xml:space="preserve"> PAGEREF _Toc530748549 \h </w:instrText>
      </w:r>
      <w:r>
        <w:rPr>
          <w:noProof/>
        </w:rPr>
      </w:r>
      <w:r>
        <w:rPr>
          <w:noProof/>
        </w:rPr>
        <w:fldChar w:fldCharType="separate"/>
      </w:r>
      <w:r>
        <w:rPr>
          <w:noProof/>
        </w:rPr>
        <w:t>28</w:t>
      </w:r>
      <w:r>
        <w:rPr>
          <w:noProof/>
        </w:rPr>
        <w:fldChar w:fldCharType="end"/>
      </w:r>
    </w:p>
    <w:p w:rsidR="00B833F1" w:rsidRDefault="00B833F1">
      <w:pPr>
        <w:pStyle w:val="TOC2"/>
        <w:rPr>
          <w:rFonts w:asciiTheme="minorHAnsi" w:eastAsiaTheme="minorEastAsia" w:hAnsiTheme="minorHAnsi" w:cstheme="minorBidi"/>
          <w:noProof/>
          <w:sz w:val="22"/>
          <w:szCs w:val="22"/>
        </w:rPr>
      </w:pPr>
      <w:r>
        <w:rPr>
          <w:noProof/>
          <w:lang w:eastAsia="en-US"/>
        </w:rPr>
        <w:t>Summary and focus of the RIS</w:t>
      </w:r>
      <w:r>
        <w:rPr>
          <w:noProof/>
        </w:rPr>
        <w:tab/>
      </w:r>
      <w:r>
        <w:rPr>
          <w:noProof/>
        </w:rPr>
        <w:fldChar w:fldCharType="begin"/>
      </w:r>
      <w:r>
        <w:rPr>
          <w:noProof/>
        </w:rPr>
        <w:instrText xml:space="preserve"> PAGEREF _Toc530748550 \h </w:instrText>
      </w:r>
      <w:r>
        <w:rPr>
          <w:noProof/>
        </w:rPr>
      </w:r>
      <w:r>
        <w:rPr>
          <w:noProof/>
        </w:rPr>
        <w:fldChar w:fldCharType="separate"/>
      </w:r>
      <w:r>
        <w:rPr>
          <w:noProof/>
        </w:rPr>
        <w:t>33</w:t>
      </w:r>
      <w:r>
        <w:rPr>
          <w:noProof/>
        </w:rPr>
        <w:fldChar w:fldCharType="end"/>
      </w:r>
    </w:p>
    <w:p w:rsidR="00B833F1" w:rsidRDefault="00B833F1">
      <w:pPr>
        <w:pStyle w:val="TOC1"/>
        <w:rPr>
          <w:rFonts w:asciiTheme="minorHAnsi" w:eastAsiaTheme="minorEastAsia" w:hAnsiTheme="minorHAnsi" w:cstheme="minorBidi"/>
          <w:noProof/>
          <w:sz w:val="22"/>
          <w:szCs w:val="22"/>
        </w:rPr>
      </w:pPr>
      <w:r>
        <w:rPr>
          <w:noProof/>
        </w:rPr>
        <w:t>3</w:t>
      </w:r>
      <w:r>
        <w:rPr>
          <w:rFonts w:asciiTheme="minorHAnsi" w:eastAsiaTheme="minorEastAsia" w:hAnsiTheme="minorHAnsi" w:cstheme="minorBidi"/>
          <w:noProof/>
          <w:sz w:val="22"/>
          <w:szCs w:val="22"/>
        </w:rPr>
        <w:tab/>
      </w:r>
      <w:r>
        <w:rPr>
          <w:noProof/>
        </w:rPr>
        <w:t>Objectives and options</w:t>
      </w:r>
      <w:r>
        <w:rPr>
          <w:noProof/>
        </w:rPr>
        <w:tab/>
      </w:r>
      <w:r>
        <w:rPr>
          <w:noProof/>
        </w:rPr>
        <w:fldChar w:fldCharType="begin"/>
      </w:r>
      <w:r>
        <w:rPr>
          <w:noProof/>
        </w:rPr>
        <w:instrText xml:space="preserve"> PAGEREF _Toc530748551 \h </w:instrText>
      </w:r>
      <w:r>
        <w:rPr>
          <w:noProof/>
        </w:rPr>
      </w:r>
      <w:r>
        <w:rPr>
          <w:noProof/>
        </w:rPr>
        <w:fldChar w:fldCharType="separate"/>
      </w:r>
      <w:r>
        <w:rPr>
          <w:noProof/>
        </w:rPr>
        <w:t>34</w:t>
      </w:r>
      <w:r>
        <w:rPr>
          <w:noProof/>
        </w:rPr>
        <w:fldChar w:fldCharType="end"/>
      </w:r>
    </w:p>
    <w:p w:rsidR="00B833F1" w:rsidRDefault="00B833F1">
      <w:pPr>
        <w:pStyle w:val="TOC2"/>
        <w:rPr>
          <w:rFonts w:asciiTheme="minorHAnsi" w:eastAsiaTheme="minorEastAsia" w:hAnsiTheme="minorHAnsi" w:cstheme="minorBidi"/>
          <w:noProof/>
          <w:sz w:val="22"/>
          <w:szCs w:val="22"/>
        </w:rPr>
      </w:pPr>
      <w:r>
        <w:rPr>
          <w:noProof/>
        </w:rPr>
        <w:t>Objectives</w:t>
      </w:r>
      <w:r>
        <w:rPr>
          <w:noProof/>
        </w:rPr>
        <w:tab/>
      </w:r>
      <w:r>
        <w:rPr>
          <w:noProof/>
        </w:rPr>
        <w:fldChar w:fldCharType="begin"/>
      </w:r>
      <w:r>
        <w:rPr>
          <w:noProof/>
        </w:rPr>
        <w:instrText xml:space="preserve"> PAGEREF _Toc530748552 \h </w:instrText>
      </w:r>
      <w:r>
        <w:rPr>
          <w:noProof/>
        </w:rPr>
      </w:r>
      <w:r>
        <w:rPr>
          <w:noProof/>
        </w:rPr>
        <w:fldChar w:fldCharType="separate"/>
      </w:r>
      <w:r>
        <w:rPr>
          <w:noProof/>
        </w:rPr>
        <w:t>34</w:t>
      </w:r>
      <w:r>
        <w:rPr>
          <w:noProof/>
        </w:rPr>
        <w:fldChar w:fldCharType="end"/>
      </w:r>
    </w:p>
    <w:p w:rsidR="00B833F1" w:rsidRDefault="00B833F1">
      <w:pPr>
        <w:pStyle w:val="TOC2"/>
        <w:rPr>
          <w:rFonts w:asciiTheme="minorHAnsi" w:eastAsiaTheme="minorEastAsia" w:hAnsiTheme="minorHAnsi" w:cstheme="minorBidi"/>
          <w:noProof/>
          <w:sz w:val="22"/>
          <w:szCs w:val="22"/>
        </w:rPr>
      </w:pPr>
      <w:r>
        <w:rPr>
          <w:noProof/>
        </w:rPr>
        <w:t>Options</w:t>
      </w:r>
      <w:r>
        <w:rPr>
          <w:noProof/>
        </w:rPr>
        <w:tab/>
      </w:r>
      <w:r>
        <w:rPr>
          <w:noProof/>
        </w:rPr>
        <w:fldChar w:fldCharType="begin"/>
      </w:r>
      <w:r>
        <w:rPr>
          <w:noProof/>
        </w:rPr>
        <w:instrText xml:space="preserve"> PAGEREF _Toc530748553 \h </w:instrText>
      </w:r>
      <w:r>
        <w:rPr>
          <w:noProof/>
        </w:rPr>
      </w:r>
      <w:r>
        <w:rPr>
          <w:noProof/>
        </w:rPr>
        <w:fldChar w:fldCharType="separate"/>
      </w:r>
      <w:r>
        <w:rPr>
          <w:noProof/>
        </w:rPr>
        <w:t>34</w:t>
      </w:r>
      <w:r>
        <w:rPr>
          <w:noProof/>
        </w:rPr>
        <w:fldChar w:fldCharType="end"/>
      </w:r>
    </w:p>
    <w:p w:rsidR="00B833F1" w:rsidRDefault="00B833F1">
      <w:pPr>
        <w:pStyle w:val="TOC1"/>
        <w:rPr>
          <w:rFonts w:asciiTheme="minorHAnsi" w:eastAsiaTheme="minorEastAsia" w:hAnsiTheme="minorHAnsi" w:cstheme="minorBidi"/>
          <w:noProof/>
          <w:sz w:val="22"/>
          <w:szCs w:val="22"/>
        </w:rPr>
      </w:pPr>
      <w:r>
        <w:rPr>
          <w:noProof/>
        </w:rPr>
        <w:t>4</w:t>
      </w:r>
      <w:r>
        <w:rPr>
          <w:rFonts w:asciiTheme="minorHAnsi" w:eastAsiaTheme="minorEastAsia" w:hAnsiTheme="minorHAnsi" w:cstheme="minorBidi"/>
          <w:noProof/>
          <w:sz w:val="22"/>
          <w:szCs w:val="22"/>
        </w:rPr>
        <w:tab/>
      </w:r>
      <w:r>
        <w:rPr>
          <w:noProof/>
        </w:rPr>
        <w:t>Approach to the cost-benefit analysis</w:t>
      </w:r>
      <w:r>
        <w:rPr>
          <w:noProof/>
        </w:rPr>
        <w:tab/>
      </w:r>
      <w:r>
        <w:rPr>
          <w:noProof/>
        </w:rPr>
        <w:fldChar w:fldCharType="begin"/>
      </w:r>
      <w:r>
        <w:rPr>
          <w:noProof/>
        </w:rPr>
        <w:instrText xml:space="preserve"> PAGEREF _Toc530748554 \h </w:instrText>
      </w:r>
      <w:r>
        <w:rPr>
          <w:noProof/>
        </w:rPr>
      </w:r>
      <w:r>
        <w:rPr>
          <w:noProof/>
        </w:rPr>
        <w:fldChar w:fldCharType="separate"/>
      </w:r>
      <w:r>
        <w:rPr>
          <w:noProof/>
        </w:rPr>
        <w:t>40</w:t>
      </w:r>
      <w:r>
        <w:rPr>
          <w:noProof/>
        </w:rPr>
        <w:fldChar w:fldCharType="end"/>
      </w:r>
    </w:p>
    <w:p w:rsidR="00B833F1" w:rsidRDefault="00B833F1">
      <w:pPr>
        <w:pStyle w:val="TOC2"/>
        <w:rPr>
          <w:rFonts w:asciiTheme="minorHAnsi" w:eastAsiaTheme="minorEastAsia" w:hAnsiTheme="minorHAnsi" w:cstheme="minorBidi"/>
          <w:noProof/>
          <w:sz w:val="22"/>
          <w:szCs w:val="22"/>
        </w:rPr>
      </w:pPr>
      <w:r w:rsidRPr="000C539A">
        <w:rPr>
          <w:noProof/>
          <w:lang w:val="en-GB"/>
        </w:rPr>
        <w:t>General approach to the CBA</w:t>
      </w:r>
      <w:r>
        <w:rPr>
          <w:noProof/>
        </w:rPr>
        <w:tab/>
      </w:r>
      <w:r>
        <w:rPr>
          <w:noProof/>
        </w:rPr>
        <w:fldChar w:fldCharType="begin"/>
      </w:r>
      <w:r>
        <w:rPr>
          <w:noProof/>
        </w:rPr>
        <w:instrText xml:space="preserve"> PAGEREF _Toc530748555 \h </w:instrText>
      </w:r>
      <w:r>
        <w:rPr>
          <w:noProof/>
        </w:rPr>
      </w:r>
      <w:r>
        <w:rPr>
          <w:noProof/>
        </w:rPr>
        <w:fldChar w:fldCharType="separate"/>
      </w:r>
      <w:r>
        <w:rPr>
          <w:noProof/>
        </w:rPr>
        <w:t>40</w:t>
      </w:r>
      <w:r>
        <w:rPr>
          <w:noProof/>
        </w:rPr>
        <w:fldChar w:fldCharType="end"/>
      </w:r>
    </w:p>
    <w:p w:rsidR="00B833F1" w:rsidRDefault="00B833F1">
      <w:pPr>
        <w:pStyle w:val="TOC2"/>
        <w:rPr>
          <w:rFonts w:asciiTheme="minorHAnsi" w:eastAsiaTheme="minorEastAsia" w:hAnsiTheme="minorHAnsi" w:cstheme="minorBidi"/>
          <w:noProof/>
          <w:sz w:val="22"/>
          <w:szCs w:val="22"/>
        </w:rPr>
      </w:pPr>
      <w:r>
        <w:rPr>
          <w:noProof/>
        </w:rPr>
        <w:t>Establishing a baseline</w:t>
      </w:r>
      <w:r>
        <w:rPr>
          <w:noProof/>
        </w:rPr>
        <w:tab/>
      </w:r>
      <w:r>
        <w:rPr>
          <w:noProof/>
        </w:rPr>
        <w:fldChar w:fldCharType="begin"/>
      </w:r>
      <w:r>
        <w:rPr>
          <w:noProof/>
        </w:rPr>
        <w:instrText xml:space="preserve"> PAGEREF _Toc530748556 \h </w:instrText>
      </w:r>
      <w:r>
        <w:rPr>
          <w:noProof/>
        </w:rPr>
      </w:r>
      <w:r>
        <w:rPr>
          <w:noProof/>
        </w:rPr>
        <w:fldChar w:fldCharType="separate"/>
      </w:r>
      <w:r>
        <w:rPr>
          <w:noProof/>
        </w:rPr>
        <w:t>42</w:t>
      </w:r>
      <w:r>
        <w:rPr>
          <w:noProof/>
        </w:rPr>
        <w:fldChar w:fldCharType="end"/>
      </w:r>
    </w:p>
    <w:p w:rsidR="00B833F1" w:rsidRDefault="00B833F1">
      <w:pPr>
        <w:pStyle w:val="TOC2"/>
        <w:rPr>
          <w:rFonts w:asciiTheme="minorHAnsi" w:eastAsiaTheme="minorEastAsia" w:hAnsiTheme="minorHAnsi" w:cstheme="minorBidi"/>
          <w:noProof/>
          <w:sz w:val="22"/>
          <w:szCs w:val="22"/>
        </w:rPr>
      </w:pPr>
      <w:r>
        <w:rPr>
          <w:noProof/>
        </w:rPr>
        <w:t>Estimating the impacts of proposed changes to the NCC</w:t>
      </w:r>
      <w:r>
        <w:rPr>
          <w:noProof/>
        </w:rPr>
        <w:tab/>
      </w:r>
      <w:r>
        <w:rPr>
          <w:noProof/>
        </w:rPr>
        <w:fldChar w:fldCharType="begin"/>
      </w:r>
      <w:r>
        <w:rPr>
          <w:noProof/>
        </w:rPr>
        <w:instrText xml:space="preserve"> PAGEREF _Toc530748557 \h </w:instrText>
      </w:r>
      <w:r>
        <w:rPr>
          <w:noProof/>
        </w:rPr>
      </w:r>
      <w:r>
        <w:rPr>
          <w:noProof/>
        </w:rPr>
        <w:fldChar w:fldCharType="separate"/>
      </w:r>
      <w:r>
        <w:rPr>
          <w:noProof/>
        </w:rPr>
        <w:t>45</w:t>
      </w:r>
      <w:r>
        <w:rPr>
          <w:noProof/>
        </w:rPr>
        <w:fldChar w:fldCharType="end"/>
      </w:r>
    </w:p>
    <w:p w:rsidR="00B833F1" w:rsidRDefault="00B833F1">
      <w:pPr>
        <w:pStyle w:val="TOC2"/>
        <w:rPr>
          <w:rFonts w:asciiTheme="minorHAnsi" w:eastAsiaTheme="minorEastAsia" w:hAnsiTheme="minorHAnsi" w:cstheme="minorBidi"/>
          <w:noProof/>
          <w:sz w:val="22"/>
          <w:szCs w:val="22"/>
        </w:rPr>
      </w:pPr>
      <w:r>
        <w:rPr>
          <w:noProof/>
        </w:rPr>
        <w:t>The impacts of the non-regulatory option</w:t>
      </w:r>
      <w:r>
        <w:rPr>
          <w:noProof/>
        </w:rPr>
        <w:tab/>
      </w:r>
      <w:r>
        <w:rPr>
          <w:noProof/>
        </w:rPr>
        <w:fldChar w:fldCharType="begin"/>
      </w:r>
      <w:r>
        <w:rPr>
          <w:noProof/>
        </w:rPr>
        <w:instrText xml:space="preserve"> PAGEREF _Toc530748558 \h </w:instrText>
      </w:r>
      <w:r>
        <w:rPr>
          <w:noProof/>
        </w:rPr>
      </w:r>
      <w:r>
        <w:rPr>
          <w:noProof/>
        </w:rPr>
        <w:fldChar w:fldCharType="separate"/>
      </w:r>
      <w:r>
        <w:rPr>
          <w:noProof/>
        </w:rPr>
        <w:t>51</w:t>
      </w:r>
      <w:r>
        <w:rPr>
          <w:noProof/>
        </w:rPr>
        <w:fldChar w:fldCharType="end"/>
      </w:r>
    </w:p>
    <w:p w:rsidR="00B833F1" w:rsidRDefault="00B833F1">
      <w:pPr>
        <w:pStyle w:val="TOC1"/>
        <w:rPr>
          <w:rFonts w:asciiTheme="minorHAnsi" w:eastAsiaTheme="minorEastAsia" w:hAnsiTheme="minorHAnsi" w:cstheme="minorBidi"/>
          <w:noProof/>
          <w:sz w:val="22"/>
          <w:szCs w:val="22"/>
        </w:rPr>
      </w:pPr>
      <w:r>
        <w:rPr>
          <w:noProof/>
        </w:rPr>
        <w:t>5</w:t>
      </w:r>
      <w:r>
        <w:rPr>
          <w:rFonts w:asciiTheme="minorHAnsi" w:eastAsiaTheme="minorEastAsia" w:hAnsiTheme="minorHAnsi" w:cstheme="minorBidi"/>
          <w:noProof/>
          <w:sz w:val="22"/>
          <w:szCs w:val="22"/>
        </w:rPr>
        <w:tab/>
      </w:r>
      <w:r>
        <w:rPr>
          <w:noProof/>
        </w:rPr>
        <w:t>Change in construction costs</w:t>
      </w:r>
      <w:r>
        <w:rPr>
          <w:noProof/>
        </w:rPr>
        <w:tab/>
      </w:r>
      <w:r>
        <w:rPr>
          <w:noProof/>
        </w:rPr>
        <w:fldChar w:fldCharType="begin"/>
      </w:r>
      <w:r>
        <w:rPr>
          <w:noProof/>
        </w:rPr>
        <w:instrText xml:space="preserve"> PAGEREF _Toc530748559 \h </w:instrText>
      </w:r>
      <w:r>
        <w:rPr>
          <w:noProof/>
        </w:rPr>
      </w:r>
      <w:r>
        <w:rPr>
          <w:noProof/>
        </w:rPr>
        <w:fldChar w:fldCharType="separate"/>
      </w:r>
      <w:r>
        <w:rPr>
          <w:noProof/>
        </w:rPr>
        <w:t>52</w:t>
      </w:r>
      <w:r>
        <w:rPr>
          <w:noProof/>
        </w:rPr>
        <w:fldChar w:fldCharType="end"/>
      </w:r>
    </w:p>
    <w:p w:rsidR="00B833F1" w:rsidRDefault="00B833F1">
      <w:pPr>
        <w:pStyle w:val="TOC2"/>
        <w:rPr>
          <w:rFonts w:asciiTheme="minorHAnsi" w:eastAsiaTheme="minorEastAsia" w:hAnsiTheme="minorHAnsi" w:cstheme="minorBidi"/>
          <w:noProof/>
          <w:sz w:val="22"/>
          <w:szCs w:val="22"/>
        </w:rPr>
      </w:pPr>
      <w:r>
        <w:rPr>
          <w:noProof/>
        </w:rPr>
        <w:t>Modelled change in construction costs</w:t>
      </w:r>
      <w:r>
        <w:rPr>
          <w:noProof/>
        </w:rPr>
        <w:tab/>
      </w:r>
      <w:r>
        <w:rPr>
          <w:noProof/>
        </w:rPr>
        <w:fldChar w:fldCharType="begin"/>
      </w:r>
      <w:r>
        <w:rPr>
          <w:noProof/>
        </w:rPr>
        <w:instrText xml:space="preserve"> PAGEREF _Toc530748560 \h </w:instrText>
      </w:r>
      <w:r>
        <w:rPr>
          <w:noProof/>
        </w:rPr>
      </w:r>
      <w:r>
        <w:rPr>
          <w:noProof/>
        </w:rPr>
        <w:fldChar w:fldCharType="separate"/>
      </w:r>
      <w:r>
        <w:rPr>
          <w:noProof/>
        </w:rPr>
        <w:t>52</w:t>
      </w:r>
      <w:r>
        <w:rPr>
          <w:noProof/>
        </w:rPr>
        <w:fldChar w:fldCharType="end"/>
      </w:r>
    </w:p>
    <w:p w:rsidR="00B833F1" w:rsidRDefault="00B833F1">
      <w:pPr>
        <w:pStyle w:val="TOC2"/>
        <w:rPr>
          <w:rFonts w:asciiTheme="minorHAnsi" w:eastAsiaTheme="minorEastAsia" w:hAnsiTheme="minorHAnsi" w:cstheme="minorBidi"/>
          <w:noProof/>
          <w:sz w:val="22"/>
          <w:szCs w:val="22"/>
        </w:rPr>
      </w:pPr>
      <w:r>
        <w:rPr>
          <w:noProof/>
          <w:lang w:eastAsia="en-US"/>
        </w:rPr>
        <w:t>Insights from the case studies</w:t>
      </w:r>
      <w:r>
        <w:rPr>
          <w:noProof/>
        </w:rPr>
        <w:tab/>
      </w:r>
      <w:r>
        <w:rPr>
          <w:noProof/>
        </w:rPr>
        <w:fldChar w:fldCharType="begin"/>
      </w:r>
      <w:r>
        <w:rPr>
          <w:noProof/>
        </w:rPr>
        <w:instrText xml:space="preserve"> PAGEREF _Toc530748561 \h </w:instrText>
      </w:r>
      <w:r>
        <w:rPr>
          <w:noProof/>
        </w:rPr>
      </w:r>
      <w:r>
        <w:rPr>
          <w:noProof/>
        </w:rPr>
        <w:fldChar w:fldCharType="separate"/>
      </w:r>
      <w:r>
        <w:rPr>
          <w:noProof/>
        </w:rPr>
        <w:t>59</w:t>
      </w:r>
      <w:r>
        <w:rPr>
          <w:noProof/>
        </w:rPr>
        <w:fldChar w:fldCharType="end"/>
      </w:r>
    </w:p>
    <w:p w:rsidR="00B833F1" w:rsidRDefault="00B833F1">
      <w:pPr>
        <w:pStyle w:val="TOC2"/>
        <w:rPr>
          <w:rFonts w:asciiTheme="minorHAnsi" w:eastAsiaTheme="minorEastAsia" w:hAnsiTheme="minorHAnsi" w:cstheme="minorBidi"/>
          <w:noProof/>
          <w:sz w:val="22"/>
          <w:szCs w:val="22"/>
        </w:rPr>
      </w:pPr>
      <w:r>
        <w:rPr>
          <w:noProof/>
        </w:rPr>
        <w:t>Are lower construction costs plausible?</w:t>
      </w:r>
      <w:r>
        <w:rPr>
          <w:noProof/>
        </w:rPr>
        <w:tab/>
      </w:r>
      <w:r>
        <w:rPr>
          <w:noProof/>
        </w:rPr>
        <w:fldChar w:fldCharType="begin"/>
      </w:r>
      <w:r>
        <w:rPr>
          <w:noProof/>
        </w:rPr>
        <w:instrText xml:space="preserve"> PAGEREF _Toc530748562 \h </w:instrText>
      </w:r>
      <w:r>
        <w:rPr>
          <w:noProof/>
        </w:rPr>
      </w:r>
      <w:r>
        <w:rPr>
          <w:noProof/>
        </w:rPr>
        <w:fldChar w:fldCharType="separate"/>
      </w:r>
      <w:r>
        <w:rPr>
          <w:noProof/>
        </w:rPr>
        <w:t>61</w:t>
      </w:r>
      <w:r>
        <w:rPr>
          <w:noProof/>
        </w:rPr>
        <w:fldChar w:fldCharType="end"/>
      </w:r>
    </w:p>
    <w:p w:rsidR="00B833F1" w:rsidRDefault="00B833F1">
      <w:pPr>
        <w:pStyle w:val="TOC2"/>
        <w:rPr>
          <w:rFonts w:asciiTheme="minorHAnsi" w:eastAsiaTheme="minorEastAsia" w:hAnsiTheme="minorHAnsi" w:cstheme="minorBidi"/>
          <w:noProof/>
          <w:sz w:val="22"/>
          <w:szCs w:val="22"/>
        </w:rPr>
      </w:pPr>
      <w:r>
        <w:rPr>
          <w:noProof/>
          <w:lang w:eastAsia="en-US"/>
        </w:rPr>
        <w:t>Learning rates</w:t>
      </w:r>
      <w:r>
        <w:rPr>
          <w:noProof/>
        </w:rPr>
        <w:tab/>
      </w:r>
      <w:r>
        <w:rPr>
          <w:noProof/>
        </w:rPr>
        <w:fldChar w:fldCharType="begin"/>
      </w:r>
      <w:r>
        <w:rPr>
          <w:noProof/>
        </w:rPr>
        <w:instrText xml:space="preserve"> PAGEREF _Toc530748563 \h </w:instrText>
      </w:r>
      <w:r>
        <w:rPr>
          <w:noProof/>
        </w:rPr>
      </w:r>
      <w:r>
        <w:rPr>
          <w:noProof/>
        </w:rPr>
        <w:fldChar w:fldCharType="separate"/>
      </w:r>
      <w:r>
        <w:rPr>
          <w:noProof/>
        </w:rPr>
        <w:t>64</w:t>
      </w:r>
      <w:r>
        <w:rPr>
          <w:noProof/>
        </w:rPr>
        <w:fldChar w:fldCharType="end"/>
      </w:r>
    </w:p>
    <w:p w:rsidR="00B833F1" w:rsidRDefault="00B833F1">
      <w:pPr>
        <w:pStyle w:val="TOC2"/>
        <w:rPr>
          <w:rFonts w:asciiTheme="minorHAnsi" w:eastAsiaTheme="minorEastAsia" w:hAnsiTheme="minorHAnsi" w:cstheme="minorBidi"/>
          <w:noProof/>
          <w:sz w:val="22"/>
          <w:szCs w:val="22"/>
        </w:rPr>
      </w:pPr>
      <w:r>
        <w:rPr>
          <w:noProof/>
          <w:lang w:eastAsia="en-US"/>
        </w:rPr>
        <w:t>Other potential costs</w:t>
      </w:r>
      <w:r>
        <w:rPr>
          <w:noProof/>
        </w:rPr>
        <w:tab/>
      </w:r>
      <w:r>
        <w:rPr>
          <w:noProof/>
        </w:rPr>
        <w:fldChar w:fldCharType="begin"/>
      </w:r>
      <w:r>
        <w:rPr>
          <w:noProof/>
        </w:rPr>
        <w:instrText xml:space="preserve"> PAGEREF _Toc530748564 \h </w:instrText>
      </w:r>
      <w:r>
        <w:rPr>
          <w:noProof/>
        </w:rPr>
      </w:r>
      <w:r>
        <w:rPr>
          <w:noProof/>
        </w:rPr>
        <w:fldChar w:fldCharType="separate"/>
      </w:r>
      <w:r>
        <w:rPr>
          <w:noProof/>
        </w:rPr>
        <w:t>66</w:t>
      </w:r>
      <w:r>
        <w:rPr>
          <w:noProof/>
        </w:rPr>
        <w:fldChar w:fldCharType="end"/>
      </w:r>
    </w:p>
    <w:p w:rsidR="00B833F1" w:rsidRDefault="00B833F1">
      <w:pPr>
        <w:pStyle w:val="TOC1"/>
        <w:rPr>
          <w:rFonts w:asciiTheme="minorHAnsi" w:eastAsiaTheme="minorEastAsia" w:hAnsiTheme="minorHAnsi" w:cstheme="minorBidi"/>
          <w:noProof/>
          <w:sz w:val="22"/>
          <w:szCs w:val="22"/>
        </w:rPr>
      </w:pPr>
      <w:r>
        <w:rPr>
          <w:noProof/>
          <w:lang w:eastAsia="en-US"/>
        </w:rPr>
        <w:t>6</w:t>
      </w:r>
      <w:r>
        <w:rPr>
          <w:rFonts w:asciiTheme="minorHAnsi" w:eastAsiaTheme="minorEastAsia" w:hAnsiTheme="minorHAnsi" w:cstheme="minorBidi"/>
          <w:noProof/>
          <w:sz w:val="22"/>
          <w:szCs w:val="22"/>
        </w:rPr>
        <w:tab/>
      </w:r>
      <w:r>
        <w:rPr>
          <w:noProof/>
          <w:lang w:eastAsia="en-US"/>
        </w:rPr>
        <w:t>Energy saving benefits</w:t>
      </w:r>
      <w:r>
        <w:rPr>
          <w:noProof/>
        </w:rPr>
        <w:tab/>
      </w:r>
      <w:r>
        <w:rPr>
          <w:noProof/>
        </w:rPr>
        <w:fldChar w:fldCharType="begin"/>
      </w:r>
      <w:r>
        <w:rPr>
          <w:noProof/>
        </w:rPr>
        <w:instrText xml:space="preserve"> PAGEREF _Toc530748565 \h </w:instrText>
      </w:r>
      <w:r>
        <w:rPr>
          <w:noProof/>
        </w:rPr>
      </w:r>
      <w:r>
        <w:rPr>
          <w:noProof/>
        </w:rPr>
        <w:fldChar w:fldCharType="separate"/>
      </w:r>
      <w:r>
        <w:rPr>
          <w:noProof/>
        </w:rPr>
        <w:t>68</w:t>
      </w:r>
      <w:r>
        <w:rPr>
          <w:noProof/>
        </w:rPr>
        <w:fldChar w:fldCharType="end"/>
      </w:r>
    </w:p>
    <w:p w:rsidR="00B833F1" w:rsidRDefault="00B833F1">
      <w:pPr>
        <w:pStyle w:val="TOC2"/>
        <w:rPr>
          <w:rFonts w:asciiTheme="minorHAnsi" w:eastAsiaTheme="minorEastAsia" w:hAnsiTheme="minorHAnsi" w:cstheme="minorBidi"/>
          <w:noProof/>
          <w:sz w:val="22"/>
          <w:szCs w:val="22"/>
        </w:rPr>
      </w:pPr>
      <w:r>
        <w:rPr>
          <w:noProof/>
        </w:rPr>
        <w:t>Energy savings</w:t>
      </w:r>
      <w:r>
        <w:rPr>
          <w:noProof/>
        </w:rPr>
        <w:tab/>
      </w:r>
      <w:r>
        <w:rPr>
          <w:noProof/>
        </w:rPr>
        <w:fldChar w:fldCharType="begin"/>
      </w:r>
      <w:r>
        <w:rPr>
          <w:noProof/>
        </w:rPr>
        <w:instrText xml:space="preserve"> PAGEREF _Toc530748566 \h </w:instrText>
      </w:r>
      <w:r>
        <w:rPr>
          <w:noProof/>
        </w:rPr>
      </w:r>
      <w:r>
        <w:rPr>
          <w:noProof/>
        </w:rPr>
        <w:fldChar w:fldCharType="separate"/>
      </w:r>
      <w:r>
        <w:rPr>
          <w:noProof/>
        </w:rPr>
        <w:t>68</w:t>
      </w:r>
      <w:r>
        <w:rPr>
          <w:noProof/>
        </w:rPr>
        <w:fldChar w:fldCharType="end"/>
      </w:r>
    </w:p>
    <w:p w:rsidR="00B833F1" w:rsidRDefault="00B833F1">
      <w:pPr>
        <w:pStyle w:val="TOC2"/>
        <w:rPr>
          <w:rFonts w:asciiTheme="minorHAnsi" w:eastAsiaTheme="minorEastAsia" w:hAnsiTheme="minorHAnsi" w:cstheme="minorBidi"/>
          <w:noProof/>
          <w:sz w:val="22"/>
          <w:szCs w:val="22"/>
        </w:rPr>
      </w:pPr>
      <w:r>
        <w:rPr>
          <w:noProof/>
        </w:rPr>
        <w:lastRenderedPageBreak/>
        <w:t>Measuring the benefits</w:t>
      </w:r>
      <w:r>
        <w:rPr>
          <w:noProof/>
        </w:rPr>
        <w:tab/>
      </w:r>
      <w:r>
        <w:rPr>
          <w:noProof/>
        </w:rPr>
        <w:fldChar w:fldCharType="begin"/>
      </w:r>
      <w:r>
        <w:rPr>
          <w:noProof/>
        </w:rPr>
        <w:instrText xml:space="preserve"> PAGEREF _Toc530748567 \h </w:instrText>
      </w:r>
      <w:r>
        <w:rPr>
          <w:noProof/>
        </w:rPr>
      </w:r>
      <w:r>
        <w:rPr>
          <w:noProof/>
        </w:rPr>
        <w:fldChar w:fldCharType="separate"/>
      </w:r>
      <w:r>
        <w:rPr>
          <w:noProof/>
        </w:rPr>
        <w:t>78</w:t>
      </w:r>
      <w:r>
        <w:rPr>
          <w:noProof/>
        </w:rPr>
        <w:fldChar w:fldCharType="end"/>
      </w:r>
    </w:p>
    <w:p w:rsidR="00B833F1" w:rsidRDefault="00B833F1">
      <w:pPr>
        <w:pStyle w:val="TOC2"/>
        <w:rPr>
          <w:rFonts w:asciiTheme="minorHAnsi" w:eastAsiaTheme="minorEastAsia" w:hAnsiTheme="minorHAnsi" w:cstheme="minorBidi"/>
          <w:noProof/>
          <w:sz w:val="22"/>
          <w:szCs w:val="22"/>
        </w:rPr>
      </w:pPr>
      <w:r>
        <w:rPr>
          <w:noProof/>
          <w:lang w:eastAsia="en-US"/>
        </w:rPr>
        <w:t>Aggregate energy savings</w:t>
      </w:r>
      <w:r>
        <w:rPr>
          <w:noProof/>
        </w:rPr>
        <w:tab/>
      </w:r>
      <w:r>
        <w:rPr>
          <w:noProof/>
        </w:rPr>
        <w:fldChar w:fldCharType="begin"/>
      </w:r>
      <w:r>
        <w:rPr>
          <w:noProof/>
        </w:rPr>
        <w:instrText xml:space="preserve"> PAGEREF _Toc530748568 \h </w:instrText>
      </w:r>
      <w:r>
        <w:rPr>
          <w:noProof/>
        </w:rPr>
      </w:r>
      <w:r>
        <w:rPr>
          <w:noProof/>
        </w:rPr>
        <w:fldChar w:fldCharType="separate"/>
      </w:r>
      <w:r>
        <w:rPr>
          <w:noProof/>
        </w:rPr>
        <w:t>79</w:t>
      </w:r>
      <w:r>
        <w:rPr>
          <w:noProof/>
        </w:rPr>
        <w:fldChar w:fldCharType="end"/>
      </w:r>
    </w:p>
    <w:p w:rsidR="00B833F1" w:rsidRDefault="00B833F1">
      <w:pPr>
        <w:pStyle w:val="TOC1"/>
        <w:rPr>
          <w:rFonts w:asciiTheme="minorHAnsi" w:eastAsiaTheme="minorEastAsia" w:hAnsiTheme="minorHAnsi" w:cstheme="minorBidi"/>
          <w:noProof/>
          <w:sz w:val="22"/>
          <w:szCs w:val="22"/>
        </w:rPr>
      </w:pPr>
      <w:r>
        <w:rPr>
          <w:noProof/>
          <w:lang w:eastAsia="en-US"/>
        </w:rPr>
        <w:t>7</w:t>
      </w:r>
      <w:r>
        <w:rPr>
          <w:rFonts w:asciiTheme="minorHAnsi" w:eastAsiaTheme="minorEastAsia" w:hAnsiTheme="minorHAnsi" w:cstheme="minorBidi"/>
          <w:noProof/>
          <w:sz w:val="22"/>
          <w:szCs w:val="22"/>
        </w:rPr>
        <w:tab/>
      </w:r>
      <w:r>
        <w:rPr>
          <w:noProof/>
          <w:lang w:eastAsia="en-US"/>
        </w:rPr>
        <w:t>Other impacts</w:t>
      </w:r>
      <w:r>
        <w:rPr>
          <w:noProof/>
        </w:rPr>
        <w:tab/>
      </w:r>
      <w:r>
        <w:rPr>
          <w:noProof/>
        </w:rPr>
        <w:fldChar w:fldCharType="begin"/>
      </w:r>
      <w:r>
        <w:rPr>
          <w:noProof/>
        </w:rPr>
        <w:instrText xml:space="preserve"> PAGEREF _Toc530748569 \h </w:instrText>
      </w:r>
      <w:r>
        <w:rPr>
          <w:noProof/>
        </w:rPr>
      </w:r>
      <w:r>
        <w:rPr>
          <w:noProof/>
        </w:rPr>
        <w:fldChar w:fldCharType="separate"/>
      </w:r>
      <w:r>
        <w:rPr>
          <w:noProof/>
        </w:rPr>
        <w:t>82</w:t>
      </w:r>
      <w:r>
        <w:rPr>
          <w:noProof/>
        </w:rPr>
        <w:fldChar w:fldCharType="end"/>
      </w:r>
    </w:p>
    <w:p w:rsidR="00B833F1" w:rsidRDefault="00B833F1">
      <w:pPr>
        <w:pStyle w:val="TOC2"/>
        <w:rPr>
          <w:rFonts w:asciiTheme="minorHAnsi" w:eastAsiaTheme="minorEastAsia" w:hAnsiTheme="minorHAnsi" w:cstheme="minorBidi"/>
          <w:noProof/>
          <w:sz w:val="22"/>
          <w:szCs w:val="22"/>
        </w:rPr>
      </w:pPr>
      <w:r>
        <w:rPr>
          <w:noProof/>
        </w:rPr>
        <w:t>Change in administrative costs</w:t>
      </w:r>
      <w:r>
        <w:rPr>
          <w:noProof/>
        </w:rPr>
        <w:tab/>
      </w:r>
      <w:r>
        <w:rPr>
          <w:noProof/>
        </w:rPr>
        <w:fldChar w:fldCharType="begin"/>
      </w:r>
      <w:r>
        <w:rPr>
          <w:noProof/>
        </w:rPr>
        <w:instrText xml:space="preserve"> PAGEREF _Toc530748570 \h </w:instrText>
      </w:r>
      <w:r>
        <w:rPr>
          <w:noProof/>
        </w:rPr>
      </w:r>
      <w:r>
        <w:rPr>
          <w:noProof/>
        </w:rPr>
        <w:fldChar w:fldCharType="separate"/>
      </w:r>
      <w:r>
        <w:rPr>
          <w:noProof/>
        </w:rPr>
        <w:t>82</w:t>
      </w:r>
      <w:r>
        <w:rPr>
          <w:noProof/>
        </w:rPr>
        <w:fldChar w:fldCharType="end"/>
      </w:r>
    </w:p>
    <w:p w:rsidR="00B833F1" w:rsidRDefault="00B833F1">
      <w:pPr>
        <w:pStyle w:val="TOC2"/>
        <w:rPr>
          <w:rFonts w:asciiTheme="minorHAnsi" w:eastAsiaTheme="minorEastAsia" w:hAnsiTheme="minorHAnsi" w:cstheme="minorBidi"/>
          <w:noProof/>
          <w:sz w:val="22"/>
          <w:szCs w:val="22"/>
        </w:rPr>
      </w:pPr>
      <w:r>
        <w:rPr>
          <w:noProof/>
        </w:rPr>
        <w:t>Simplification/clarification of requirements</w:t>
      </w:r>
      <w:r>
        <w:rPr>
          <w:noProof/>
        </w:rPr>
        <w:tab/>
      </w:r>
      <w:r>
        <w:rPr>
          <w:noProof/>
        </w:rPr>
        <w:fldChar w:fldCharType="begin"/>
      </w:r>
      <w:r>
        <w:rPr>
          <w:noProof/>
        </w:rPr>
        <w:instrText xml:space="preserve"> PAGEREF _Toc530748571 \h </w:instrText>
      </w:r>
      <w:r>
        <w:rPr>
          <w:noProof/>
        </w:rPr>
      </w:r>
      <w:r>
        <w:rPr>
          <w:noProof/>
        </w:rPr>
        <w:fldChar w:fldCharType="separate"/>
      </w:r>
      <w:r>
        <w:rPr>
          <w:noProof/>
        </w:rPr>
        <w:t>85</w:t>
      </w:r>
      <w:r>
        <w:rPr>
          <w:noProof/>
        </w:rPr>
        <w:fldChar w:fldCharType="end"/>
      </w:r>
    </w:p>
    <w:p w:rsidR="00B833F1" w:rsidRDefault="00B833F1">
      <w:pPr>
        <w:pStyle w:val="TOC2"/>
        <w:rPr>
          <w:rFonts w:asciiTheme="minorHAnsi" w:eastAsiaTheme="minorEastAsia" w:hAnsiTheme="minorHAnsi" w:cstheme="minorBidi"/>
          <w:noProof/>
          <w:sz w:val="22"/>
          <w:szCs w:val="22"/>
        </w:rPr>
      </w:pPr>
      <w:r>
        <w:rPr>
          <w:noProof/>
        </w:rPr>
        <w:t>Re</w:t>
      </w:r>
      <w:r>
        <w:rPr>
          <w:noProof/>
        </w:rPr>
        <w:noBreakHyphen/>
        <w:t>training costs</w:t>
      </w:r>
      <w:r>
        <w:rPr>
          <w:noProof/>
        </w:rPr>
        <w:tab/>
      </w:r>
      <w:r>
        <w:rPr>
          <w:noProof/>
        </w:rPr>
        <w:fldChar w:fldCharType="begin"/>
      </w:r>
      <w:r>
        <w:rPr>
          <w:noProof/>
        </w:rPr>
        <w:instrText xml:space="preserve"> PAGEREF _Toc530748572 \h </w:instrText>
      </w:r>
      <w:r>
        <w:rPr>
          <w:noProof/>
        </w:rPr>
      </w:r>
      <w:r>
        <w:rPr>
          <w:noProof/>
        </w:rPr>
        <w:fldChar w:fldCharType="separate"/>
      </w:r>
      <w:r>
        <w:rPr>
          <w:noProof/>
        </w:rPr>
        <w:t>85</w:t>
      </w:r>
      <w:r>
        <w:rPr>
          <w:noProof/>
        </w:rPr>
        <w:fldChar w:fldCharType="end"/>
      </w:r>
    </w:p>
    <w:p w:rsidR="00B833F1" w:rsidRDefault="00B833F1">
      <w:pPr>
        <w:pStyle w:val="TOC2"/>
        <w:rPr>
          <w:rFonts w:asciiTheme="minorHAnsi" w:eastAsiaTheme="minorEastAsia" w:hAnsiTheme="minorHAnsi" w:cstheme="minorBidi"/>
          <w:noProof/>
          <w:sz w:val="22"/>
          <w:szCs w:val="22"/>
        </w:rPr>
      </w:pPr>
      <w:r>
        <w:rPr>
          <w:noProof/>
        </w:rPr>
        <w:t>Impact on competition</w:t>
      </w:r>
      <w:r>
        <w:rPr>
          <w:noProof/>
        </w:rPr>
        <w:tab/>
      </w:r>
      <w:r>
        <w:rPr>
          <w:noProof/>
        </w:rPr>
        <w:fldChar w:fldCharType="begin"/>
      </w:r>
      <w:r>
        <w:rPr>
          <w:noProof/>
        </w:rPr>
        <w:instrText xml:space="preserve"> PAGEREF _Toc530748573 \h </w:instrText>
      </w:r>
      <w:r>
        <w:rPr>
          <w:noProof/>
        </w:rPr>
      </w:r>
      <w:r>
        <w:rPr>
          <w:noProof/>
        </w:rPr>
        <w:fldChar w:fldCharType="separate"/>
      </w:r>
      <w:r>
        <w:rPr>
          <w:noProof/>
        </w:rPr>
        <w:t>89</w:t>
      </w:r>
      <w:r>
        <w:rPr>
          <w:noProof/>
        </w:rPr>
        <w:fldChar w:fldCharType="end"/>
      </w:r>
    </w:p>
    <w:p w:rsidR="00B833F1" w:rsidRDefault="00B833F1">
      <w:pPr>
        <w:pStyle w:val="TOC2"/>
        <w:rPr>
          <w:rFonts w:asciiTheme="minorHAnsi" w:eastAsiaTheme="minorEastAsia" w:hAnsiTheme="minorHAnsi" w:cstheme="minorBidi"/>
          <w:noProof/>
          <w:sz w:val="22"/>
          <w:szCs w:val="22"/>
        </w:rPr>
      </w:pPr>
      <w:r>
        <w:rPr>
          <w:noProof/>
        </w:rPr>
        <w:t>Potential for unintended consequences</w:t>
      </w:r>
      <w:r>
        <w:rPr>
          <w:noProof/>
        </w:rPr>
        <w:tab/>
      </w:r>
      <w:r>
        <w:rPr>
          <w:noProof/>
        </w:rPr>
        <w:fldChar w:fldCharType="begin"/>
      </w:r>
      <w:r>
        <w:rPr>
          <w:noProof/>
        </w:rPr>
        <w:instrText xml:space="preserve"> PAGEREF _Toc530748574 \h </w:instrText>
      </w:r>
      <w:r>
        <w:rPr>
          <w:noProof/>
        </w:rPr>
      </w:r>
      <w:r>
        <w:rPr>
          <w:noProof/>
        </w:rPr>
        <w:fldChar w:fldCharType="separate"/>
      </w:r>
      <w:r>
        <w:rPr>
          <w:noProof/>
        </w:rPr>
        <w:t>90</w:t>
      </w:r>
      <w:r>
        <w:rPr>
          <w:noProof/>
        </w:rPr>
        <w:fldChar w:fldCharType="end"/>
      </w:r>
    </w:p>
    <w:p w:rsidR="00B833F1" w:rsidRDefault="00B833F1">
      <w:pPr>
        <w:pStyle w:val="TOC1"/>
        <w:rPr>
          <w:rFonts w:asciiTheme="minorHAnsi" w:eastAsiaTheme="minorEastAsia" w:hAnsiTheme="minorHAnsi" w:cstheme="minorBidi"/>
          <w:noProof/>
          <w:sz w:val="22"/>
          <w:szCs w:val="22"/>
        </w:rPr>
      </w:pPr>
      <w:r>
        <w:rPr>
          <w:noProof/>
        </w:rPr>
        <w:t>8</w:t>
      </w:r>
      <w:r>
        <w:rPr>
          <w:rFonts w:asciiTheme="minorHAnsi" w:eastAsiaTheme="minorEastAsia" w:hAnsiTheme="minorHAnsi" w:cstheme="minorBidi"/>
          <w:noProof/>
          <w:sz w:val="22"/>
          <w:szCs w:val="22"/>
        </w:rPr>
        <w:tab/>
      </w:r>
      <w:r>
        <w:rPr>
          <w:noProof/>
        </w:rPr>
        <w:t>Cost-benefit analysis</w:t>
      </w:r>
      <w:r>
        <w:rPr>
          <w:noProof/>
        </w:rPr>
        <w:tab/>
      </w:r>
      <w:r>
        <w:rPr>
          <w:noProof/>
        </w:rPr>
        <w:fldChar w:fldCharType="begin"/>
      </w:r>
      <w:r>
        <w:rPr>
          <w:noProof/>
        </w:rPr>
        <w:instrText xml:space="preserve"> PAGEREF _Toc530748575 \h </w:instrText>
      </w:r>
      <w:r>
        <w:rPr>
          <w:noProof/>
        </w:rPr>
      </w:r>
      <w:r>
        <w:rPr>
          <w:noProof/>
        </w:rPr>
        <w:fldChar w:fldCharType="separate"/>
      </w:r>
      <w:r>
        <w:rPr>
          <w:noProof/>
        </w:rPr>
        <w:t>93</w:t>
      </w:r>
      <w:r>
        <w:rPr>
          <w:noProof/>
        </w:rPr>
        <w:fldChar w:fldCharType="end"/>
      </w:r>
    </w:p>
    <w:p w:rsidR="00B833F1" w:rsidRDefault="00B833F1">
      <w:pPr>
        <w:pStyle w:val="TOC2"/>
        <w:rPr>
          <w:rFonts w:asciiTheme="minorHAnsi" w:eastAsiaTheme="minorEastAsia" w:hAnsiTheme="minorHAnsi" w:cstheme="minorBidi"/>
          <w:noProof/>
          <w:sz w:val="22"/>
          <w:szCs w:val="22"/>
        </w:rPr>
      </w:pPr>
      <w:r w:rsidRPr="000C539A">
        <w:rPr>
          <w:noProof/>
          <w:lang w:val="en-GB"/>
        </w:rPr>
        <w:t>Building level net impacts</w:t>
      </w:r>
      <w:r>
        <w:rPr>
          <w:noProof/>
        </w:rPr>
        <w:tab/>
      </w:r>
      <w:r>
        <w:rPr>
          <w:noProof/>
        </w:rPr>
        <w:fldChar w:fldCharType="begin"/>
      </w:r>
      <w:r>
        <w:rPr>
          <w:noProof/>
        </w:rPr>
        <w:instrText xml:space="preserve"> PAGEREF _Toc530748576 \h </w:instrText>
      </w:r>
      <w:r>
        <w:rPr>
          <w:noProof/>
        </w:rPr>
      </w:r>
      <w:r>
        <w:rPr>
          <w:noProof/>
        </w:rPr>
        <w:fldChar w:fldCharType="separate"/>
      </w:r>
      <w:r>
        <w:rPr>
          <w:noProof/>
        </w:rPr>
        <w:t>93</w:t>
      </w:r>
      <w:r>
        <w:rPr>
          <w:noProof/>
        </w:rPr>
        <w:fldChar w:fldCharType="end"/>
      </w:r>
    </w:p>
    <w:p w:rsidR="00B833F1" w:rsidRDefault="00B833F1">
      <w:pPr>
        <w:pStyle w:val="TOC2"/>
        <w:rPr>
          <w:rFonts w:asciiTheme="minorHAnsi" w:eastAsiaTheme="minorEastAsia" w:hAnsiTheme="minorHAnsi" w:cstheme="minorBidi"/>
          <w:noProof/>
          <w:sz w:val="22"/>
          <w:szCs w:val="22"/>
        </w:rPr>
      </w:pPr>
      <w:r>
        <w:rPr>
          <w:noProof/>
        </w:rPr>
        <w:t>Aggregating benefits and costs</w:t>
      </w:r>
      <w:r>
        <w:rPr>
          <w:noProof/>
        </w:rPr>
        <w:tab/>
      </w:r>
      <w:r>
        <w:rPr>
          <w:noProof/>
        </w:rPr>
        <w:fldChar w:fldCharType="begin"/>
      </w:r>
      <w:r>
        <w:rPr>
          <w:noProof/>
        </w:rPr>
        <w:instrText xml:space="preserve"> PAGEREF _Toc530748577 \h </w:instrText>
      </w:r>
      <w:r>
        <w:rPr>
          <w:noProof/>
        </w:rPr>
      </w:r>
      <w:r>
        <w:rPr>
          <w:noProof/>
        </w:rPr>
        <w:fldChar w:fldCharType="separate"/>
      </w:r>
      <w:r>
        <w:rPr>
          <w:noProof/>
        </w:rPr>
        <w:t>104</w:t>
      </w:r>
      <w:r>
        <w:rPr>
          <w:noProof/>
        </w:rPr>
        <w:fldChar w:fldCharType="end"/>
      </w:r>
    </w:p>
    <w:p w:rsidR="00B833F1" w:rsidRDefault="00B833F1">
      <w:pPr>
        <w:pStyle w:val="TOC2"/>
        <w:rPr>
          <w:rFonts w:asciiTheme="minorHAnsi" w:eastAsiaTheme="minorEastAsia" w:hAnsiTheme="minorHAnsi" w:cstheme="minorBidi"/>
          <w:noProof/>
          <w:sz w:val="22"/>
          <w:szCs w:val="22"/>
        </w:rPr>
      </w:pPr>
      <w:r>
        <w:rPr>
          <w:noProof/>
        </w:rPr>
        <w:t>Sensitivity analysis</w:t>
      </w:r>
      <w:r>
        <w:rPr>
          <w:noProof/>
        </w:rPr>
        <w:tab/>
      </w:r>
      <w:r>
        <w:rPr>
          <w:noProof/>
        </w:rPr>
        <w:fldChar w:fldCharType="begin"/>
      </w:r>
      <w:r>
        <w:rPr>
          <w:noProof/>
        </w:rPr>
        <w:instrText xml:space="preserve"> PAGEREF _Toc530748578 \h </w:instrText>
      </w:r>
      <w:r>
        <w:rPr>
          <w:noProof/>
        </w:rPr>
      </w:r>
      <w:r>
        <w:rPr>
          <w:noProof/>
        </w:rPr>
        <w:fldChar w:fldCharType="separate"/>
      </w:r>
      <w:r>
        <w:rPr>
          <w:noProof/>
        </w:rPr>
        <w:t>111</w:t>
      </w:r>
      <w:r>
        <w:rPr>
          <w:noProof/>
        </w:rPr>
        <w:fldChar w:fldCharType="end"/>
      </w:r>
    </w:p>
    <w:p w:rsidR="00B833F1" w:rsidRDefault="00B833F1">
      <w:pPr>
        <w:pStyle w:val="TOC2"/>
        <w:rPr>
          <w:rFonts w:asciiTheme="minorHAnsi" w:eastAsiaTheme="minorEastAsia" w:hAnsiTheme="minorHAnsi" w:cstheme="minorBidi"/>
          <w:noProof/>
          <w:sz w:val="22"/>
          <w:szCs w:val="22"/>
        </w:rPr>
      </w:pPr>
      <w:r>
        <w:rPr>
          <w:noProof/>
        </w:rPr>
        <w:t>High level assessment of the non</w:t>
      </w:r>
      <w:r>
        <w:rPr>
          <w:noProof/>
        </w:rPr>
        <w:noBreakHyphen/>
        <w:t>regulatory option</w:t>
      </w:r>
      <w:r>
        <w:rPr>
          <w:noProof/>
        </w:rPr>
        <w:tab/>
      </w:r>
      <w:r>
        <w:rPr>
          <w:noProof/>
        </w:rPr>
        <w:fldChar w:fldCharType="begin"/>
      </w:r>
      <w:r>
        <w:rPr>
          <w:noProof/>
        </w:rPr>
        <w:instrText xml:space="preserve"> PAGEREF _Toc530748579 \h </w:instrText>
      </w:r>
      <w:r>
        <w:rPr>
          <w:noProof/>
        </w:rPr>
      </w:r>
      <w:r>
        <w:rPr>
          <w:noProof/>
        </w:rPr>
        <w:fldChar w:fldCharType="separate"/>
      </w:r>
      <w:r>
        <w:rPr>
          <w:noProof/>
        </w:rPr>
        <w:t>115</w:t>
      </w:r>
      <w:r>
        <w:rPr>
          <w:noProof/>
        </w:rPr>
        <w:fldChar w:fldCharType="end"/>
      </w:r>
    </w:p>
    <w:p w:rsidR="00B833F1" w:rsidRDefault="00B833F1">
      <w:pPr>
        <w:pStyle w:val="TOC2"/>
        <w:rPr>
          <w:rFonts w:asciiTheme="minorHAnsi" w:eastAsiaTheme="minorEastAsia" w:hAnsiTheme="minorHAnsi" w:cstheme="minorBidi"/>
          <w:noProof/>
          <w:sz w:val="22"/>
          <w:szCs w:val="22"/>
        </w:rPr>
      </w:pPr>
      <w:r>
        <w:rPr>
          <w:noProof/>
        </w:rPr>
        <w:t>Assessment against the ‘competition test’</w:t>
      </w:r>
      <w:r>
        <w:rPr>
          <w:noProof/>
        </w:rPr>
        <w:tab/>
      </w:r>
      <w:r>
        <w:rPr>
          <w:noProof/>
        </w:rPr>
        <w:fldChar w:fldCharType="begin"/>
      </w:r>
      <w:r>
        <w:rPr>
          <w:noProof/>
        </w:rPr>
        <w:instrText xml:space="preserve"> PAGEREF _Toc530748580 \h </w:instrText>
      </w:r>
      <w:r>
        <w:rPr>
          <w:noProof/>
        </w:rPr>
      </w:r>
      <w:r>
        <w:rPr>
          <w:noProof/>
        </w:rPr>
        <w:fldChar w:fldCharType="separate"/>
      </w:r>
      <w:r>
        <w:rPr>
          <w:noProof/>
        </w:rPr>
        <w:t>118</w:t>
      </w:r>
      <w:r>
        <w:rPr>
          <w:noProof/>
        </w:rPr>
        <w:fldChar w:fldCharType="end"/>
      </w:r>
    </w:p>
    <w:p w:rsidR="00B833F1" w:rsidRDefault="00B833F1">
      <w:pPr>
        <w:pStyle w:val="TOC2"/>
        <w:rPr>
          <w:rFonts w:asciiTheme="minorHAnsi" w:eastAsiaTheme="minorEastAsia" w:hAnsiTheme="minorHAnsi" w:cstheme="minorBidi"/>
          <w:noProof/>
          <w:sz w:val="22"/>
          <w:szCs w:val="22"/>
        </w:rPr>
      </w:pPr>
      <w:r>
        <w:rPr>
          <w:noProof/>
        </w:rPr>
        <w:t>Limitations of the analysis</w:t>
      </w:r>
      <w:r>
        <w:rPr>
          <w:noProof/>
        </w:rPr>
        <w:tab/>
      </w:r>
      <w:r>
        <w:rPr>
          <w:noProof/>
        </w:rPr>
        <w:fldChar w:fldCharType="begin"/>
      </w:r>
      <w:r>
        <w:rPr>
          <w:noProof/>
        </w:rPr>
        <w:instrText xml:space="preserve"> PAGEREF _Toc530748581 \h </w:instrText>
      </w:r>
      <w:r>
        <w:rPr>
          <w:noProof/>
        </w:rPr>
      </w:r>
      <w:r>
        <w:rPr>
          <w:noProof/>
        </w:rPr>
        <w:fldChar w:fldCharType="separate"/>
      </w:r>
      <w:r>
        <w:rPr>
          <w:noProof/>
        </w:rPr>
        <w:t>119</w:t>
      </w:r>
      <w:r>
        <w:rPr>
          <w:noProof/>
        </w:rPr>
        <w:fldChar w:fldCharType="end"/>
      </w:r>
    </w:p>
    <w:p w:rsidR="00B833F1" w:rsidRDefault="00B833F1">
      <w:pPr>
        <w:pStyle w:val="TOC1"/>
        <w:rPr>
          <w:rFonts w:asciiTheme="minorHAnsi" w:eastAsiaTheme="minorEastAsia" w:hAnsiTheme="minorHAnsi" w:cstheme="minorBidi"/>
          <w:noProof/>
          <w:sz w:val="22"/>
          <w:szCs w:val="22"/>
        </w:rPr>
      </w:pPr>
      <w:r>
        <w:rPr>
          <w:noProof/>
        </w:rPr>
        <w:t>9</w:t>
      </w:r>
      <w:r>
        <w:rPr>
          <w:rFonts w:asciiTheme="minorHAnsi" w:eastAsiaTheme="minorEastAsia" w:hAnsiTheme="minorHAnsi" w:cstheme="minorBidi"/>
          <w:noProof/>
          <w:sz w:val="22"/>
          <w:szCs w:val="22"/>
        </w:rPr>
        <w:tab/>
      </w:r>
      <w:r>
        <w:rPr>
          <w:noProof/>
        </w:rPr>
        <w:t>Implementation and review</w:t>
      </w:r>
      <w:r>
        <w:rPr>
          <w:noProof/>
        </w:rPr>
        <w:tab/>
      </w:r>
      <w:r>
        <w:rPr>
          <w:noProof/>
        </w:rPr>
        <w:fldChar w:fldCharType="begin"/>
      </w:r>
      <w:r>
        <w:rPr>
          <w:noProof/>
        </w:rPr>
        <w:instrText xml:space="preserve"> PAGEREF _Toc530748582 \h </w:instrText>
      </w:r>
      <w:r>
        <w:rPr>
          <w:noProof/>
        </w:rPr>
      </w:r>
      <w:r>
        <w:rPr>
          <w:noProof/>
        </w:rPr>
        <w:fldChar w:fldCharType="separate"/>
      </w:r>
      <w:r>
        <w:rPr>
          <w:noProof/>
        </w:rPr>
        <w:t>121</w:t>
      </w:r>
      <w:r>
        <w:rPr>
          <w:noProof/>
        </w:rPr>
        <w:fldChar w:fldCharType="end"/>
      </w:r>
    </w:p>
    <w:p w:rsidR="00B833F1" w:rsidRDefault="00B833F1">
      <w:pPr>
        <w:pStyle w:val="TOC2"/>
        <w:rPr>
          <w:rFonts w:asciiTheme="minorHAnsi" w:eastAsiaTheme="minorEastAsia" w:hAnsiTheme="minorHAnsi" w:cstheme="minorBidi"/>
          <w:noProof/>
          <w:sz w:val="22"/>
          <w:szCs w:val="22"/>
        </w:rPr>
      </w:pPr>
      <w:r>
        <w:rPr>
          <w:noProof/>
        </w:rPr>
        <w:t>Implementation of the proposed changes to the NCC</w:t>
      </w:r>
      <w:r>
        <w:rPr>
          <w:noProof/>
        </w:rPr>
        <w:tab/>
      </w:r>
      <w:r>
        <w:rPr>
          <w:noProof/>
        </w:rPr>
        <w:fldChar w:fldCharType="begin"/>
      </w:r>
      <w:r>
        <w:rPr>
          <w:noProof/>
        </w:rPr>
        <w:instrText xml:space="preserve"> PAGEREF _Toc530748583 \h </w:instrText>
      </w:r>
      <w:r>
        <w:rPr>
          <w:noProof/>
        </w:rPr>
      </w:r>
      <w:r>
        <w:rPr>
          <w:noProof/>
        </w:rPr>
        <w:fldChar w:fldCharType="separate"/>
      </w:r>
      <w:r>
        <w:rPr>
          <w:noProof/>
        </w:rPr>
        <w:t>121</w:t>
      </w:r>
      <w:r>
        <w:rPr>
          <w:noProof/>
        </w:rPr>
        <w:fldChar w:fldCharType="end"/>
      </w:r>
    </w:p>
    <w:p w:rsidR="00B833F1" w:rsidRDefault="00B833F1">
      <w:pPr>
        <w:pStyle w:val="TOC2"/>
        <w:rPr>
          <w:rFonts w:asciiTheme="minorHAnsi" w:eastAsiaTheme="minorEastAsia" w:hAnsiTheme="minorHAnsi" w:cstheme="minorBidi"/>
          <w:noProof/>
          <w:sz w:val="22"/>
          <w:szCs w:val="22"/>
        </w:rPr>
      </w:pPr>
      <w:r>
        <w:rPr>
          <w:noProof/>
        </w:rPr>
        <w:t>Review of the new minimum standards</w:t>
      </w:r>
      <w:r>
        <w:rPr>
          <w:noProof/>
        </w:rPr>
        <w:tab/>
      </w:r>
      <w:r>
        <w:rPr>
          <w:noProof/>
        </w:rPr>
        <w:fldChar w:fldCharType="begin"/>
      </w:r>
      <w:r>
        <w:rPr>
          <w:noProof/>
        </w:rPr>
        <w:instrText xml:space="preserve"> PAGEREF _Toc530748584 \h </w:instrText>
      </w:r>
      <w:r>
        <w:rPr>
          <w:noProof/>
        </w:rPr>
      </w:r>
      <w:r>
        <w:rPr>
          <w:noProof/>
        </w:rPr>
        <w:fldChar w:fldCharType="separate"/>
      </w:r>
      <w:r>
        <w:rPr>
          <w:noProof/>
        </w:rPr>
        <w:t>124</w:t>
      </w:r>
      <w:r>
        <w:rPr>
          <w:noProof/>
        </w:rPr>
        <w:fldChar w:fldCharType="end"/>
      </w:r>
    </w:p>
    <w:p w:rsidR="00B833F1" w:rsidRDefault="00B833F1">
      <w:pPr>
        <w:pStyle w:val="TOC1"/>
        <w:rPr>
          <w:rFonts w:asciiTheme="minorHAnsi" w:eastAsiaTheme="minorEastAsia" w:hAnsiTheme="minorHAnsi" w:cstheme="minorBidi"/>
          <w:noProof/>
          <w:sz w:val="22"/>
          <w:szCs w:val="22"/>
        </w:rPr>
      </w:pPr>
      <w:r>
        <w:rPr>
          <w:noProof/>
        </w:rPr>
        <w:t>10</w:t>
      </w:r>
      <w:r>
        <w:rPr>
          <w:rFonts w:asciiTheme="minorHAnsi" w:eastAsiaTheme="minorEastAsia" w:hAnsiTheme="minorHAnsi" w:cstheme="minorBidi"/>
          <w:noProof/>
          <w:sz w:val="22"/>
          <w:szCs w:val="22"/>
        </w:rPr>
        <w:tab/>
      </w:r>
      <w:r>
        <w:rPr>
          <w:noProof/>
        </w:rPr>
        <w:t>Conclusions</w:t>
      </w:r>
      <w:r>
        <w:rPr>
          <w:noProof/>
        </w:rPr>
        <w:tab/>
      </w:r>
      <w:r>
        <w:rPr>
          <w:noProof/>
        </w:rPr>
        <w:fldChar w:fldCharType="begin"/>
      </w:r>
      <w:r>
        <w:rPr>
          <w:noProof/>
        </w:rPr>
        <w:instrText xml:space="preserve"> PAGEREF _Toc530748585 \h </w:instrText>
      </w:r>
      <w:r>
        <w:rPr>
          <w:noProof/>
        </w:rPr>
      </w:r>
      <w:r>
        <w:rPr>
          <w:noProof/>
        </w:rPr>
        <w:fldChar w:fldCharType="separate"/>
      </w:r>
      <w:r>
        <w:rPr>
          <w:noProof/>
        </w:rPr>
        <w:t>126</w:t>
      </w:r>
      <w:r>
        <w:rPr>
          <w:noProof/>
        </w:rPr>
        <w:fldChar w:fldCharType="end"/>
      </w:r>
    </w:p>
    <w:p w:rsidR="00B833F1" w:rsidRDefault="00B833F1">
      <w:pPr>
        <w:pStyle w:val="TOC1"/>
        <w:rPr>
          <w:rFonts w:asciiTheme="minorHAnsi" w:eastAsiaTheme="minorEastAsia" w:hAnsiTheme="minorHAnsi" w:cstheme="minorBidi"/>
          <w:noProof/>
          <w:sz w:val="22"/>
          <w:szCs w:val="22"/>
        </w:rPr>
      </w:pPr>
      <w:r>
        <w:rPr>
          <w:noProof/>
        </w:rPr>
        <w:t>A</w:t>
      </w:r>
      <w:r>
        <w:rPr>
          <w:rFonts w:asciiTheme="minorHAnsi" w:eastAsiaTheme="minorEastAsia" w:hAnsiTheme="minorHAnsi" w:cstheme="minorBidi"/>
          <w:noProof/>
          <w:sz w:val="22"/>
          <w:szCs w:val="22"/>
        </w:rPr>
        <w:tab/>
      </w:r>
      <w:r>
        <w:rPr>
          <w:noProof/>
        </w:rPr>
        <w:t>Review of direct evidence on causes of the energy efficiency gap</w:t>
      </w:r>
      <w:r>
        <w:rPr>
          <w:noProof/>
        </w:rPr>
        <w:tab/>
      </w:r>
      <w:r>
        <w:rPr>
          <w:noProof/>
        </w:rPr>
        <w:fldChar w:fldCharType="begin"/>
      </w:r>
      <w:r>
        <w:rPr>
          <w:noProof/>
        </w:rPr>
        <w:instrText xml:space="preserve"> PAGEREF _Toc530748586 \h </w:instrText>
      </w:r>
      <w:r>
        <w:rPr>
          <w:noProof/>
        </w:rPr>
      </w:r>
      <w:r>
        <w:rPr>
          <w:noProof/>
        </w:rPr>
        <w:fldChar w:fldCharType="separate"/>
      </w:r>
      <w:r>
        <w:rPr>
          <w:noProof/>
        </w:rPr>
        <w:t>128</w:t>
      </w:r>
      <w:r>
        <w:rPr>
          <w:noProof/>
        </w:rPr>
        <w:fldChar w:fldCharType="end"/>
      </w:r>
    </w:p>
    <w:p w:rsidR="00B833F1" w:rsidRDefault="00B833F1">
      <w:pPr>
        <w:pStyle w:val="TOC2"/>
        <w:rPr>
          <w:rFonts w:asciiTheme="minorHAnsi" w:eastAsiaTheme="minorEastAsia" w:hAnsiTheme="minorHAnsi" w:cstheme="minorBidi"/>
          <w:noProof/>
          <w:sz w:val="22"/>
          <w:szCs w:val="22"/>
        </w:rPr>
      </w:pPr>
      <w:r>
        <w:rPr>
          <w:noProof/>
        </w:rPr>
        <w:t>Alternative explanations</w:t>
      </w:r>
      <w:r>
        <w:rPr>
          <w:noProof/>
        </w:rPr>
        <w:tab/>
      </w:r>
      <w:r>
        <w:rPr>
          <w:noProof/>
        </w:rPr>
        <w:fldChar w:fldCharType="begin"/>
      </w:r>
      <w:r>
        <w:rPr>
          <w:noProof/>
        </w:rPr>
        <w:instrText xml:space="preserve"> PAGEREF _Toc530748587 \h </w:instrText>
      </w:r>
      <w:r>
        <w:rPr>
          <w:noProof/>
        </w:rPr>
      </w:r>
      <w:r>
        <w:rPr>
          <w:noProof/>
        </w:rPr>
        <w:fldChar w:fldCharType="separate"/>
      </w:r>
      <w:r>
        <w:rPr>
          <w:noProof/>
        </w:rPr>
        <w:t>135</w:t>
      </w:r>
      <w:r>
        <w:rPr>
          <w:noProof/>
        </w:rPr>
        <w:fldChar w:fldCharType="end"/>
      </w:r>
    </w:p>
    <w:p w:rsidR="00B833F1" w:rsidRDefault="00B833F1">
      <w:pPr>
        <w:pStyle w:val="TOC1"/>
        <w:rPr>
          <w:rFonts w:asciiTheme="minorHAnsi" w:eastAsiaTheme="minorEastAsia" w:hAnsiTheme="minorHAnsi" w:cstheme="minorBidi"/>
          <w:noProof/>
          <w:sz w:val="22"/>
          <w:szCs w:val="22"/>
        </w:rPr>
      </w:pPr>
      <w:r>
        <w:rPr>
          <w:noProof/>
        </w:rPr>
        <w:t>B</w:t>
      </w:r>
      <w:r>
        <w:rPr>
          <w:rFonts w:asciiTheme="minorHAnsi" w:eastAsiaTheme="minorEastAsia" w:hAnsiTheme="minorHAnsi" w:cstheme="minorBidi"/>
          <w:noProof/>
          <w:sz w:val="22"/>
          <w:szCs w:val="22"/>
        </w:rPr>
        <w:tab/>
      </w:r>
      <w:r>
        <w:rPr>
          <w:noProof/>
        </w:rPr>
        <w:t>Summary of proposed changes to the DTS Provisions</w:t>
      </w:r>
      <w:r>
        <w:rPr>
          <w:noProof/>
        </w:rPr>
        <w:tab/>
      </w:r>
      <w:r>
        <w:rPr>
          <w:noProof/>
        </w:rPr>
        <w:fldChar w:fldCharType="begin"/>
      </w:r>
      <w:r>
        <w:rPr>
          <w:noProof/>
        </w:rPr>
        <w:instrText xml:space="preserve"> PAGEREF _Toc530748588 \h </w:instrText>
      </w:r>
      <w:r>
        <w:rPr>
          <w:noProof/>
        </w:rPr>
      </w:r>
      <w:r>
        <w:rPr>
          <w:noProof/>
        </w:rPr>
        <w:fldChar w:fldCharType="separate"/>
      </w:r>
      <w:r>
        <w:rPr>
          <w:noProof/>
        </w:rPr>
        <w:t>137</w:t>
      </w:r>
      <w:r>
        <w:rPr>
          <w:noProof/>
        </w:rPr>
        <w:fldChar w:fldCharType="end"/>
      </w:r>
    </w:p>
    <w:p w:rsidR="00B833F1" w:rsidRDefault="00B833F1">
      <w:pPr>
        <w:pStyle w:val="TOC1"/>
        <w:rPr>
          <w:rFonts w:asciiTheme="minorHAnsi" w:eastAsiaTheme="minorEastAsia" w:hAnsiTheme="minorHAnsi" w:cstheme="minorBidi"/>
          <w:noProof/>
          <w:sz w:val="22"/>
          <w:szCs w:val="22"/>
        </w:rPr>
      </w:pPr>
      <w:r>
        <w:rPr>
          <w:noProof/>
        </w:rPr>
        <w:t>C</w:t>
      </w:r>
      <w:r>
        <w:rPr>
          <w:rFonts w:asciiTheme="minorHAnsi" w:eastAsiaTheme="minorEastAsia" w:hAnsiTheme="minorHAnsi" w:cstheme="minorBidi"/>
          <w:noProof/>
          <w:sz w:val="22"/>
          <w:szCs w:val="22"/>
        </w:rPr>
        <w:tab/>
      </w:r>
      <w:r>
        <w:rPr>
          <w:noProof/>
        </w:rPr>
        <w:t>Summary of consultation submissions</w:t>
      </w:r>
      <w:r>
        <w:rPr>
          <w:noProof/>
        </w:rPr>
        <w:tab/>
      </w:r>
      <w:r>
        <w:rPr>
          <w:noProof/>
        </w:rPr>
        <w:fldChar w:fldCharType="begin"/>
      </w:r>
      <w:r>
        <w:rPr>
          <w:noProof/>
        </w:rPr>
        <w:instrText xml:space="preserve"> PAGEREF _Toc530748589 \h </w:instrText>
      </w:r>
      <w:r>
        <w:rPr>
          <w:noProof/>
        </w:rPr>
      </w:r>
      <w:r>
        <w:rPr>
          <w:noProof/>
        </w:rPr>
        <w:fldChar w:fldCharType="separate"/>
      </w:r>
      <w:r>
        <w:rPr>
          <w:noProof/>
        </w:rPr>
        <w:t>142</w:t>
      </w:r>
      <w:r>
        <w:rPr>
          <w:noProof/>
        </w:rPr>
        <w:fldChar w:fldCharType="end"/>
      </w:r>
    </w:p>
    <w:p w:rsidR="00B833F1" w:rsidRDefault="00B833F1">
      <w:pPr>
        <w:pStyle w:val="TOC1"/>
        <w:rPr>
          <w:rFonts w:asciiTheme="minorHAnsi" w:eastAsiaTheme="minorEastAsia" w:hAnsiTheme="minorHAnsi" w:cstheme="minorBidi"/>
          <w:noProof/>
          <w:sz w:val="22"/>
          <w:szCs w:val="22"/>
        </w:rPr>
      </w:pPr>
      <w:r>
        <w:rPr>
          <w:noProof/>
        </w:rPr>
        <w:t>D</w:t>
      </w:r>
      <w:r>
        <w:rPr>
          <w:rFonts w:asciiTheme="minorHAnsi" w:eastAsiaTheme="minorEastAsia" w:hAnsiTheme="minorHAnsi" w:cstheme="minorBidi"/>
          <w:noProof/>
          <w:sz w:val="22"/>
          <w:szCs w:val="22"/>
        </w:rPr>
        <w:tab/>
      </w:r>
      <w:r>
        <w:rPr>
          <w:noProof/>
        </w:rPr>
        <w:t>Are modelled energy savings realised?</w:t>
      </w:r>
      <w:r>
        <w:rPr>
          <w:noProof/>
        </w:rPr>
        <w:tab/>
      </w:r>
      <w:r>
        <w:rPr>
          <w:noProof/>
        </w:rPr>
        <w:fldChar w:fldCharType="begin"/>
      </w:r>
      <w:r>
        <w:rPr>
          <w:noProof/>
        </w:rPr>
        <w:instrText xml:space="preserve"> PAGEREF _Toc530748590 \h </w:instrText>
      </w:r>
      <w:r>
        <w:rPr>
          <w:noProof/>
        </w:rPr>
      </w:r>
      <w:r>
        <w:rPr>
          <w:noProof/>
        </w:rPr>
        <w:fldChar w:fldCharType="separate"/>
      </w:r>
      <w:r>
        <w:rPr>
          <w:noProof/>
        </w:rPr>
        <w:t>161</w:t>
      </w:r>
      <w:r>
        <w:rPr>
          <w:noProof/>
        </w:rPr>
        <w:fldChar w:fldCharType="end"/>
      </w:r>
    </w:p>
    <w:p w:rsidR="00B833F1" w:rsidRDefault="00B833F1">
      <w:pPr>
        <w:pStyle w:val="TOC2"/>
        <w:rPr>
          <w:rFonts w:asciiTheme="minorHAnsi" w:eastAsiaTheme="minorEastAsia" w:hAnsiTheme="minorHAnsi" w:cstheme="minorBidi"/>
          <w:noProof/>
          <w:sz w:val="22"/>
          <w:szCs w:val="22"/>
        </w:rPr>
      </w:pPr>
      <w:r>
        <w:rPr>
          <w:noProof/>
        </w:rPr>
        <w:t>Over</w:t>
      </w:r>
      <w:r>
        <w:rPr>
          <w:noProof/>
        </w:rPr>
        <w:noBreakHyphen/>
        <w:t>estimation of energy savings</w:t>
      </w:r>
      <w:r>
        <w:rPr>
          <w:noProof/>
        </w:rPr>
        <w:tab/>
      </w:r>
      <w:r>
        <w:rPr>
          <w:noProof/>
        </w:rPr>
        <w:fldChar w:fldCharType="begin"/>
      </w:r>
      <w:r>
        <w:rPr>
          <w:noProof/>
        </w:rPr>
        <w:instrText xml:space="preserve"> PAGEREF _Toc530748591 \h </w:instrText>
      </w:r>
      <w:r>
        <w:rPr>
          <w:noProof/>
        </w:rPr>
      </w:r>
      <w:r>
        <w:rPr>
          <w:noProof/>
        </w:rPr>
        <w:fldChar w:fldCharType="separate"/>
      </w:r>
      <w:r>
        <w:rPr>
          <w:noProof/>
        </w:rPr>
        <w:t>161</w:t>
      </w:r>
      <w:r>
        <w:rPr>
          <w:noProof/>
        </w:rPr>
        <w:fldChar w:fldCharType="end"/>
      </w:r>
    </w:p>
    <w:p w:rsidR="00B833F1" w:rsidRDefault="00B833F1">
      <w:pPr>
        <w:pStyle w:val="TOC2"/>
        <w:rPr>
          <w:rFonts w:asciiTheme="minorHAnsi" w:eastAsiaTheme="minorEastAsia" w:hAnsiTheme="minorHAnsi" w:cstheme="minorBidi"/>
          <w:noProof/>
          <w:sz w:val="22"/>
          <w:szCs w:val="22"/>
        </w:rPr>
      </w:pPr>
      <w:r>
        <w:rPr>
          <w:noProof/>
        </w:rPr>
        <w:t>The performance gap</w:t>
      </w:r>
      <w:r>
        <w:rPr>
          <w:noProof/>
        </w:rPr>
        <w:tab/>
      </w:r>
      <w:r>
        <w:rPr>
          <w:noProof/>
        </w:rPr>
        <w:fldChar w:fldCharType="begin"/>
      </w:r>
      <w:r>
        <w:rPr>
          <w:noProof/>
        </w:rPr>
        <w:instrText xml:space="preserve"> PAGEREF _Toc530748592 \h </w:instrText>
      </w:r>
      <w:r>
        <w:rPr>
          <w:noProof/>
        </w:rPr>
      </w:r>
      <w:r>
        <w:rPr>
          <w:noProof/>
        </w:rPr>
        <w:fldChar w:fldCharType="separate"/>
      </w:r>
      <w:r>
        <w:rPr>
          <w:noProof/>
        </w:rPr>
        <w:t>161</w:t>
      </w:r>
      <w:r>
        <w:rPr>
          <w:noProof/>
        </w:rPr>
        <w:fldChar w:fldCharType="end"/>
      </w:r>
    </w:p>
    <w:p w:rsidR="00B833F1" w:rsidRDefault="00B833F1">
      <w:pPr>
        <w:pStyle w:val="TOC2"/>
        <w:rPr>
          <w:rFonts w:asciiTheme="minorHAnsi" w:eastAsiaTheme="minorEastAsia" w:hAnsiTheme="minorHAnsi" w:cstheme="minorBidi"/>
          <w:noProof/>
          <w:sz w:val="22"/>
          <w:szCs w:val="22"/>
        </w:rPr>
      </w:pPr>
      <w:r>
        <w:rPr>
          <w:noProof/>
          <w:lang w:bidi="fa-IR"/>
        </w:rPr>
        <w:t>Australian evidence</w:t>
      </w:r>
      <w:r>
        <w:rPr>
          <w:noProof/>
        </w:rPr>
        <w:tab/>
      </w:r>
      <w:r>
        <w:rPr>
          <w:noProof/>
        </w:rPr>
        <w:fldChar w:fldCharType="begin"/>
      </w:r>
      <w:r>
        <w:rPr>
          <w:noProof/>
        </w:rPr>
        <w:instrText xml:space="preserve"> PAGEREF _Toc530748593 \h </w:instrText>
      </w:r>
      <w:r>
        <w:rPr>
          <w:noProof/>
        </w:rPr>
      </w:r>
      <w:r>
        <w:rPr>
          <w:noProof/>
        </w:rPr>
        <w:fldChar w:fldCharType="separate"/>
      </w:r>
      <w:r>
        <w:rPr>
          <w:noProof/>
        </w:rPr>
        <w:t>164</w:t>
      </w:r>
      <w:r>
        <w:rPr>
          <w:noProof/>
        </w:rPr>
        <w:fldChar w:fldCharType="end"/>
      </w:r>
    </w:p>
    <w:p w:rsidR="00B833F1" w:rsidRDefault="00B833F1">
      <w:pPr>
        <w:pStyle w:val="TOC2"/>
        <w:rPr>
          <w:rFonts w:asciiTheme="minorHAnsi" w:eastAsiaTheme="minorEastAsia" w:hAnsiTheme="minorHAnsi" w:cstheme="minorBidi"/>
          <w:noProof/>
          <w:sz w:val="22"/>
          <w:szCs w:val="22"/>
        </w:rPr>
      </w:pPr>
      <w:r w:rsidRPr="000C539A">
        <w:rPr>
          <w:rFonts w:asciiTheme="minorHAnsi" w:hAnsiTheme="minorHAnsi"/>
          <w:noProof/>
          <w:spacing w:val="-3"/>
          <w:lang w:bidi="fa-IR"/>
        </w:rPr>
        <w:t>Reasons why predicted energy savings may not be realised</w:t>
      </w:r>
      <w:r>
        <w:rPr>
          <w:noProof/>
        </w:rPr>
        <w:tab/>
      </w:r>
      <w:r>
        <w:rPr>
          <w:noProof/>
        </w:rPr>
        <w:fldChar w:fldCharType="begin"/>
      </w:r>
      <w:r>
        <w:rPr>
          <w:noProof/>
        </w:rPr>
        <w:instrText xml:space="preserve"> PAGEREF _Toc530748594 \h </w:instrText>
      </w:r>
      <w:r>
        <w:rPr>
          <w:noProof/>
        </w:rPr>
      </w:r>
      <w:r>
        <w:rPr>
          <w:noProof/>
        </w:rPr>
        <w:fldChar w:fldCharType="separate"/>
      </w:r>
      <w:r>
        <w:rPr>
          <w:noProof/>
        </w:rPr>
        <w:t>172</w:t>
      </w:r>
      <w:r>
        <w:rPr>
          <w:noProof/>
        </w:rPr>
        <w:fldChar w:fldCharType="end"/>
      </w:r>
    </w:p>
    <w:p w:rsidR="00B833F1" w:rsidRDefault="00B833F1">
      <w:pPr>
        <w:pStyle w:val="TOC1"/>
        <w:rPr>
          <w:rFonts w:asciiTheme="minorHAnsi" w:eastAsiaTheme="minorEastAsia" w:hAnsiTheme="minorHAnsi" w:cstheme="minorBidi"/>
          <w:noProof/>
          <w:sz w:val="22"/>
          <w:szCs w:val="22"/>
        </w:rPr>
      </w:pPr>
      <w:r>
        <w:rPr>
          <w:noProof/>
        </w:rPr>
        <w:t>E</w:t>
      </w:r>
      <w:r>
        <w:rPr>
          <w:rFonts w:asciiTheme="minorHAnsi" w:eastAsiaTheme="minorEastAsia" w:hAnsiTheme="minorHAnsi" w:cstheme="minorBidi"/>
          <w:noProof/>
          <w:sz w:val="22"/>
          <w:szCs w:val="22"/>
        </w:rPr>
        <w:tab/>
      </w:r>
      <w:r>
        <w:rPr>
          <w:noProof/>
        </w:rPr>
        <w:t>Commercial building construction projections</w:t>
      </w:r>
      <w:r>
        <w:rPr>
          <w:noProof/>
        </w:rPr>
        <w:tab/>
      </w:r>
      <w:r>
        <w:rPr>
          <w:noProof/>
        </w:rPr>
        <w:fldChar w:fldCharType="begin"/>
      </w:r>
      <w:r>
        <w:rPr>
          <w:noProof/>
        </w:rPr>
        <w:instrText xml:space="preserve"> PAGEREF _Toc530748595 \h </w:instrText>
      </w:r>
      <w:r>
        <w:rPr>
          <w:noProof/>
        </w:rPr>
      </w:r>
      <w:r>
        <w:rPr>
          <w:noProof/>
        </w:rPr>
        <w:fldChar w:fldCharType="separate"/>
      </w:r>
      <w:r>
        <w:rPr>
          <w:noProof/>
        </w:rPr>
        <w:t>174</w:t>
      </w:r>
      <w:r>
        <w:rPr>
          <w:noProof/>
        </w:rPr>
        <w:fldChar w:fldCharType="end"/>
      </w:r>
    </w:p>
    <w:p w:rsidR="00B833F1" w:rsidRDefault="00B833F1">
      <w:pPr>
        <w:pStyle w:val="TOC2"/>
        <w:rPr>
          <w:rFonts w:asciiTheme="minorHAnsi" w:eastAsiaTheme="minorEastAsia" w:hAnsiTheme="minorHAnsi" w:cstheme="minorBidi"/>
          <w:noProof/>
          <w:sz w:val="22"/>
          <w:szCs w:val="22"/>
        </w:rPr>
      </w:pPr>
      <w:r>
        <w:rPr>
          <w:noProof/>
        </w:rPr>
        <w:t>Background and approach</w:t>
      </w:r>
      <w:r>
        <w:rPr>
          <w:noProof/>
        </w:rPr>
        <w:tab/>
      </w:r>
      <w:r>
        <w:rPr>
          <w:noProof/>
        </w:rPr>
        <w:fldChar w:fldCharType="begin"/>
      </w:r>
      <w:r>
        <w:rPr>
          <w:noProof/>
        </w:rPr>
        <w:instrText xml:space="preserve"> PAGEREF _Toc530748596 \h </w:instrText>
      </w:r>
      <w:r>
        <w:rPr>
          <w:noProof/>
        </w:rPr>
      </w:r>
      <w:r>
        <w:rPr>
          <w:noProof/>
        </w:rPr>
        <w:fldChar w:fldCharType="separate"/>
      </w:r>
      <w:r>
        <w:rPr>
          <w:noProof/>
        </w:rPr>
        <w:t>174</w:t>
      </w:r>
      <w:r>
        <w:rPr>
          <w:noProof/>
        </w:rPr>
        <w:fldChar w:fldCharType="end"/>
      </w:r>
    </w:p>
    <w:p w:rsidR="00B833F1" w:rsidRDefault="00B833F1">
      <w:pPr>
        <w:pStyle w:val="TOC2"/>
        <w:rPr>
          <w:rFonts w:asciiTheme="minorHAnsi" w:eastAsiaTheme="minorEastAsia" w:hAnsiTheme="minorHAnsi" w:cstheme="minorBidi"/>
          <w:noProof/>
          <w:sz w:val="22"/>
          <w:szCs w:val="22"/>
        </w:rPr>
      </w:pPr>
      <w:r>
        <w:rPr>
          <w:noProof/>
        </w:rPr>
        <w:t xml:space="preserve">Estimates of net additions by </w:t>
      </w:r>
      <w:r w:rsidR="00E31EE8">
        <w:rPr>
          <w:noProof/>
        </w:rPr>
        <w:t>Climate Zone</w:t>
      </w:r>
      <w:r>
        <w:rPr>
          <w:noProof/>
        </w:rPr>
        <w:tab/>
      </w:r>
      <w:r>
        <w:rPr>
          <w:noProof/>
        </w:rPr>
        <w:fldChar w:fldCharType="begin"/>
      </w:r>
      <w:r>
        <w:rPr>
          <w:noProof/>
        </w:rPr>
        <w:instrText xml:space="preserve"> PAGEREF _Toc530748597 \h </w:instrText>
      </w:r>
      <w:r>
        <w:rPr>
          <w:noProof/>
        </w:rPr>
      </w:r>
      <w:r>
        <w:rPr>
          <w:noProof/>
        </w:rPr>
        <w:fldChar w:fldCharType="separate"/>
      </w:r>
      <w:r>
        <w:rPr>
          <w:noProof/>
        </w:rPr>
        <w:t>181</w:t>
      </w:r>
      <w:r>
        <w:rPr>
          <w:noProof/>
        </w:rPr>
        <w:fldChar w:fldCharType="end"/>
      </w:r>
    </w:p>
    <w:p w:rsidR="00B833F1" w:rsidRDefault="00B833F1">
      <w:pPr>
        <w:pStyle w:val="TOC2"/>
        <w:rPr>
          <w:rFonts w:asciiTheme="minorHAnsi" w:eastAsiaTheme="minorEastAsia" w:hAnsiTheme="minorHAnsi" w:cstheme="minorBidi"/>
          <w:noProof/>
          <w:sz w:val="22"/>
          <w:szCs w:val="22"/>
        </w:rPr>
      </w:pPr>
      <w:r>
        <w:rPr>
          <w:noProof/>
          <w:lang w:eastAsia="en-US"/>
        </w:rPr>
        <w:t>Retired floor space</w:t>
      </w:r>
      <w:r>
        <w:rPr>
          <w:noProof/>
        </w:rPr>
        <w:tab/>
      </w:r>
      <w:r>
        <w:rPr>
          <w:noProof/>
        </w:rPr>
        <w:fldChar w:fldCharType="begin"/>
      </w:r>
      <w:r>
        <w:rPr>
          <w:noProof/>
        </w:rPr>
        <w:instrText xml:space="preserve"> PAGEREF _Toc530748598 \h </w:instrText>
      </w:r>
      <w:r>
        <w:rPr>
          <w:noProof/>
        </w:rPr>
      </w:r>
      <w:r>
        <w:rPr>
          <w:noProof/>
        </w:rPr>
        <w:fldChar w:fldCharType="separate"/>
      </w:r>
      <w:r>
        <w:rPr>
          <w:noProof/>
        </w:rPr>
        <w:t>183</w:t>
      </w:r>
      <w:r>
        <w:rPr>
          <w:noProof/>
        </w:rPr>
        <w:fldChar w:fldCharType="end"/>
      </w:r>
    </w:p>
    <w:p w:rsidR="00B833F1" w:rsidRDefault="00B833F1">
      <w:pPr>
        <w:pStyle w:val="TOC2"/>
        <w:rPr>
          <w:rFonts w:asciiTheme="minorHAnsi" w:eastAsiaTheme="minorEastAsia" w:hAnsiTheme="minorHAnsi" w:cstheme="minorBidi"/>
          <w:noProof/>
          <w:sz w:val="22"/>
          <w:szCs w:val="22"/>
        </w:rPr>
      </w:pPr>
      <w:r>
        <w:rPr>
          <w:noProof/>
          <w:lang w:eastAsia="en-US"/>
        </w:rPr>
        <w:t>Total additions</w:t>
      </w:r>
      <w:r>
        <w:rPr>
          <w:noProof/>
        </w:rPr>
        <w:tab/>
      </w:r>
      <w:r>
        <w:rPr>
          <w:noProof/>
        </w:rPr>
        <w:fldChar w:fldCharType="begin"/>
      </w:r>
      <w:r>
        <w:rPr>
          <w:noProof/>
        </w:rPr>
        <w:instrText xml:space="preserve"> PAGEREF _Toc530748599 \h </w:instrText>
      </w:r>
      <w:r>
        <w:rPr>
          <w:noProof/>
        </w:rPr>
      </w:r>
      <w:r>
        <w:rPr>
          <w:noProof/>
        </w:rPr>
        <w:fldChar w:fldCharType="separate"/>
      </w:r>
      <w:r>
        <w:rPr>
          <w:noProof/>
        </w:rPr>
        <w:t>184</w:t>
      </w:r>
      <w:r>
        <w:rPr>
          <w:noProof/>
        </w:rPr>
        <w:fldChar w:fldCharType="end"/>
      </w:r>
    </w:p>
    <w:p w:rsidR="00B833F1" w:rsidRDefault="00B833F1">
      <w:pPr>
        <w:pStyle w:val="TOC2"/>
        <w:rPr>
          <w:rFonts w:asciiTheme="minorHAnsi" w:eastAsiaTheme="minorEastAsia" w:hAnsiTheme="minorHAnsi" w:cstheme="minorBidi"/>
          <w:noProof/>
          <w:sz w:val="22"/>
          <w:szCs w:val="22"/>
        </w:rPr>
      </w:pPr>
      <w:r>
        <w:rPr>
          <w:noProof/>
          <w:lang w:eastAsia="en-US"/>
        </w:rPr>
        <w:t>Refurbishments</w:t>
      </w:r>
      <w:r>
        <w:rPr>
          <w:noProof/>
        </w:rPr>
        <w:tab/>
      </w:r>
      <w:r>
        <w:rPr>
          <w:noProof/>
        </w:rPr>
        <w:fldChar w:fldCharType="begin"/>
      </w:r>
      <w:r>
        <w:rPr>
          <w:noProof/>
        </w:rPr>
        <w:instrText xml:space="preserve"> PAGEREF _Toc530748600 \h </w:instrText>
      </w:r>
      <w:r>
        <w:rPr>
          <w:noProof/>
        </w:rPr>
      </w:r>
      <w:r>
        <w:rPr>
          <w:noProof/>
        </w:rPr>
        <w:fldChar w:fldCharType="separate"/>
      </w:r>
      <w:r>
        <w:rPr>
          <w:noProof/>
        </w:rPr>
        <w:t>185</w:t>
      </w:r>
      <w:r>
        <w:rPr>
          <w:noProof/>
        </w:rPr>
        <w:fldChar w:fldCharType="end"/>
      </w:r>
    </w:p>
    <w:p w:rsidR="00B833F1" w:rsidRDefault="00B833F1">
      <w:pPr>
        <w:pStyle w:val="TOC1"/>
        <w:rPr>
          <w:rFonts w:asciiTheme="minorHAnsi" w:eastAsiaTheme="minorEastAsia" w:hAnsiTheme="minorHAnsi" w:cstheme="minorBidi"/>
          <w:noProof/>
          <w:sz w:val="22"/>
          <w:szCs w:val="22"/>
        </w:rPr>
      </w:pPr>
      <w:r>
        <w:rPr>
          <w:noProof/>
        </w:rPr>
        <w:t>F</w:t>
      </w:r>
      <w:r>
        <w:rPr>
          <w:rFonts w:asciiTheme="minorHAnsi" w:eastAsiaTheme="minorEastAsia" w:hAnsiTheme="minorHAnsi" w:cstheme="minorBidi"/>
          <w:noProof/>
          <w:sz w:val="22"/>
          <w:szCs w:val="22"/>
        </w:rPr>
        <w:tab/>
      </w:r>
      <w:r>
        <w:rPr>
          <w:noProof/>
        </w:rPr>
        <w:t>Survey of building surveyors</w:t>
      </w:r>
      <w:r>
        <w:rPr>
          <w:noProof/>
        </w:rPr>
        <w:tab/>
      </w:r>
      <w:r>
        <w:rPr>
          <w:noProof/>
        </w:rPr>
        <w:fldChar w:fldCharType="begin"/>
      </w:r>
      <w:r>
        <w:rPr>
          <w:noProof/>
        </w:rPr>
        <w:instrText xml:space="preserve"> PAGEREF _Toc530748601 \h </w:instrText>
      </w:r>
      <w:r>
        <w:rPr>
          <w:noProof/>
        </w:rPr>
      </w:r>
      <w:r>
        <w:rPr>
          <w:noProof/>
        </w:rPr>
        <w:fldChar w:fldCharType="separate"/>
      </w:r>
      <w:r>
        <w:rPr>
          <w:noProof/>
        </w:rPr>
        <w:t>189</w:t>
      </w:r>
      <w:r>
        <w:rPr>
          <w:noProof/>
        </w:rPr>
        <w:fldChar w:fldCharType="end"/>
      </w:r>
    </w:p>
    <w:p w:rsidR="00B833F1" w:rsidRDefault="00B833F1">
      <w:pPr>
        <w:pStyle w:val="TOC2"/>
        <w:rPr>
          <w:rFonts w:asciiTheme="minorHAnsi" w:eastAsiaTheme="minorEastAsia" w:hAnsiTheme="minorHAnsi" w:cstheme="minorBidi"/>
          <w:noProof/>
          <w:sz w:val="22"/>
          <w:szCs w:val="22"/>
        </w:rPr>
      </w:pPr>
      <w:r>
        <w:rPr>
          <w:noProof/>
        </w:rPr>
        <w:t>Survey instrument</w:t>
      </w:r>
      <w:r>
        <w:rPr>
          <w:noProof/>
        </w:rPr>
        <w:tab/>
      </w:r>
      <w:r>
        <w:rPr>
          <w:noProof/>
        </w:rPr>
        <w:fldChar w:fldCharType="begin"/>
      </w:r>
      <w:r>
        <w:rPr>
          <w:noProof/>
        </w:rPr>
        <w:instrText xml:space="preserve"> PAGEREF _Toc530748602 \h </w:instrText>
      </w:r>
      <w:r>
        <w:rPr>
          <w:noProof/>
        </w:rPr>
      </w:r>
      <w:r>
        <w:rPr>
          <w:noProof/>
        </w:rPr>
        <w:fldChar w:fldCharType="separate"/>
      </w:r>
      <w:r>
        <w:rPr>
          <w:noProof/>
        </w:rPr>
        <w:t>189</w:t>
      </w:r>
      <w:r>
        <w:rPr>
          <w:noProof/>
        </w:rPr>
        <w:fldChar w:fldCharType="end"/>
      </w:r>
    </w:p>
    <w:p w:rsidR="00B833F1" w:rsidRDefault="00B833F1">
      <w:pPr>
        <w:pStyle w:val="TOC2"/>
        <w:rPr>
          <w:rFonts w:asciiTheme="minorHAnsi" w:eastAsiaTheme="minorEastAsia" w:hAnsiTheme="minorHAnsi" w:cstheme="minorBidi"/>
          <w:noProof/>
          <w:sz w:val="22"/>
          <w:szCs w:val="22"/>
        </w:rPr>
      </w:pPr>
      <w:r>
        <w:rPr>
          <w:noProof/>
        </w:rPr>
        <w:t>Response rate</w:t>
      </w:r>
      <w:r>
        <w:rPr>
          <w:noProof/>
        </w:rPr>
        <w:tab/>
      </w:r>
      <w:r>
        <w:rPr>
          <w:noProof/>
        </w:rPr>
        <w:fldChar w:fldCharType="begin"/>
      </w:r>
      <w:r>
        <w:rPr>
          <w:noProof/>
        </w:rPr>
        <w:instrText xml:space="preserve"> PAGEREF _Toc530748603 \h </w:instrText>
      </w:r>
      <w:r>
        <w:rPr>
          <w:noProof/>
        </w:rPr>
      </w:r>
      <w:r>
        <w:rPr>
          <w:noProof/>
        </w:rPr>
        <w:fldChar w:fldCharType="separate"/>
      </w:r>
      <w:r>
        <w:rPr>
          <w:noProof/>
        </w:rPr>
        <w:t>191</w:t>
      </w:r>
      <w:r>
        <w:rPr>
          <w:noProof/>
        </w:rPr>
        <w:fldChar w:fldCharType="end"/>
      </w:r>
    </w:p>
    <w:p w:rsidR="00B833F1" w:rsidRDefault="00B833F1">
      <w:pPr>
        <w:pStyle w:val="TOC2"/>
        <w:rPr>
          <w:rFonts w:asciiTheme="minorHAnsi" w:eastAsiaTheme="minorEastAsia" w:hAnsiTheme="minorHAnsi" w:cstheme="minorBidi"/>
          <w:noProof/>
          <w:sz w:val="22"/>
          <w:szCs w:val="22"/>
        </w:rPr>
      </w:pPr>
      <w:r>
        <w:rPr>
          <w:noProof/>
        </w:rPr>
        <w:t>Results</w:t>
      </w:r>
      <w:r>
        <w:rPr>
          <w:noProof/>
        </w:rPr>
        <w:tab/>
      </w:r>
      <w:r>
        <w:rPr>
          <w:noProof/>
        </w:rPr>
        <w:fldChar w:fldCharType="begin"/>
      </w:r>
      <w:r>
        <w:rPr>
          <w:noProof/>
        </w:rPr>
        <w:instrText xml:space="preserve"> PAGEREF _Toc530748604 \h </w:instrText>
      </w:r>
      <w:r>
        <w:rPr>
          <w:noProof/>
        </w:rPr>
      </w:r>
      <w:r>
        <w:rPr>
          <w:noProof/>
        </w:rPr>
        <w:fldChar w:fldCharType="separate"/>
      </w:r>
      <w:r>
        <w:rPr>
          <w:noProof/>
        </w:rPr>
        <w:t>191</w:t>
      </w:r>
      <w:r>
        <w:rPr>
          <w:noProof/>
        </w:rPr>
        <w:fldChar w:fldCharType="end"/>
      </w:r>
    </w:p>
    <w:p w:rsidR="00B833F1" w:rsidRDefault="00B833F1">
      <w:pPr>
        <w:pStyle w:val="TOC1"/>
        <w:rPr>
          <w:rFonts w:asciiTheme="minorHAnsi" w:eastAsiaTheme="minorEastAsia" w:hAnsiTheme="minorHAnsi" w:cstheme="minorBidi"/>
          <w:noProof/>
          <w:sz w:val="22"/>
          <w:szCs w:val="22"/>
        </w:rPr>
      </w:pPr>
      <w:r>
        <w:rPr>
          <w:noProof/>
        </w:rPr>
        <w:lastRenderedPageBreak/>
        <w:t>G</w:t>
      </w:r>
      <w:r>
        <w:rPr>
          <w:rFonts w:asciiTheme="minorHAnsi" w:eastAsiaTheme="minorEastAsia" w:hAnsiTheme="minorHAnsi" w:cstheme="minorBidi"/>
          <w:noProof/>
          <w:sz w:val="22"/>
          <w:szCs w:val="22"/>
        </w:rPr>
        <w:tab/>
      </w:r>
      <w:r>
        <w:rPr>
          <w:noProof/>
        </w:rPr>
        <w:t>Building details</w:t>
      </w:r>
      <w:r>
        <w:rPr>
          <w:noProof/>
        </w:rPr>
        <w:tab/>
      </w:r>
      <w:r>
        <w:rPr>
          <w:noProof/>
        </w:rPr>
        <w:fldChar w:fldCharType="begin"/>
      </w:r>
      <w:r>
        <w:rPr>
          <w:noProof/>
        </w:rPr>
        <w:instrText xml:space="preserve"> PAGEREF _Toc530748605 \h </w:instrText>
      </w:r>
      <w:r>
        <w:rPr>
          <w:noProof/>
        </w:rPr>
      </w:r>
      <w:r>
        <w:rPr>
          <w:noProof/>
        </w:rPr>
        <w:fldChar w:fldCharType="separate"/>
      </w:r>
      <w:r>
        <w:rPr>
          <w:noProof/>
        </w:rPr>
        <w:t>194</w:t>
      </w:r>
      <w:r>
        <w:rPr>
          <w:noProof/>
        </w:rPr>
        <w:fldChar w:fldCharType="end"/>
      </w:r>
    </w:p>
    <w:p w:rsidR="00B833F1" w:rsidRDefault="00B833F1">
      <w:pPr>
        <w:pStyle w:val="TOC2"/>
        <w:rPr>
          <w:rFonts w:asciiTheme="minorHAnsi" w:eastAsiaTheme="minorEastAsia" w:hAnsiTheme="minorHAnsi" w:cstheme="minorBidi"/>
          <w:noProof/>
          <w:sz w:val="22"/>
          <w:szCs w:val="22"/>
        </w:rPr>
      </w:pPr>
      <w:r w:rsidRPr="000C539A">
        <w:rPr>
          <w:noProof/>
          <w:lang w:val="en-GB"/>
        </w:rPr>
        <w:t>Building geometry</w:t>
      </w:r>
      <w:r>
        <w:rPr>
          <w:noProof/>
        </w:rPr>
        <w:tab/>
      </w:r>
      <w:r>
        <w:rPr>
          <w:noProof/>
        </w:rPr>
        <w:fldChar w:fldCharType="begin"/>
      </w:r>
      <w:r>
        <w:rPr>
          <w:noProof/>
        </w:rPr>
        <w:instrText xml:space="preserve"> PAGEREF _Toc530748606 \h </w:instrText>
      </w:r>
      <w:r>
        <w:rPr>
          <w:noProof/>
        </w:rPr>
      </w:r>
      <w:r>
        <w:rPr>
          <w:noProof/>
        </w:rPr>
        <w:fldChar w:fldCharType="separate"/>
      </w:r>
      <w:r>
        <w:rPr>
          <w:noProof/>
        </w:rPr>
        <w:t>194</w:t>
      </w:r>
      <w:r>
        <w:rPr>
          <w:noProof/>
        </w:rPr>
        <w:fldChar w:fldCharType="end"/>
      </w:r>
    </w:p>
    <w:p w:rsidR="00B833F1" w:rsidRDefault="00B833F1">
      <w:pPr>
        <w:pStyle w:val="TOC1"/>
        <w:rPr>
          <w:rFonts w:asciiTheme="minorHAnsi" w:eastAsiaTheme="minorEastAsia" w:hAnsiTheme="minorHAnsi" w:cstheme="minorBidi"/>
          <w:noProof/>
          <w:sz w:val="22"/>
          <w:szCs w:val="22"/>
        </w:rPr>
      </w:pPr>
      <w:r>
        <w:rPr>
          <w:noProof/>
        </w:rPr>
        <w:t>H</w:t>
      </w:r>
      <w:r>
        <w:rPr>
          <w:rFonts w:asciiTheme="minorHAnsi" w:eastAsiaTheme="minorEastAsia" w:hAnsiTheme="minorHAnsi" w:cstheme="minorBidi"/>
          <w:noProof/>
          <w:sz w:val="22"/>
          <w:szCs w:val="22"/>
        </w:rPr>
        <w:tab/>
      </w:r>
      <w:r>
        <w:rPr>
          <w:noProof/>
        </w:rPr>
        <w:t>Valuing the benefits of saving energy</w:t>
      </w:r>
      <w:r>
        <w:rPr>
          <w:noProof/>
        </w:rPr>
        <w:tab/>
      </w:r>
      <w:r>
        <w:rPr>
          <w:noProof/>
        </w:rPr>
        <w:fldChar w:fldCharType="begin"/>
      </w:r>
      <w:r>
        <w:rPr>
          <w:noProof/>
        </w:rPr>
        <w:instrText xml:space="preserve"> PAGEREF _Toc530748607 \h </w:instrText>
      </w:r>
      <w:r>
        <w:rPr>
          <w:noProof/>
        </w:rPr>
      </w:r>
      <w:r>
        <w:rPr>
          <w:noProof/>
        </w:rPr>
        <w:fldChar w:fldCharType="separate"/>
      </w:r>
      <w:r>
        <w:rPr>
          <w:noProof/>
        </w:rPr>
        <w:t>199</w:t>
      </w:r>
      <w:r>
        <w:rPr>
          <w:noProof/>
        </w:rPr>
        <w:fldChar w:fldCharType="end"/>
      </w:r>
    </w:p>
    <w:p w:rsidR="00B833F1" w:rsidRDefault="00B833F1">
      <w:pPr>
        <w:pStyle w:val="TOC2"/>
        <w:rPr>
          <w:rFonts w:asciiTheme="minorHAnsi" w:eastAsiaTheme="minorEastAsia" w:hAnsiTheme="minorHAnsi" w:cstheme="minorBidi"/>
          <w:noProof/>
          <w:sz w:val="22"/>
          <w:szCs w:val="22"/>
        </w:rPr>
      </w:pPr>
      <w:r>
        <w:rPr>
          <w:noProof/>
        </w:rPr>
        <w:t>Resource cost savings</w:t>
      </w:r>
      <w:r>
        <w:rPr>
          <w:noProof/>
        </w:rPr>
        <w:tab/>
      </w:r>
      <w:r>
        <w:rPr>
          <w:noProof/>
        </w:rPr>
        <w:fldChar w:fldCharType="begin"/>
      </w:r>
      <w:r>
        <w:rPr>
          <w:noProof/>
        </w:rPr>
        <w:instrText xml:space="preserve"> PAGEREF _Toc530748608 \h </w:instrText>
      </w:r>
      <w:r>
        <w:rPr>
          <w:noProof/>
        </w:rPr>
      </w:r>
      <w:r>
        <w:rPr>
          <w:noProof/>
        </w:rPr>
        <w:fldChar w:fldCharType="separate"/>
      </w:r>
      <w:r>
        <w:rPr>
          <w:noProof/>
        </w:rPr>
        <w:t>199</w:t>
      </w:r>
      <w:r>
        <w:rPr>
          <w:noProof/>
        </w:rPr>
        <w:fldChar w:fldCharType="end"/>
      </w:r>
    </w:p>
    <w:p w:rsidR="00B833F1" w:rsidRDefault="00B833F1">
      <w:pPr>
        <w:pStyle w:val="TOC1"/>
        <w:rPr>
          <w:rFonts w:asciiTheme="minorHAnsi" w:eastAsiaTheme="minorEastAsia" w:hAnsiTheme="minorHAnsi" w:cstheme="minorBidi"/>
          <w:noProof/>
          <w:sz w:val="22"/>
          <w:szCs w:val="22"/>
        </w:rPr>
      </w:pPr>
      <w:r>
        <w:rPr>
          <w:noProof/>
        </w:rPr>
        <w:t>I</w:t>
      </w:r>
      <w:r>
        <w:rPr>
          <w:rFonts w:asciiTheme="minorHAnsi" w:eastAsiaTheme="minorEastAsia" w:hAnsiTheme="minorHAnsi" w:cstheme="minorBidi"/>
          <w:noProof/>
          <w:sz w:val="22"/>
          <w:szCs w:val="22"/>
        </w:rPr>
        <w:tab/>
      </w:r>
      <w:r>
        <w:rPr>
          <w:noProof/>
        </w:rPr>
        <w:t xml:space="preserve">Net private benefits by state, </w:t>
      </w:r>
      <w:r w:rsidR="00E31EE8">
        <w:rPr>
          <w:noProof/>
        </w:rPr>
        <w:t>Climate Zone</w:t>
      </w:r>
      <w:r>
        <w:rPr>
          <w:noProof/>
        </w:rPr>
        <w:t xml:space="preserve"> and building type</w:t>
      </w:r>
      <w:r>
        <w:rPr>
          <w:noProof/>
        </w:rPr>
        <w:tab/>
      </w:r>
      <w:r>
        <w:rPr>
          <w:noProof/>
        </w:rPr>
        <w:fldChar w:fldCharType="begin"/>
      </w:r>
      <w:r>
        <w:rPr>
          <w:noProof/>
        </w:rPr>
        <w:instrText xml:space="preserve"> PAGEREF _Toc530748609 \h </w:instrText>
      </w:r>
      <w:r>
        <w:rPr>
          <w:noProof/>
        </w:rPr>
      </w:r>
      <w:r>
        <w:rPr>
          <w:noProof/>
        </w:rPr>
        <w:fldChar w:fldCharType="separate"/>
      </w:r>
      <w:r>
        <w:rPr>
          <w:noProof/>
        </w:rPr>
        <w:t>209</w:t>
      </w:r>
      <w:r>
        <w:rPr>
          <w:noProof/>
        </w:rPr>
        <w:fldChar w:fldCharType="end"/>
      </w:r>
    </w:p>
    <w:p w:rsidR="00650F3E" w:rsidRPr="002B76B3" w:rsidRDefault="00650F3E" w:rsidP="004E7620">
      <w:pPr>
        <w:pStyle w:val="BodyText"/>
        <w:spacing w:before="480"/>
        <w:rPr>
          <w:rFonts w:ascii="Franklin Gothic Demi" w:hAnsi="Franklin Gothic Demi"/>
          <w:caps/>
          <w:spacing w:val="10"/>
          <w:sz w:val="22"/>
        </w:rPr>
      </w:pPr>
      <w:r w:rsidRPr="00876B40">
        <w:fldChar w:fldCharType="end"/>
      </w:r>
      <w:r w:rsidRPr="002B76B3">
        <w:rPr>
          <w:rFonts w:ascii="Franklin Gothic Demi" w:hAnsi="Franklin Gothic Demi"/>
          <w:caps/>
          <w:spacing w:val="10"/>
          <w:sz w:val="22"/>
        </w:rPr>
        <w:t>Boxes, charts and tables</w:t>
      </w:r>
    </w:p>
    <w:p w:rsidR="00B833F1" w:rsidRDefault="00926903">
      <w:pPr>
        <w:pStyle w:val="TableofFigures"/>
        <w:rPr>
          <w:rFonts w:eastAsiaTheme="minorEastAsia" w:cstheme="minorBidi"/>
          <w:noProof/>
          <w:sz w:val="22"/>
          <w:szCs w:val="22"/>
        </w:rPr>
      </w:pPr>
      <w:r>
        <w:rPr>
          <w:b/>
          <w:bCs/>
          <w:noProof/>
          <w:lang w:val="en-US"/>
        </w:rPr>
        <w:fldChar w:fldCharType="begin"/>
      </w:r>
      <w:r>
        <w:rPr>
          <w:b/>
          <w:bCs/>
          <w:noProof/>
          <w:lang w:val="en-US"/>
        </w:rPr>
        <w:instrText xml:space="preserve"> TOC \t "Caption" \c </w:instrText>
      </w:r>
      <w:r>
        <w:rPr>
          <w:b/>
          <w:bCs/>
          <w:noProof/>
          <w:lang w:val="en-US"/>
        </w:rPr>
        <w:fldChar w:fldCharType="separate"/>
      </w:r>
      <w:r w:rsidR="00B833F1">
        <w:rPr>
          <w:noProof/>
        </w:rPr>
        <w:t>1</w:t>
      </w:r>
      <w:r w:rsidR="00B833F1">
        <w:rPr>
          <w:rFonts w:eastAsiaTheme="minorEastAsia" w:cstheme="minorBidi"/>
          <w:noProof/>
          <w:sz w:val="22"/>
          <w:szCs w:val="22"/>
        </w:rPr>
        <w:tab/>
      </w:r>
      <w:r w:rsidR="00B833F1">
        <w:rPr>
          <w:noProof/>
        </w:rPr>
        <w:t>Net benefit/costs of proposed changes to the NCC</w:t>
      </w:r>
      <w:r w:rsidR="00B833F1">
        <w:rPr>
          <w:noProof/>
        </w:rPr>
        <w:tab/>
      </w:r>
      <w:r w:rsidR="00B833F1">
        <w:rPr>
          <w:noProof/>
        </w:rPr>
        <w:fldChar w:fldCharType="begin"/>
      </w:r>
      <w:r w:rsidR="00B833F1">
        <w:rPr>
          <w:noProof/>
        </w:rPr>
        <w:instrText xml:space="preserve"> PAGEREF _Toc530748388 \h </w:instrText>
      </w:r>
      <w:r w:rsidR="00B833F1">
        <w:rPr>
          <w:noProof/>
        </w:rPr>
      </w:r>
      <w:r w:rsidR="00B833F1">
        <w:rPr>
          <w:noProof/>
        </w:rPr>
        <w:fldChar w:fldCharType="separate"/>
      </w:r>
      <w:r w:rsidR="00B833F1">
        <w:rPr>
          <w:noProof/>
        </w:rPr>
        <w:t>9</w:t>
      </w:r>
      <w:r w:rsidR="00B833F1">
        <w:rPr>
          <w:noProof/>
        </w:rPr>
        <w:fldChar w:fldCharType="end"/>
      </w:r>
    </w:p>
    <w:p w:rsidR="00B833F1" w:rsidRDefault="00B833F1">
      <w:pPr>
        <w:pStyle w:val="TableofFigures"/>
        <w:rPr>
          <w:rFonts w:eastAsiaTheme="minorEastAsia" w:cstheme="minorBidi"/>
          <w:noProof/>
          <w:sz w:val="22"/>
          <w:szCs w:val="22"/>
        </w:rPr>
      </w:pPr>
      <w:r>
        <w:rPr>
          <w:noProof/>
        </w:rPr>
        <w:t>2</w:t>
      </w:r>
      <w:r>
        <w:rPr>
          <w:rFonts w:eastAsiaTheme="minorEastAsia" w:cstheme="minorBidi"/>
          <w:noProof/>
          <w:sz w:val="22"/>
          <w:szCs w:val="22"/>
        </w:rPr>
        <w:tab/>
      </w:r>
      <w:r>
        <w:rPr>
          <w:noProof/>
        </w:rPr>
        <w:t>Estimated emissions reductions</w:t>
      </w:r>
      <w:r>
        <w:rPr>
          <w:noProof/>
        </w:rPr>
        <w:tab/>
      </w:r>
      <w:r>
        <w:rPr>
          <w:noProof/>
        </w:rPr>
        <w:fldChar w:fldCharType="begin"/>
      </w:r>
      <w:r>
        <w:rPr>
          <w:noProof/>
        </w:rPr>
        <w:instrText xml:space="preserve"> PAGEREF _Toc530748389 \h </w:instrText>
      </w:r>
      <w:r>
        <w:rPr>
          <w:noProof/>
        </w:rPr>
      </w:r>
      <w:r>
        <w:rPr>
          <w:noProof/>
        </w:rPr>
        <w:fldChar w:fldCharType="separate"/>
      </w:r>
      <w:r>
        <w:rPr>
          <w:noProof/>
        </w:rPr>
        <w:t>11</w:t>
      </w:r>
      <w:r>
        <w:rPr>
          <w:noProof/>
        </w:rPr>
        <w:fldChar w:fldCharType="end"/>
      </w:r>
    </w:p>
    <w:p w:rsidR="00B833F1" w:rsidRDefault="00B833F1">
      <w:pPr>
        <w:pStyle w:val="TableofFigures"/>
        <w:rPr>
          <w:rFonts w:eastAsiaTheme="minorEastAsia" w:cstheme="minorBidi"/>
          <w:noProof/>
          <w:sz w:val="22"/>
          <w:szCs w:val="22"/>
        </w:rPr>
      </w:pPr>
      <w:r>
        <w:rPr>
          <w:noProof/>
        </w:rPr>
        <w:t>1.1</w:t>
      </w:r>
      <w:r>
        <w:rPr>
          <w:rFonts w:eastAsiaTheme="minorEastAsia" w:cstheme="minorBidi"/>
          <w:noProof/>
          <w:sz w:val="22"/>
          <w:szCs w:val="22"/>
        </w:rPr>
        <w:tab/>
      </w:r>
      <w:r>
        <w:rPr>
          <w:noProof/>
        </w:rPr>
        <w:t>Commercial buildings</w:t>
      </w:r>
      <w:r>
        <w:rPr>
          <w:noProof/>
        </w:rPr>
        <w:tab/>
      </w:r>
      <w:r>
        <w:rPr>
          <w:noProof/>
        </w:rPr>
        <w:fldChar w:fldCharType="begin"/>
      </w:r>
      <w:r>
        <w:rPr>
          <w:noProof/>
        </w:rPr>
        <w:instrText xml:space="preserve"> PAGEREF _Toc530748390 \h </w:instrText>
      </w:r>
      <w:r>
        <w:rPr>
          <w:noProof/>
        </w:rPr>
      </w:r>
      <w:r>
        <w:rPr>
          <w:noProof/>
        </w:rPr>
        <w:fldChar w:fldCharType="separate"/>
      </w:r>
      <w:r>
        <w:rPr>
          <w:noProof/>
        </w:rPr>
        <w:t>13</w:t>
      </w:r>
      <w:r>
        <w:rPr>
          <w:noProof/>
        </w:rPr>
        <w:fldChar w:fldCharType="end"/>
      </w:r>
    </w:p>
    <w:p w:rsidR="00B833F1" w:rsidRDefault="00B833F1">
      <w:pPr>
        <w:pStyle w:val="TableofFigures"/>
        <w:rPr>
          <w:rFonts w:eastAsiaTheme="minorEastAsia" w:cstheme="minorBidi"/>
          <w:noProof/>
          <w:sz w:val="22"/>
          <w:szCs w:val="22"/>
        </w:rPr>
      </w:pPr>
      <w:r>
        <w:rPr>
          <w:noProof/>
        </w:rPr>
        <w:t>2.1</w:t>
      </w:r>
      <w:r>
        <w:rPr>
          <w:rFonts w:eastAsiaTheme="minorEastAsia" w:cstheme="minorBidi"/>
          <w:noProof/>
          <w:sz w:val="22"/>
          <w:szCs w:val="22"/>
        </w:rPr>
        <w:tab/>
      </w:r>
      <w:r>
        <w:rPr>
          <w:noProof/>
        </w:rPr>
        <w:t>Global context</w:t>
      </w:r>
      <w:r>
        <w:rPr>
          <w:noProof/>
        </w:rPr>
        <w:tab/>
      </w:r>
      <w:r>
        <w:rPr>
          <w:noProof/>
        </w:rPr>
        <w:fldChar w:fldCharType="begin"/>
      </w:r>
      <w:r>
        <w:rPr>
          <w:noProof/>
        </w:rPr>
        <w:instrText xml:space="preserve"> PAGEREF _Toc530748391 \h </w:instrText>
      </w:r>
      <w:r>
        <w:rPr>
          <w:noProof/>
        </w:rPr>
      </w:r>
      <w:r>
        <w:rPr>
          <w:noProof/>
        </w:rPr>
        <w:fldChar w:fldCharType="separate"/>
      </w:r>
      <w:r>
        <w:rPr>
          <w:noProof/>
        </w:rPr>
        <w:t>21</w:t>
      </w:r>
      <w:r>
        <w:rPr>
          <w:noProof/>
        </w:rPr>
        <w:fldChar w:fldCharType="end"/>
      </w:r>
    </w:p>
    <w:p w:rsidR="00B833F1" w:rsidRDefault="00B833F1">
      <w:pPr>
        <w:pStyle w:val="TableofFigures"/>
        <w:rPr>
          <w:rFonts w:eastAsiaTheme="minorEastAsia" w:cstheme="minorBidi"/>
          <w:noProof/>
          <w:sz w:val="22"/>
          <w:szCs w:val="22"/>
        </w:rPr>
      </w:pPr>
      <w:r>
        <w:rPr>
          <w:noProof/>
        </w:rPr>
        <w:t>2.2</w:t>
      </w:r>
      <w:r>
        <w:rPr>
          <w:rFonts w:eastAsiaTheme="minorEastAsia" w:cstheme="minorBidi"/>
          <w:noProof/>
          <w:sz w:val="22"/>
          <w:szCs w:val="22"/>
        </w:rPr>
        <w:tab/>
      </w:r>
      <w:r>
        <w:rPr>
          <w:noProof/>
        </w:rPr>
        <w:t>Summary of market and behavioural failures by building type</w:t>
      </w:r>
      <w:r>
        <w:rPr>
          <w:noProof/>
        </w:rPr>
        <w:tab/>
      </w:r>
      <w:r>
        <w:rPr>
          <w:noProof/>
        </w:rPr>
        <w:fldChar w:fldCharType="begin"/>
      </w:r>
      <w:r>
        <w:rPr>
          <w:noProof/>
        </w:rPr>
        <w:instrText xml:space="preserve"> PAGEREF _Toc530748392 \h </w:instrText>
      </w:r>
      <w:r>
        <w:rPr>
          <w:noProof/>
        </w:rPr>
      </w:r>
      <w:r>
        <w:rPr>
          <w:noProof/>
        </w:rPr>
        <w:fldChar w:fldCharType="separate"/>
      </w:r>
      <w:r>
        <w:rPr>
          <w:noProof/>
        </w:rPr>
        <w:t>24</w:t>
      </w:r>
      <w:r>
        <w:rPr>
          <w:noProof/>
        </w:rPr>
        <w:fldChar w:fldCharType="end"/>
      </w:r>
    </w:p>
    <w:p w:rsidR="00B833F1" w:rsidRDefault="00B833F1">
      <w:pPr>
        <w:pStyle w:val="TableofFigures"/>
        <w:rPr>
          <w:rFonts w:eastAsiaTheme="minorEastAsia" w:cstheme="minorBidi"/>
          <w:noProof/>
          <w:sz w:val="22"/>
          <w:szCs w:val="22"/>
        </w:rPr>
      </w:pPr>
      <w:r>
        <w:rPr>
          <w:noProof/>
        </w:rPr>
        <w:t>2.3</w:t>
      </w:r>
      <w:r>
        <w:rPr>
          <w:rFonts w:eastAsiaTheme="minorEastAsia" w:cstheme="minorBidi"/>
          <w:noProof/>
          <w:sz w:val="22"/>
          <w:szCs w:val="22"/>
        </w:rPr>
        <w:tab/>
      </w:r>
      <w:r>
        <w:rPr>
          <w:noProof/>
        </w:rPr>
        <w:t>Cost-effective energy savings in 2020 relative to BCA 2010</w:t>
      </w:r>
      <w:r>
        <w:rPr>
          <w:noProof/>
        </w:rPr>
        <w:tab/>
      </w:r>
      <w:r>
        <w:rPr>
          <w:noProof/>
        </w:rPr>
        <w:fldChar w:fldCharType="begin"/>
      </w:r>
      <w:r>
        <w:rPr>
          <w:noProof/>
        </w:rPr>
        <w:instrText xml:space="preserve"> PAGEREF _Toc530748393 \h </w:instrText>
      </w:r>
      <w:r>
        <w:rPr>
          <w:noProof/>
        </w:rPr>
      </w:r>
      <w:r>
        <w:rPr>
          <w:noProof/>
        </w:rPr>
        <w:fldChar w:fldCharType="separate"/>
      </w:r>
      <w:r>
        <w:rPr>
          <w:noProof/>
        </w:rPr>
        <w:t>30</w:t>
      </w:r>
      <w:r>
        <w:rPr>
          <w:noProof/>
        </w:rPr>
        <w:fldChar w:fldCharType="end"/>
      </w:r>
    </w:p>
    <w:p w:rsidR="00B833F1" w:rsidRDefault="00B833F1">
      <w:pPr>
        <w:pStyle w:val="TableofFigures"/>
        <w:rPr>
          <w:rFonts w:eastAsiaTheme="minorEastAsia" w:cstheme="minorBidi"/>
          <w:noProof/>
          <w:sz w:val="22"/>
          <w:szCs w:val="22"/>
        </w:rPr>
      </w:pPr>
      <w:r>
        <w:rPr>
          <w:noProof/>
        </w:rPr>
        <w:t>2.4</w:t>
      </w:r>
      <w:r>
        <w:rPr>
          <w:rFonts w:eastAsiaTheme="minorEastAsia" w:cstheme="minorBidi"/>
          <w:noProof/>
          <w:sz w:val="22"/>
          <w:szCs w:val="22"/>
        </w:rPr>
        <w:tab/>
      </w:r>
      <w:r>
        <w:rPr>
          <w:noProof/>
        </w:rPr>
        <w:t>Estimated change in annual energy use</w:t>
      </w:r>
      <w:r>
        <w:rPr>
          <w:noProof/>
        </w:rPr>
        <w:tab/>
      </w:r>
      <w:r>
        <w:rPr>
          <w:noProof/>
        </w:rPr>
        <w:fldChar w:fldCharType="begin"/>
      </w:r>
      <w:r>
        <w:rPr>
          <w:noProof/>
        </w:rPr>
        <w:instrText xml:space="preserve"> PAGEREF _Toc530748394 \h </w:instrText>
      </w:r>
      <w:r>
        <w:rPr>
          <w:noProof/>
        </w:rPr>
      </w:r>
      <w:r>
        <w:rPr>
          <w:noProof/>
        </w:rPr>
        <w:fldChar w:fldCharType="separate"/>
      </w:r>
      <w:r>
        <w:rPr>
          <w:noProof/>
        </w:rPr>
        <w:t>30</w:t>
      </w:r>
      <w:r>
        <w:rPr>
          <w:noProof/>
        </w:rPr>
        <w:fldChar w:fldCharType="end"/>
      </w:r>
    </w:p>
    <w:p w:rsidR="00B833F1" w:rsidRDefault="00B833F1">
      <w:pPr>
        <w:pStyle w:val="TableofFigures"/>
        <w:rPr>
          <w:rFonts w:eastAsiaTheme="minorEastAsia" w:cstheme="minorBidi"/>
          <w:noProof/>
          <w:sz w:val="22"/>
          <w:szCs w:val="22"/>
        </w:rPr>
      </w:pPr>
      <w:r>
        <w:rPr>
          <w:noProof/>
        </w:rPr>
        <w:t>2.5</w:t>
      </w:r>
      <w:r>
        <w:rPr>
          <w:rFonts w:eastAsiaTheme="minorEastAsia" w:cstheme="minorBidi"/>
          <w:noProof/>
          <w:sz w:val="22"/>
          <w:szCs w:val="22"/>
        </w:rPr>
        <w:tab/>
      </w:r>
      <w:r>
        <w:rPr>
          <w:noProof/>
        </w:rPr>
        <w:t>Estimated change in greenhouse gas emissions</w:t>
      </w:r>
      <w:r>
        <w:rPr>
          <w:noProof/>
        </w:rPr>
        <w:tab/>
      </w:r>
      <w:r>
        <w:rPr>
          <w:noProof/>
        </w:rPr>
        <w:fldChar w:fldCharType="begin"/>
      </w:r>
      <w:r>
        <w:rPr>
          <w:noProof/>
        </w:rPr>
        <w:instrText xml:space="preserve"> PAGEREF _Toc530748395 \h </w:instrText>
      </w:r>
      <w:r>
        <w:rPr>
          <w:noProof/>
        </w:rPr>
      </w:r>
      <w:r>
        <w:rPr>
          <w:noProof/>
        </w:rPr>
        <w:fldChar w:fldCharType="separate"/>
      </w:r>
      <w:r>
        <w:rPr>
          <w:noProof/>
        </w:rPr>
        <w:t>31</w:t>
      </w:r>
      <w:r>
        <w:rPr>
          <w:noProof/>
        </w:rPr>
        <w:fldChar w:fldCharType="end"/>
      </w:r>
    </w:p>
    <w:p w:rsidR="00B833F1" w:rsidRDefault="00B833F1">
      <w:pPr>
        <w:pStyle w:val="TableofFigures"/>
        <w:rPr>
          <w:rFonts w:eastAsiaTheme="minorEastAsia" w:cstheme="minorBidi"/>
          <w:noProof/>
          <w:sz w:val="22"/>
          <w:szCs w:val="22"/>
        </w:rPr>
      </w:pPr>
      <w:r>
        <w:rPr>
          <w:noProof/>
        </w:rPr>
        <w:t>2.6</w:t>
      </w:r>
      <w:r>
        <w:rPr>
          <w:rFonts w:eastAsiaTheme="minorEastAsia" w:cstheme="minorBidi"/>
          <w:noProof/>
          <w:sz w:val="22"/>
          <w:szCs w:val="22"/>
        </w:rPr>
        <w:tab/>
      </w:r>
      <w:r>
        <w:rPr>
          <w:noProof/>
        </w:rPr>
        <w:t>Preferred option to proposed changes</w:t>
      </w:r>
      <w:r>
        <w:rPr>
          <w:noProof/>
        </w:rPr>
        <w:tab/>
      </w:r>
      <w:r>
        <w:rPr>
          <w:noProof/>
        </w:rPr>
        <w:fldChar w:fldCharType="begin"/>
      </w:r>
      <w:r>
        <w:rPr>
          <w:noProof/>
        </w:rPr>
        <w:instrText xml:space="preserve"> PAGEREF _Toc530748396 \h </w:instrText>
      </w:r>
      <w:r>
        <w:rPr>
          <w:noProof/>
        </w:rPr>
      </w:r>
      <w:r>
        <w:rPr>
          <w:noProof/>
        </w:rPr>
        <w:fldChar w:fldCharType="separate"/>
      </w:r>
      <w:r>
        <w:rPr>
          <w:noProof/>
        </w:rPr>
        <w:t>32</w:t>
      </w:r>
      <w:r>
        <w:rPr>
          <w:noProof/>
        </w:rPr>
        <w:fldChar w:fldCharType="end"/>
      </w:r>
    </w:p>
    <w:p w:rsidR="00B833F1" w:rsidRDefault="00B833F1">
      <w:pPr>
        <w:pStyle w:val="TableofFigures"/>
        <w:rPr>
          <w:rFonts w:eastAsiaTheme="minorEastAsia" w:cstheme="minorBidi"/>
          <w:noProof/>
          <w:sz w:val="22"/>
          <w:szCs w:val="22"/>
        </w:rPr>
      </w:pPr>
      <w:r>
        <w:rPr>
          <w:noProof/>
        </w:rPr>
        <w:t>3.1</w:t>
      </w:r>
      <w:r>
        <w:rPr>
          <w:rFonts w:eastAsiaTheme="minorEastAsia" w:cstheme="minorBidi"/>
          <w:noProof/>
          <w:sz w:val="22"/>
          <w:szCs w:val="22"/>
        </w:rPr>
        <w:tab/>
      </w:r>
      <w:r>
        <w:rPr>
          <w:noProof/>
        </w:rPr>
        <w:t>New Verification Methods</w:t>
      </w:r>
      <w:r>
        <w:rPr>
          <w:noProof/>
        </w:rPr>
        <w:tab/>
      </w:r>
      <w:r>
        <w:rPr>
          <w:noProof/>
        </w:rPr>
        <w:fldChar w:fldCharType="begin"/>
      </w:r>
      <w:r>
        <w:rPr>
          <w:noProof/>
        </w:rPr>
        <w:instrText xml:space="preserve"> PAGEREF _Toc530748397 \h </w:instrText>
      </w:r>
      <w:r>
        <w:rPr>
          <w:noProof/>
        </w:rPr>
      </w:r>
      <w:r>
        <w:rPr>
          <w:noProof/>
        </w:rPr>
        <w:fldChar w:fldCharType="separate"/>
      </w:r>
      <w:r>
        <w:rPr>
          <w:noProof/>
        </w:rPr>
        <w:t>36</w:t>
      </w:r>
      <w:r>
        <w:rPr>
          <w:noProof/>
        </w:rPr>
        <w:fldChar w:fldCharType="end"/>
      </w:r>
    </w:p>
    <w:p w:rsidR="00B833F1" w:rsidRDefault="00B833F1">
      <w:pPr>
        <w:pStyle w:val="TableofFigures"/>
        <w:rPr>
          <w:rFonts w:eastAsiaTheme="minorEastAsia" w:cstheme="minorBidi"/>
          <w:noProof/>
          <w:sz w:val="22"/>
          <w:szCs w:val="22"/>
        </w:rPr>
      </w:pPr>
      <w:r>
        <w:rPr>
          <w:noProof/>
        </w:rPr>
        <w:t>4.1</w:t>
      </w:r>
      <w:r>
        <w:rPr>
          <w:rFonts w:eastAsiaTheme="minorEastAsia" w:cstheme="minorBidi"/>
          <w:noProof/>
          <w:sz w:val="22"/>
          <w:szCs w:val="22"/>
        </w:rPr>
        <w:tab/>
      </w:r>
      <w:r>
        <w:rPr>
          <w:noProof/>
        </w:rPr>
        <w:t>Distribution of office building by NABERS rating</w:t>
      </w:r>
      <w:r>
        <w:rPr>
          <w:noProof/>
        </w:rPr>
        <w:tab/>
      </w:r>
      <w:r>
        <w:rPr>
          <w:noProof/>
        </w:rPr>
        <w:fldChar w:fldCharType="begin"/>
      </w:r>
      <w:r>
        <w:rPr>
          <w:noProof/>
        </w:rPr>
        <w:instrText xml:space="preserve"> PAGEREF _Toc530748398 \h </w:instrText>
      </w:r>
      <w:r>
        <w:rPr>
          <w:noProof/>
        </w:rPr>
      </w:r>
      <w:r>
        <w:rPr>
          <w:noProof/>
        </w:rPr>
        <w:fldChar w:fldCharType="separate"/>
      </w:r>
      <w:r>
        <w:rPr>
          <w:noProof/>
        </w:rPr>
        <w:t>42</w:t>
      </w:r>
      <w:r>
        <w:rPr>
          <w:noProof/>
        </w:rPr>
        <w:fldChar w:fldCharType="end"/>
      </w:r>
    </w:p>
    <w:p w:rsidR="00B833F1" w:rsidRDefault="00B833F1">
      <w:pPr>
        <w:pStyle w:val="TableofFigures"/>
        <w:rPr>
          <w:rFonts w:eastAsiaTheme="minorEastAsia" w:cstheme="minorBidi"/>
          <w:noProof/>
          <w:sz w:val="22"/>
          <w:szCs w:val="22"/>
        </w:rPr>
      </w:pPr>
      <w:r>
        <w:rPr>
          <w:noProof/>
        </w:rPr>
        <w:t>4.2</w:t>
      </w:r>
      <w:r>
        <w:rPr>
          <w:rFonts w:eastAsiaTheme="minorEastAsia" w:cstheme="minorBidi"/>
          <w:noProof/>
          <w:sz w:val="22"/>
          <w:szCs w:val="22"/>
        </w:rPr>
        <w:tab/>
      </w:r>
      <w:r>
        <w:rPr>
          <w:noProof/>
        </w:rPr>
        <w:t>Distribution of shopping centres by NABERS rating</w:t>
      </w:r>
      <w:r>
        <w:rPr>
          <w:noProof/>
        </w:rPr>
        <w:tab/>
      </w:r>
      <w:r>
        <w:rPr>
          <w:noProof/>
        </w:rPr>
        <w:fldChar w:fldCharType="begin"/>
      </w:r>
      <w:r>
        <w:rPr>
          <w:noProof/>
        </w:rPr>
        <w:instrText xml:space="preserve"> PAGEREF _Toc530748399 \h </w:instrText>
      </w:r>
      <w:r>
        <w:rPr>
          <w:noProof/>
        </w:rPr>
      </w:r>
      <w:r>
        <w:rPr>
          <w:noProof/>
        </w:rPr>
        <w:fldChar w:fldCharType="separate"/>
      </w:r>
      <w:r>
        <w:rPr>
          <w:noProof/>
        </w:rPr>
        <w:t>43</w:t>
      </w:r>
      <w:r>
        <w:rPr>
          <w:noProof/>
        </w:rPr>
        <w:fldChar w:fldCharType="end"/>
      </w:r>
    </w:p>
    <w:p w:rsidR="00B833F1" w:rsidRDefault="00B833F1">
      <w:pPr>
        <w:pStyle w:val="TableofFigures"/>
        <w:rPr>
          <w:rFonts w:eastAsiaTheme="minorEastAsia" w:cstheme="minorBidi"/>
          <w:noProof/>
          <w:sz w:val="22"/>
          <w:szCs w:val="22"/>
        </w:rPr>
      </w:pPr>
      <w:r>
        <w:rPr>
          <w:noProof/>
        </w:rPr>
        <w:t>4.3</w:t>
      </w:r>
      <w:r>
        <w:rPr>
          <w:rFonts w:eastAsiaTheme="minorEastAsia" w:cstheme="minorBidi"/>
          <w:noProof/>
          <w:sz w:val="22"/>
          <w:szCs w:val="22"/>
        </w:rPr>
        <w:tab/>
      </w:r>
      <w:r>
        <w:rPr>
          <w:noProof/>
        </w:rPr>
        <w:t>Approach to achieving compliance with Section J of the NCC</w:t>
      </w:r>
      <w:r>
        <w:rPr>
          <w:noProof/>
        </w:rPr>
        <w:tab/>
      </w:r>
      <w:r>
        <w:rPr>
          <w:noProof/>
        </w:rPr>
        <w:fldChar w:fldCharType="begin"/>
      </w:r>
      <w:r>
        <w:rPr>
          <w:noProof/>
        </w:rPr>
        <w:instrText xml:space="preserve"> PAGEREF _Toc530748400 \h </w:instrText>
      </w:r>
      <w:r>
        <w:rPr>
          <w:noProof/>
        </w:rPr>
      </w:r>
      <w:r>
        <w:rPr>
          <w:noProof/>
        </w:rPr>
        <w:fldChar w:fldCharType="separate"/>
      </w:r>
      <w:r>
        <w:rPr>
          <w:noProof/>
        </w:rPr>
        <w:t>44</w:t>
      </w:r>
      <w:r>
        <w:rPr>
          <w:noProof/>
        </w:rPr>
        <w:fldChar w:fldCharType="end"/>
      </w:r>
    </w:p>
    <w:p w:rsidR="00B833F1" w:rsidRDefault="00B833F1">
      <w:pPr>
        <w:pStyle w:val="TableofFigures"/>
        <w:rPr>
          <w:rFonts w:eastAsiaTheme="minorEastAsia" w:cstheme="minorBidi"/>
          <w:noProof/>
          <w:sz w:val="22"/>
          <w:szCs w:val="22"/>
        </w:rPr>
      </w:pPr>
      <w:r>
        <w:rPr>
          <w:noProof/>
        </w:rPr>
        <w:t>4.4</w:t>
      </w:r>
      <w:r>
        <w:rPr>
          <w:rFonts w:eastAsiaTheme="minorEastAsia" w:cstheme="minorBidi"/>
          <w:noProof/>
          <w:sz w:val="22"/>
          <w:szCs w:val="22"/>
        </w:rPr>
        <w:tab/>
      </w:r>
      <w:r>
        <w:rPr>
          <w:noProof/>
        </w:rPr>
        <w:t>Building geometry details</w:t>
      </w:r>
      <w:r>
        <w:rPr>
          <w:noProof/>
        </w:rPr>
        <w:tab/>
      </w:r>
      <w:r>
        <w:rPr>
          <w:noProof/>
        </w:rPr>
        <w:fldChar w:fldCharType="begin"/>
      </w:r>
      <w:r>
        <w:rPr>
          <w:noProof/>
        </w:rPr>
        <w:instrText xml:space="preserve"> PAGEREF _Toc530748401 \h </w:instrText>
      </w:r>
      <w:r>
        <w:rPr>
          <w:noProof/>
        </w:rPr>
      </w:r>
      <w:r>
        <w:rPr>
          <w:noProof/>
        </w:rPr>
        <w:fldChar w:fldCharType="separate"/>
      </w:r>
      <w:r>
        <w:rPr>
          <w:noProof/>
        </w:rPr>
        <w:t>46</w:t>
      </w:r>
      <w:r>
        <w:rPr>
          <w:noProof/>
        </w:rPr>
        <w:fldChar w:fldCharType="end"/>
      </w:r>
    </w:p>
    <w:p w:rsidR="00B833F1" w:rsidRDefault="00B833F1">
      <w:pPr>
        <w:pStyle w:val="TableofFigures"/>
        <w:rPr>
          <w:rFonts w:eastAsiaTheme="minorEastAsia" w:cstheme="minorBidi"/>
          <w:noProof/>
          <w:sz w:val="22"/>
          <w:szCs w:val="22"/>
        </w:rPr>
      </w:pPr>
      <w:r>
        <w:rPr>
          <w:noProof/>
        </w:rPr>
        <w:t>4.5</w:t>
      </w:r>
      <w:r>
        <w:rPr>
          <w:rFonts w:eastAsiaTheme="minorEastAsia" w:cstheme="minorBidi"/>
          <w:noProof/>
          <w:sz w:val="22"/>
          <w:szCs w:val="22"/>
        </w:rPr>
        <w:tab/>
      </w:r>
      <w:r>
        <w:rPr>
          <w:noProof/>
        </w:rPr>
        <w:t>WWR across different building sub-types</w:t>
      </w:r>
      <w:r>
        <w:rPr>
          <w:noProof/>
        </w:rPr>
        <w:tab/>
      </w:r>
      <w:r>
        <w:rPr>
          <w:noProof/>
        </w:rPr>
        <w:fldChar w:fldCharType="begin"/>
      </w:r>
      <w:r>
        <w:rPr>
          <w:noProof/>
        </w:rPr>
        <w:instrText xml:space="preserve"> PAGEREF _Toc530748402 \h </w:instrText>
      </w:r>
      <w:r>
        <w:rPr>
          <w:noProof/>
        </w:rPr>
      </w:r>
      <w:r>
        <w:rPr>
          <w:noProof/>
        </w:rPr>
        <w:fldChar w:fldCharType="separate"/>
      </w:r>
      <w:r>
        <w:rPr>
          <w:noProof/>
        </w:rPr>
        <w:t>47</w:t>
      </w:r>
      <w:r>
        <w:rPr>
          <w:noProof/>
        </w:rPr>
        <w:fldChar w:fldCharType="end"/>
      </w:r>
    </w:p>
    <w:p w:rsidR="00B833F1" w:rsidRDefault="00B833F1">
      <w:pPr>
        <w:pStyle w:val="TableofFigures"/>
        <w:rPr>
          <w:rFonts w:eastAsiaTheme="minorEastAsia" w:cstheme="minorBidi"/>
          <w:noProof/>
          <w:sz w:val="22"/>
          <w:szCs w:val="22"/>
        </w:rPr>
      </w:pPr>
      <w:r>
        <w:rPr>
          <w:noProof/>
        </w:rPr>
        <w:t>4.6</w:t>
      </w:r>
      <w:r>
        <w:rPr>
          <w:rFonts w:eastAsiaTheme="minorEastAsia" w:cstheme="minorBidi"/>
          <w:noProof/>
          <w:sz w:val="22"/>
          <w:szCs w:val="22"/>
        </w:rPr>
        <w:tab/>
      </w:r>
      <w:r>
        <w:rPr>
          <w:noProof/>
        </w:rPr>
        <w:t>Projected new commercial buildings by building class</w:t>
      </w:r>
      <w:r>
        <w:rPr>
          <w:noProof/>
        </w:rPr>
        <w:tab/>
      </w:r>
      <w:r>
        <w:rPr>
          <w:noProof/>
        </w:rPr>
        <w:fldChar w:fldCharType="begin"/>
      </w:r>
      <w:r>
        <w:rPr>
          <w:noProof/>
        </w:rPr>
        <w:instrText xml:space="preserve"> PAGEREF _Toc530748403 \h </w:instrText>
      </w:r>
      <w:r>
        <w:rPr>
          <w:noProof/>
        </w:rPr>
      </w:r>
      <w:r>
        <w:rPr>
          <w:noProof/>
        </w:rPr>
        <w:fldChar w:fldCharType="separate"/>
      </w:r>
      <w:r>
        <w:rPr>
          <w:noProof/>
        </w:rPr>
        <w:t>50</w:t>
      </w:r>
      <w:r>
        <w:rPr>
          <w:noProof/>
        </w:rPr>
        <w:fldChar w:fldCharType="end"/>
      </w:r>
    </w:p>
    <w:p w:rsidR="00B833F1" w:rsidRDefault="00B833F1">
      <w:pPr>
        <w:pStyle w:val="TableofFigures"/>
        <w:rPr>
          <w:rFonts w:eastAsiaTheme="minorEastAsia" w:cstheme="minorBidi"/>
          <w:noProof/>
          <w:sz w:val="22"/>
          <w:szCs w:val="22"/>
        </w:rPr>
      </w:pPr>
      <w:r>
        <w:rPr>
          <w:noProof/>
        </w:rPr>
        <w:t>4.7</w:t>
      </w:r>
      <w:r>
        <w:rPr>
          <w:rFonts w:eastAsiaTheme="minorEastAsia" w:cstheme="minorBidi"/>
          <w:noProof/>
          <w:sz w:val="22"/>
          <w:szCs w:val="22"/>
        </w:rPr>
        <w:tab/>
      </w:r>
      <w:r>
        <w:rPr>
          <w:noProof/>
        </w:rPr>
        <w:t xml:space="preserve">Projected new commercial buildings by </w:t>
      </w:r>
      <w:r w:rsidR="00E31EE8">
        <w:rPr>
          <w:noProof/>
        </w:rPr>
        <w:t>Climate Zone</w:t>
      </w:r>
      <w:r>
        <w:rPr>
          <w:noProof/>
        </w:rPr>
        <w:tab/>
      </w:r>
      <w:r>
        <w:rPr>
          <w:noProof/>
        </w:rPr>
        <w:fldChar w:fldCharType="begin"/>
      </w:r>
      <w:r>
        <w:rPr>
          <w:noProof/>
        </w:rPr>
        <w:instrText xml:space="preserve"> PAGEREF _Toc530748404 \h </w:instrText>
      </w:r>
      <w:r>
        <w:rPr>
          <w:noProof/>
        </w:rPr>
      </w:r>
      <w:r>
        <w:rPr>
          <w:noProof/>
        </w:rPr>
        <w:fldChar w:fldCharType="separate"/>
      </w:r>
      <w:r>
        <w:rPr>
          <w:noProof/>
        </w:rPr>
        <w:t>51</w:t>
      </w:r>
      <w:r>
        <w:rPr>
          <w:noProof/>
        </w:rPr>
        <w:fldChar w:fldCharType="end"/>
      </w:r>
    </w:p>
    <w:p w:rsidR="00B833F1" w:rsidRDefault="00B833F1">
      <w:pPr>
        <w:pStyle w:val="TableofFigures"/>
        <w:rPr>
          <w:rFonts w:eastAsiaTheme="minorEastAsia" w:cstheme="minorBidi"/>
          <w:noProof/>
          <w:sz w:val="22"/>
          <w:szCs w:val="22"/>
        </w:rPr>
      </w:pPr>
      <w:r>
        <w:rPr>
          <w:noProof/>
        </w:rPr>
        <w:t>5.1</w:t>
      </w:r>
      <w:r>
        <w:rPr>
          <w:rFonts w:eastAsiaTheme="minorEastAsia" w:cstheme="minorBidi"/>
          <w:noProof/>
          <w:sz w:val="22"/>
          <w:szCs w:val="22"/>
        </w:rPr>
        <w:tab/>
      </w:r>
      <w:r>
        <w:rPr>
          <w:noProof/>
        </w:rPr>
        <w:t>Cost change per square metre of floor space</w:t>
      </w:r>
      <w:r>
        <w:rPr>
          <w:noProof/>
        </w:rPr>
        <w:tab/>
      </w:r>
      <w:r>
        <w:rPr>
          <w:noProof/>
        </w:rPr>
        <w:fldChar w:fldCharType="begin"/>
      </w:r>
      <w:r>
        <w:rPr>
          <w:noProof/>
        </w:rPr>
        <w:instrText xml:space="preserve"> PAGEREF _Toc530748405 \h </w:instrText>
      </w:r>
      <w:r>
        <w:rPr>
          <w:noProof/>
        </w:rPr>
      </w:r>
      <w:r>
        <w:rPr>
          <w:noProof/>
        </w:rPr>
        <w:fldChar w:fldCharType="separate"/>
      </w:r>
      <w:r>
        <w:rPr>
          <w:noProof/>
        </w:rPr>
        <w:t>53</w:t>
      </w:r>
      <w:r>
        <w:rPr>
          <w:noProof/>
        </w:rPr>
        <w:fldChar w:fldCharType="end"/>
      </w:r>
    </w:p>
    <w:p w:rsidR="00B833F1" w:rsidRDefault="00B833F1">
      <w:pPr>
        <w:pStyle w:val="TableofFigures"/>
        <w:rPr>
          <w:rFonts w:eastAsiaTheme="minorEastAsia" w:cstheme="minorBidi"/>
          <w:noProof/>
          <w:sz w:val="22"/>
          <w:szCs w:val="22"/>
        </w:rPr>
      </w:pPr>
      <w:r>
        <w:rPr>
          <w:noProof/>
        </w:rPr>
        <w:t>5.2</w:t>
      </w:r>
      <w:r>
        <w:rPr>
          <w:rFonts w:eastAsiaTheme="minorEastAsia" w:cstheme="minorBidi"/>
          <w:noProof/>
          <w:sz w:val="22"/>
          <w:szCs w:val="22"/>
        </w:rPr>
        <w:tab/>
      </w:r>
      <w:r>
        <w:rPr>
          <w:noProof/>
        </w:rPr>
        <w:t>Change in construction costs — hotel (3A)</w:t>
      </w:r>
      <w:r>
        <w:rPr>
          <w:noProof/>
        </w:rPr>
        <w:tab/>
      </w:r>
      <w:r>
        <w:rPr>
          <w:noProof/>
        </w:rPr>
        <w:fldChar w:fldCharType="begin"/>
      </w:r>
      <w:r>
        <w:rPr>
          <w:noProof/>
        </w:rPr>
        <w:instrText xml:space="preserve"> PAGEREF _Toc530748406 \h </w:instrText>
      </w:r>
      <w:r>
        <w:rPr>
          <w:noProof/>
        </w:rPr>
      </w:r>
      <w:r>
        <w:rPr>
          <w:noProof/>
        </w:rPr>
        <w:fldChar w:fldCharType="separate"/>
      </w:r>
      <w:r>
        <w:rPr>
          <w:noProof/>
        </w:rPr>
        <w:t>53</w:t>
      </w:r>
      <w:r>
        <w:rPr>
          <w:noProof/>
        </w:rPr>
        <w:fldChar w:fldCharType="end"/>
      </w:r>
    </w:p>
    <w:p w:rsidR="00B833F1" w:rsidRDefault="00B833F1">
      <w:pPr>
        <w:pStyle w:val="TableofFigures"/>
        <w:rPr>
          <w:rFonts w:eastAsiaTheme="minorEastAsia" w:cstheme="minorBidi"/>
          <w:noProof/>
          <w:sz w:val="22"/>
          <w:szCs w:val="22"/>
        </w:rPr>
      </w:pPr>
      <w:r>
        <w:rPr>
          <w:noProof/>
        </w:rPr>
        <w:t>5.3</w:t>
      </w:r>
      <w:r>
        <w:rPr>
          <w:rFonts w:eastAsiaTheme="minorEastAsia" w:cstheme="minorBidi"/>
          <w:noProof/>
          <w:sz w:val="22"/>
          <w:szCs w:val="22"/>
        </w:rPr>
        <w:tab/>
      </w:r>
      <w:r>
        <w:rPr>
          <w:noProof/>
        </w:rPr>
        <w:t>Change in construction costs — office building (5A) with 40 per cent WWR</w:t>
      </w:r>
      <w:r>
        <w:rPr>
          <w:noProof/>
        </w:rPr>
        <w:tab/>
      </w:r>
      <w:r>
        <w:rPr>
          <w:noProof/>
        </w:rPr>
        <w:fldChar w:fldCharType="begin"/>
      </w:r>
      <w:r>
        <w:rPr>
          <w:noProof/>
        </w:rPr>
        <w:instrText xml:space="preserve"> PAGEREF _Toc530748407 \h </w:instrText>
      </w:r>
      <w:r>
        <w:rPr>
          <w:noProof/>
        </w:rPr>
      </w:r>
      <w:r>
        <w:rPr>
          <w:noProof/>
        </w:rPr>
        <w:fldChar w:fldCharType="separate"/>
      </w:r>
      <w:r>
        <w:rPr>
          <w:noProof/>
        </w:rPr>
        <w:t>55</w:t>
      </w:r>
      <w:r>
        <w:rPr>
          <w:noProof/>
        </w:rPr>
        <w:fldChar w:fldCharType="end"/>
      </w:r>
    </w:p>
    <w:p w:rsidR="00B833F1" w:rsidRDefault="00B833F1">
      <w:pPr>
        <w:pStyle w:val="TableofFigures"/>
        <w:rPr>
          <w:rFonts w:eastAsiaTheme="minorEastAsia" w:cstheme="minorBidi"/>
          <w:noProof/>
          <w:sz w:val="22"/>
          <w:szCs w:val="22"/>
        </w:rPr>
      </w:pPr>
      <w:r>
        <w:rPr>
          <w:noProof/>
        </w:rPr>
        <w:t>5.4</w:t>
      </w:r>
      <w:r>
        <w:rPr>
          <w:rFonts w:eastAsiaTheme="minorEastAsia" w:cstheme="minorBidi"/>
          <w:noProof/>
          <w:sz w:val="22"/>
          <w:szCs w:val="22"/>
        </w:rPr>
        <w:tab/>
      </w:r>
      <w:r>
        <w:rPr>
          <w:noProof/>
        </w:rPr>
        <w:t>Change in construction costs — office building (5A) with 56 per cent WWR</w:t>
      </w:r>
      <w:r>
        <w:rPr>
          <w:noProof/>
        </w:rPr>
        <w:tab/>
      </w:r>
      <w:r>
        <w:rPr>
          <w:noProof/>
        </w:rPr>
        <w:fldChar w:fldCharType="begin"/>
      </w:r>
      <w:r>
        <w:rPr>
          <w:noProof/>
        </w:rPr>
        <w:instrText xml:space="preserve"> PAGEREF _Toc530748408 \h </w:instrText>
      </w:r>
      <w:r>
        <w:rPr>
          <w:noProof/>
        </w:rPr>
      </w:r>
      <w:r>
        <w:rPr>
          <w:noProof/>
        </w:rPr>
        <w:fldChar w:fldCharType="separate"/>
      </w:r>
      <w:r>
        <w:rPr>
          <w:noProof/>
        </w:rPr>
        <w:t>56</w:t>
      </w:r>
      <w:r>
        <w:rPr>
          <w:noProof/>
        </w:rPr>
        <w:fldChar w:fldCharType="end"/>
      </w:r>
    </w:p>
    <w:p w:rsidR="00B833F1" w:rsidRDefault="00B833F1">
      <w:pPr>
        <w:pStyle w:val="TableofFigures"/>
        <w:rPr>
          <w:rFonts w:eastAsiaTheme="minorEastAsia" w:cstheme="minorBidi"/>
          <w:noProof/>
          <w:sz w:val="22"/>
          <w:szCs w:val="22"/>
        </w:rPr>
      </w:pPr>
      <w:r>
        <w:rPr>
          <w:noProof/>
        </w:rPr>
        <w:t>5.5</w:t>
      </w:r>
      <w:r>
        <w:rPr>
          <w:rFonts w:eastAsiaTheme="minorEastAsia" w:cstheme="minorBidi"/>
          <w:noProof/>
          <w:sz w:val="22"/>
          <w:szCs w:val="22"/>
        </w:rPr>
        <w:tab/>
      </w:r>
      <w:r>
        <w:rPr>
          <w:noProof/>
        </w:rPr>
        <w:t>Change in construction costs — office buildings</w:t>
      </w:r>
      <w:r>
        <w:rPr>
          <w:noProof/>
        </w:rPr>
        <w:tab/>
      </w:r>
      <w:r>
        <w:rPr>
          <w:noProof/>
        </w:rPr>
        <w:fldChar w:fldCharType="begin"/>
      </w:r>
      <w:r>
        <w:rPr>
          <w:noProof/>
        </w:rPr>
        <w:instrText xml:space="preserve"> PAGEREF _Toc530748409 \h </w:instrText>
      </w:r>
      <w:r>
        <w:rPr>
          <w:noProof/>
        </w:rPr>
      </w:r>
      <w:r>
        <w:rPr>
          <w:noProof/>
        </w:rPr>
        <w:fldChar w:fldCharType="separate"/>
      </w:r>
      <w:r>
        <w:rPr>
          <w:noProof/>
        </w:rPr>
        <w:t>57</w:t>
      </w:r>
      <w:r>
        <w:rPr>
          <w:noProof/>
        </w:rPr>
        <w:fldChar w:fldCharType="end"/>
      </w:r>
    </w:p>
    <w:p w:rsidR="00B833F1" w:rsidRDefault="00B833F1">
      <w:pPr>
        <w:pStyle w:val="TableofFigures"/>
        <w:rPr>
          <w:rFonts w:eastAsiaTheme="minorEastAsia" w:cstheme="minorBidi"/>
          <w:noProof/>
          <w:sz w:val="22"/>
          <w:szCs w:val="22"/>
        </w:rPr>
      </w:pPr>
      <w:r>
        <w:rPr>
          <w:noProof/>
        </w:rPr>
        <w:t>5.6</w:t>
      </w:r>
      <w:r>
        <w:rPr>
          <w:rFonts w:eastAsiaTheme="minorEastAsia" w:cstheme="minorBidi"/>
          <w:noProof/>
          <w:sz w:val="22"/>
          <w:szCs w:val="22"/>
        </w:rPr>
        <w:tab/>
      </w:r>
      <w:r>
        <w:rPr>
          <w:noProof/>
        </w:rPr>
        <w:t>Change in construction costs — retail (6B)</w:t>
      </w:r>
      <w:r>
        <w:rPr>
          <w:noProof/>
        </w:rPr>
        <w:tab/>
      </w:r>
      <w:r>
        <w:rPr>
          <w:noProof/>
        </w:rPr>
        <w:fldChar w:fldCharType="begin"/>
      </w:r>
      <w:r>
        <w:rPr>
          <w:noProof/>
        </w:rPr>
        <w:instrText xml:space="preserve"> PAGEREF _Toc530748410 \h </w:instrText>
      </w:r>
      <w:r>
        <w:rPr>
          <w:noProof/>
        </w:rPr>
      </w:r>
      <w:r>
        <w:rPr>
          <w:noProof/>
        </w:rPr>
        <w:fldChar w:fldCharType="separate"/>
      </w:r>
      <w:r>
        <w:rPr>
          <w:noProof/>
        </w:rPr>
        <w:t>57</w:t>
      </w:r>
      <w:r>
        <w:rPr>
          <w:noProof/>
        </w:rPr>
        <w:fldChar w:fldCharType="end"/>
      </w:r>
    </w:p>
    <w:p w:rsidR="00B833F1" w:rsidRDefault="00B833F1">
      <w:pPr>
        <w:pStyle w:val="TableofFigures"/>
        <w:rPr>
          <w:rFonts w:eastAsiaTheme="minorEastAsia" w:cstheme="minorBidi"/>
          <w:noProof/>
          <w:sz w:val="22"/>
          <w:szCs w:val="22"/>
        </w:rPr>
      </w:pPr>
      <w:r>
        <w:rPr>
          <w:noProof/>
        </w:rPr>
        <w:t>5.7</w:t>
      </w:r>
      <w:r>
        <w:rPr>
          <w:rFonts w:eastAsiaTheme="minorEastAsia" w:cstheme="minorBidi"/>
          <w:noProof/>
          <w:sz w:val="22"/>
          <w:szCs w:val="22"/>
        </w:rPr>
        <w:tab/>
      </w:r>
      <w:r>
        <w:rPr>
          <w:noProof/>
        </w:rPr>
        <w:t>Change in construction costs — healthcare building (9aC)</w:t>
      </w:r>
      <w:r>
        <w:rPr>
          <w:noProof/>
        </w:rPr>
        <w:tab/>
      </w:r>
      <w:r>
        <w:rPr>
          <w:noProof/>
        </w:rPr>
        <w:fldChar w:fldCharType="begin"/>
      </w:r>
      <w:r>
        <w:rPr>
          <w:noProof/>
        </w:rPr>
        <w:instrText xml:space="preserve"> PAGEREF _Toc530748411 \h </w:instrText>
      </w:r>
      <w:r>
        <w:rPr>
          <w:noProof/>
        </w:rPr>
      </w:r>
      <w:r>
        <w:rPr>
          <w:noProof/>
        </w:rPr>
        <w:fldChar w:fldCharType="separate"/>
      </w:r>
      <w:r>
        <w:rPr>
          <w:noProof/>
        </w:rPr>
        <w:t>58</w:t>
      </w:r>
      <w:r>
        <w:rPr>
          <w:noProof/>
        </w:rPr>
        <w:fldChar w:fldCharType="end"/>
      </w:r>
    </w:p>
    <w:p w:rsidR="00B833F1" w:rsidRDefault="00B833F1">
      <w:pPr>
        <w:pStyle w:val="TableofFigures"/>
        <w:rPr>
          <w:rFonts w:eastAsiaTheme="minorEastAsia" w:cstheme="minorBidi"/>
          <w:noProof/>
          <w:sz w:val="22"/>
          <w:szCs w:val="22"/>
        </w:rPr>
      </w:pPr>
      <w:r>
        <w:rPr>
          <w:noProof/>
        </w:rPr>
        <w:t>5.8</w:t>
      </w:r>
      <w:r>
        <w:rPr>
          <w:rFonts w:eastAsiaTheme="minorEastAsia" w:cstheme="minorBidi"/>
          <w:noProof/>
          <w:sz w:val="22"/>
          <w:szCs w:val="22"/>
        </w:rPr>
        <w:tab/>
      </w:r>
      <w:r>
        <w:rPr>
          <w:noProof/>
        </w:rPr>
        <w:t>Change in construction costs — school classroom (9bH)</w:t>
      </w:r>
      <w:r>
        <w:rPr>
          <w:noProof/>
        </w:rPr>
        <w:tab/>
      </w:r>
      <w:r>
        <w:rPr>
          <w:noProof/>
        </w:rPr>
        <w:fldChar w:fldCharType="begin"/>
      </w:r>
      <w:r>
        <w:rPr>
          <w:noProof/>
        </w:rPr>
        <w:instrText xml:space="preserve"> PAGEREF _Toc530748412 \h </w:instrText>
      </w:r>
      <w:r>
        <w:rPr>
          <w:noProof/>
        </w:rPr>
      </w:r>
      <w:r>
        <w:rPr>
          <w:noProof/>
        </w:rPr>
        <w:fldChar w:fldCharType="separate"/>
      </w:r>
      <w:r>
        <w:rPr>
          <w:noProof/>
        </w:rPr>
        <w:t>59</w:t>
      </w:r>
      <w:r>
        <w:rPr>
          <w:noProof/>
        </w:rPr>
        <w:fldChar w:fldCharType="end"/>
      </w:r>
    </w:p>
    <w:p w:rsidR="00B833F1" w:rsidRDefault="00B833F1">
      <w:pPr>
        <w:pStyle w:val="TableofFigures"/>
        <w:rPr>
          <w:rFonts w:eastAsiaTheme="minorEastAsia" w:cstheme="minorBidi"/>
          <w:noProof/>
          <w:sz w:val="22"/>
          <w:szCs w:val="22"/>
        </w:rPr>
      </w:pPr>
      <w:r>
        <w:rPr>
          <w:noProof/>
        </w:rPr>
        <w:t>5.9</w:t>
      </w:r>
      <w:r>
        <w:rPr>
          <w:rFonts w:eastAsiaTheme="minorEastAsia" w:cstheme="minorBidi"/>
          <w:noProof/>
          <w:sz w:val="22"/>
          <w:szCs w:val="22"/>
        </w:rPr>
        <w:tab/>
      </w:r>
      <w:r>
        <w:rPr>
          <w:noProof/>
        </w:rPr>
        <w:t>Increase in construction costs from selected case studies</w:t>
      </w:r>
      <w:r>
        <w:rPr>
          <w:noProof/>
        </w:rPr>
        <w:tab/>
      </w:r>
      <w:r>
        <w:rPr>
          <w:noProof/>
        </w:rPr>
        <w:fldChar w:fldCharType="begin"/>
      </w:r>
      <w:r>
        <w:rPr>
          <w:noProof/>
        </w:rPr>
        <w:instrText xml:space="preserve"> PAGEREF _Toc530748413 \h </w:instrText>
      </w:r>
      <w:r>
        <w:rPr>
          <w:noProof/>
        </w:rPr>
      </w:r>
      <w:r>
        <w:rPr>
          <w:noProof/>
        </w:rPr>
        <w:fldChar w:fldCharType="separate"/>
      </w:r>
      <w:r>
        <w:rPr>
          <w:noProof/>
        </w:rPr>
        <w:t>60</w:t>
      </w:r>
      <w:r>
        <w:rPr>
          <w:noProof/>
        </w:rPr>
        <w:fldChar w:fldCharType="end"/>
      </w:r>
    </w:p>
    <w:p w:rsidR="00B833F1" w:rsidRDefault="00B833F1">
      <w:pPr>
        <w:pStyle w:val="TableofFigures"/>
        <w:rPr>
          <w:rFonts w:eastAsiaTheme="minorEastAsia" w:cstheme="minorBidi"/>
          <w:noProof/>
          <w:sz w:val="22"/>
          <w:szCs w:val="22"/>
        </w:rPr>
      </w:pPr>
      <w:r>
        <w:rPr>
          <w:noProof/>
        </w:rPr>
        <w:t>5.10</w:t>
      </w:r>
      <w:r>
        <w:rPr>
          <w:rFonts w:eastAsiaTheme="minorEastAsia" w:cstheme="minorBidi"/>
          <w:noProof/>
          <w:sz w:val="22"/>
          <w:szCs w:val="22"/>
        </w:rPr>
        <w:tab/>
      </w:r>
      <w:r>
        <w:rPr>
          <w:noProof/>
        </w:rPr>
        <w:t>Proposed building compared to NCC2019 reference building</w:t>
      </w:r>
      <w:r>
        <w:rPr>
          <w:noProof/>
        </w:rPr>
        <w:tab/>
      </w:r>
      <w:r>
        <w:rPr>
          <w:noProof/>
        </w:rPr>
        <w:fldChar w:fldCharType="begin"/>
      </w:r>
      <w:r>
        <w:rPr>
          <w:noProof/>
        </w:rPr>
        <w:instrText xml:space="preserve"> PAGEREF _Toc530748414 \h </w:instrText>
      </w:r>
      <w:r>
        <w:rPr>
          <w:noProof/>
        </w:rPr>
      </w:r>
      <w:r>
        <w:rPr>
          <w:noProof/>
        </w:rPr>
        <w:fldChar w:fldCharType="separate"/>
      </w:r>
      <w:r>
        <w:rPr>
          <w:noProof/>
        </w:rPr>
        <w:t>60</w:t>
      </w:r>
      <w:r>
        <w:rPr>
          <w:noProof/>
        </w:rPr>
        <w:fldChar w:fldCharType="end"/>
      </w:r>
    </w:p>
    <w:p w:rsidR="00B833F1" w:rsidRDefault="00B833F1">
      <w:pPr>
        <w:pStyle w:val="TableofFigures"/>
        <w:rPr>
          <w:rFonts w:eastAsiaTheme="minorEastAsia" w:cstheme="minorBidi"/>
          <w:noProof/>
          <w:sz w:val="22"/>
          <w:szCs w:val="22"/>
        </w:rPr>
      </w:pPr>
      <w:r>
        <w:rPr>
          <w:noProof/>
        </w:rPr>
        <w:t>5.11</w:t>
      </w:r>
      <w:r>
        <w:rPr>
          <w:rFonts w:eastAsiaTheme="minorEastAsia" w:cstheme="minorBidi"/>
          <w:noProof/>
          <w:sz w:val="22"/>
          <w:szCs w:val="22"/>
        </w:rPr>
        <w:tab/>
      </w:r>
      <w:r>
        <w:rPr>
          <w:noProof/>
        </w:rPr>
        <w:t>Relationship between window price and SHGC and U-Value</w:t>
      </w:r>
      <w:r>
        <w:rPr>
          <w:noProof/>
        </w:rPr>
        <w:tab/>
      </w:r>
      <w:r>
        <w:rPr>
          <w:noProof/>
        </w:rPr>
        <w:fldChar w:fldCharType="begin"/>
      </w:r>
      <w:r>
        <w:rPr>
          <w:noProof/>
        </w:rPr>
        <w:instrText xml:space="preserve"> PAGEREF _Toc530748415 \h </w:instrText>
      </w:r>
      <w:r>
        <w:rPr>
          <w:noProof/>
        </w:rPr>
      </w:r>
      <w:r>
        <w:rPr>
          <w:noProof/>
        </w:rPr>
        <w:fldChar w:fldCharType="separate"/>
      </w:r>
      <w:r>
        <w:rPr>
          <w:noProof/>
        </w:rPr>
        <w:t>63</w:t>
      </w:r>
      <w:r>
        <w:rPr>
          <w:noProof/>
        </w:rPr>
        <w:fldChar w:fldCharType="end"/>
      </w:r>
    </w:p>
    <w:p w:rsidR="00B833F1" w:rsidRDefault="00B833F1">
      <w:pPr>
        <w:pStyle w:val="TableofFigures"/>
        <w:rPr>
          <w:rFonts w:eastAsiaTheme="minorEastAsia" w:cstheme="minorBidi"/>
          <w:noProof/>
          <w:sz w:val="22"/>
          <w:szCs w:val="22"/>
        </w:rPr>
      </w:pPr>
      <w:r>
        <w:rPr>
          <w:noProof/>
        </w:rPr>
        <w:t>5.12</w:t>
      </w:r>
      <w:r>
        <w:rPr>
          <w:rFonts w:eastAsiaTheme="minorEastAsia" w:cstheme="minorBidi"/>
          <w:noProof/>
          <w:sz w:val="22"/>
          <w:szCs w:val="22"/>
        </w:rPr>
        <w:tab/>
      </w:r>
      <w:r>
        <w:rPr>
          <w:noProof/>
        </w:rPr>
        <w:t>Decomposition of construction costs</w:t>
      </w:r>
      <w:r>
        <w:rPr>
          <w:noProof/>
        </w:rPr>
        <w:tab/>
      </w:r>
      <w:r>
        <w:rPr>
          <w:noProof/>
        </w:rPr>
        <w:fldChar w:fldCharType="begin"/>
      </w:r>
      <w:r>
        <w:rPr>
          <w:noProof/>
        </w:rPr>
        <w:instrText xml:space="preserve"> PAGEREF _Toc530748416 \h </w:instrText>
      </w:r>
      <w:r>
        <w:rPr>
          <w:noProof/>
        </w:rPr>
      </w:r>
      <w:r>
        <w:rPr>
          <w:noProof/>
        </w:rPr>
        <w:fldChar w:fldCharType="separate"/>
      </w:r>
      <w:r>
        <w:rPr>
          <w:noProof/>
        </w:rPr>
        <w:t>64</w:t>
      </w:r>
      <w:r>
        <w:rPr>
          <w:noProof/>
        </w:rPr>
        <w:fldChar w:fldCharType="end"/>
      </w:r>
    </w:p>
    <w:p w:rsidR="00B833F1" w:rsidRDefault="00B833F1">
      <w:pPr>
        <w:pStyle w:val="TableofFigures"/>
        <w:rPr>
          <w:rFonts w:eastAsiaTheme="minorEastAsia" w:cstheme="minorBidi"/>
          <w:noProof/>
          <w:sz w:val="22"/>
          <w:szCs w:val="22"/>
        </w:rPr>
      </w:pPr>
      <w:r>
        <w:rPr>
          <w:noProof/>
        </w:rPr>
        <w:t>6.1</w:t>
      </w:r>
      <w:r>
        <w:rPr>
          <w:rFonts w:eastAsiaTheme="minorEastAsia" w:cstheme="minorBidi"/>
          <w:noProof/>
          <w:sz w:val="22"/>
          <w:szCs w:val="22"/>
        </w:rPr>
        <w:tab/>
      </w:r>
      <w:r>
        <w:rPr>
          <w:noProof/>
        </w:rPr>
        <w:t>Modelled annual energy savings — summary</w:t>
      </w:r>
      <w:r>
        <w:rPr>
          <w:noProof/>
        </w:rPr>
        <w:tab/>
      </w:r>
      <w:r>
        <w:rPr>
          <w:noProof/>
        </w:rPr>
        <w:fldChar w:fldCharType="begin"/>
      </w:r>
      <w:r>
        <w:rPr>
          <w:noProof/>
        </w:rPr>
        <w:instrText xml:space="preserve"> PAGEREF _Toc530748417 \h </w:instrText>
      </w:r>
      <w:r>
        <w:rPr>
          <w:noProof/>
        </w:rPr>
      </w:r>
      <w:r>
        <w:rPr>
          <w:noProof/>
        </w:rPr>
        <w:fldChar w:fldCharType="separate"/>
      </w:r>
      <w:r>
        <w:rPr>
          <w:noProof/>
        </w:rPr>
        <w:t>68</w:t>
      </w:r>
      <w:r>
        <w:rPr>
          <w:noProof/>
        </w:rPr>
        <w:fldChar w:fldCharType="end"/>
      </w:r>
    </w:p>
    <w:p w:rsidR="00B833F1" w:rsidRDefault="00B833F1">
      <w:pPr>
        <w:pStyle w:val="TableofFigures"/>
        <w:rPr>
          <w:rFonts w:eastAsiaTheme="minorEastAsia" w:cstheme="minorBidi"/>
          <w:noProof/>
          <w:sz w:val="22"/>
          <w:szCs w:val="22"/>
        </w:rPr>
      </w:pPr>
      <w:r>
        <w:rPr>
          <w:noProof/>
        </w:rPr>
        <w:t>6.2</w:t>
      </w:r>
      <w:r>
        <w:rPr>
          <w:rFonts w:eastAsiaTheme="minorEastAsia" w:cstheme="minorBidi"/>
          <w:noProof/>
          <w:sz w:val="22"/>
          <w:szCs w:val="22"/>
        </w:rPr>
        <w:tab/>
      </w:r>
      <w:r>
        <w:rPr>
          <w:noProof/>
        </w:rPr>
        <w:t>Modelled energy savings — hotels</w:t>
      </w:r>
      <w:r>
        <w:rPr>
          <w:noProof/>
        </w:rPr>
        <w:tab/>
      </w:r>
      <w:r>
        <w:rPr>
          <w:noProof/>
        </w:rPr>
        <w:fldChar w:fldCharType="begin"/>
      </w:r>
      <w:r>
        <w:rPr>
          <w:noProof/>
        </w:rPr>
        <w:instrText xml:space="preserve"> PAGEREF _Toc530748418 \h </w:instrText>
      </w:r>
      <w:r>
        <w:rPr>
          <w:noProof/>
        </w:rPr>
      </w:r>
      <w:r>
        <w:rPr>
          <w:noProof/>
        </w:rPr>
        <w:fldChar w:fldCharType="separate"/>
      </w:r>
      <w:r>
        <w:rPr>
          <w:noProof/>
        </w:rPr>
        <w:t>69</w:t>
      </w:r>
      <w:r>
        <w:rPr>
          <w:noProof/>
        </w:rPr>
        <w:fldChar w:fldCharType="end"/>
      </w:r>
    </w:p>
    <w:p w:rsidR="00B833F1" w:rsidRDefault="00B833F1">
      <w:pPr>
        <w:pStyle w:val="TableofFigures"/>
        <w:rPr>
          <w:rFonts w:eastAsiaTheme="minorEastAsia" w:cstheme="minorBidi"/>
          <w:noProof/>
          <w:sz w:val="22"/>
          <w:szCs w:val="22"/>
        </w:rPr>
      </w:pPr>
      <w:r>
        <w:rPr>
          <w:noProof/>
        </w:rPr>
        <w:lastRenderedPageBreak/>
        <w:t>6.3</w:t>
      </w:r>
      <w:r>
        <w:rPr>
          <w:rFonts w:eastAsiaTheme="minorEastAsia" w:cstheme="minorBidi"/>
          <w:noProof/>
          <w:sz w:val="22"/>
          <w:szCs w:val="22"/>
        </w:rPr>
        <w:tab/>
      </w:r>
      <w:r>
        <w:rPr>
          <w:noProof/>
        </w:rPr>
        <w:t>Modelled energy savings — office buildings (40 per cent WWR)</w:t>
      </w:r>
      <w:r>
        <w:rPr>
          <w:noProof/>
        </w:rPr>
        <w:tab/>
      </w:r>
      <w:r>
        <w:rPr>
          <w:noProof/>
        </w:rPr>
        <w:fldChar w:fldCharType="begin"/>
      </w:r>
      <w:r>
        <w:rPr>
          <w:noProof/>
        </w:rPr>
        <w:instrText xml:space="preserve"> PAGEREF _Toc530748419 \h </w:instrText>
      </w:r>
      <w:r>
        <w:rPr>
          <w:noProof/>
        </w:rPr>
      </w:r>
      <w:r>
        <w:rPr>
          <w:noProof/>
        </w:rPr>
        <w:fldChar w:fldCharType="separate"/>
      </w:r>
      <w:r>
        <w:rPr>
          <w:noProof/>
        </w:rPr>
        <w:t>70</w:t>
      </w:r>
      <w:r>
        <w:rPr>
          <w:noProof/>
        </w:rPr>
        <w:fldChar w:fldCharType="end"/>
      </w:r>
    </w:p>
    <w:p w:rsidR="00B833F1" w:rsidRDefault="00B833F1">
      <w:pPr>
        <w:pStyle w:val="TableofFigures"/>
        <w:rPr>
          <w:rFonts w:eastAsiaTheme="minorEastAsia" w:cstheme="minorBidi"/>
          <w:noProof/>
          <w:sz w:val="22"/>
          <w:szCs w:val="22"/>
        </w:rPr>
      </w:pPr>
      <w:r>
        <w:rPr>
          <w:noProof/>
        </w:rPr>
        <w:t>6.4</w:t>
      </w:r>
      <w:r>
        <w:rPr>
          <w:rFonts w:eastAsiaTheme="minorEastAsia" w:cstheme="minorBidi"/>
          <w:noProof/>
          <w:sz w:val="22"/>
          <w:szCs w:val="22"/>
        </w:rPr>
        <w:tab/>
      </w:r>
      <w:r>
        <w:rPr>
          <w:noProof/>
        </w:rPr>
        <w:t>Modelled energy savings — office buildings (56 per cent WWR)</w:t>
      </w:r>
      <w:r>
        <w:rPr>
          <w:noProof/>
        </w:rPr>
        <w:tab/>
      </w:r>
      <w:r>
        <w:rPr>
          <w:noProof/>
        </w:rPr>
        <w:fldChar w:fldCharType="begin"/>
      </w:r>
      <w:r>
        <w:rPr>
          <w:noProof/>
        </w:rPr>
        <w:instrText xml:space="preserve"> PAGEREF _Toc530748420 \h </w:instrText>
      </w:r>
      <w:r>
        <w:rPr>
          <w:noProof/>
        </w:rPr>
      </w:r>
      <w:r>
        <w:rPr>
          <w:noProof/>
        </w:rPr>
        <w:fldChar w:fldCharType="separate"/>
      </w:r>
      <w:r>
        <w:rPr>
          <w:noProof/>
        </w:rPr>
        <w:t>70</w:t>
      </w:r>
      <w:r>
        <w:rPr>
          <w:noProof/>
        </w:rPr>
        <w:fldChar w:fldCharType="end"/>
      </w:r>
    </w:p>
    <w:p w:rsidR="00B833F1" w:rsidRDefault="00B833F1">
      <w:pPr>
        <w:pStyle w:val="TableofFigures"/>
        <w:rPr>
          <w:rFonts w:eastAsiaTheme="minorEastAsia" w:cstheme="minorBidi"/>
          <w:noProof/>
          <w:sz w:val="22"/>
          <w:szCs w:val="22"/>
        </w:rPr>
      </w:pPr>
      <w:r>
        <w:rPr>
          <w:noProof/>
        </w:rPr>
        <w:t>6.5</w:t>
      </w:r>
      <w:r>
        <w:rPr>
          <w:rFonts w:eastAsiaTheme="minorEastAsia" w:cstheme="minorBidi"/>
          <w:noProof/>
          <w:sz w:val="22"/>
          <w:szCs w:val="22"/>
        </w:rPr>
        <w:tab/>
      </w:r>
      <w:r>
        <w:rPr>
          <w:noProof/>
        </w:rPr>
        <w:t>Modelled energy savings — retail</w:t>
      </w:r>
      <w:r>
        <w:rPr>
          <w:noProof/>
        </w:rPr>
        <w:tab/>
      </w:r>
      <w:r>
        <w:rPr>
          <w:noProof/>
        </w:rPr>
        <w:fldChar w:fldCharType="begin"/>
      </w:r>
      <w:r>
        <w:rPr>
          <w:noProof/>
        </w:rPr>
        <w:instrText xml:space="preserve"> PAGEREF _Toc530748421 \h </w:instrText>
      </w:r>
      <w:r>
        <w:rPr>
          <w:noProof/>
        </w:rPr>
      </w:r>
      <w:r>
        <w:rPr>
          <w:noProof/>
        </w:rPr>
        <w:fldChar w:fldCharType="separate"/>
      </w:r>
      <w:r>
        <w:rPr>
          <w:noProof/>
        </w:rPr>
        <w:t>71</w:t>
      </w:r>
      <w:r>
        <w:rPr>
          <w:noProof/>
        </w:rPr>
        <w:fldChar w:fldCharType="end"/>
      </w:r>
    </w:p>
    <w:p w:rsidR="00B833F1" w:rsidRDefault="00B833F1">
      <w:pPr>
        <w:pStyle w:val="TableofFigures"/>
        <w:rPr>
          <w:rFonts w:eastAsiaTheme="minorEastAsia" w:cstheme="minorBidi"/>
          <w:noProof/>
          <w:sz w:val="22"/>
          <w:szCs w:val="22"/>
        </w:rPr>
      </w:pPr>
      <w:r>
        <w:rPr>
          <w:noProof/>
        </w:rPr>
        <w:t>6.6</w:t>
      </w:r>
      <w:r>
        <w:rPr>
          <w:rFonts w:eastAsiaTheme="minorEastAsia" w:cstheme="minorBidi"/>
          <w:noProof/>
          <w:sz w:val="22"/>
          <w:szCs w:val="22"/>
        </w:rPr>
        <w:tab/>
      </w:r>
      <w:r>
        <w:rPr>
          <w:noProof/>
        </w:rPr>
        <w:t>Modelled energy savings — healthcare facilities</w:t>
      </w:r>
      <w:r>
        <w:rPr>
          <w:noProof/>
        </w:rPr>
        <w:tab/>
      </w:r>
      <w:r>
        <w:rPr>
          <w:noProof/>
        </w:rPr>
        <w:fldChar w:fldCharType="begin"/>
      </w:r>
      <w:r>
        <w:rPr>
          <w:noProof/>
        </w:rPr>
        <w:instrText xml:space="preserve"> PAGEREF _Toc530748422 \h </w:instrText>
      </w:r>
      <w:r>
        <w:rPr>
          <w:noProof/>
        </w:rPr>
      </w:r>
      <w:r>
        <w:rPr>
          <w:noProof/>
        </w:rPr>
        <w:fldChar w:fldCharType="separate"/>
      </w:r>
      <w:r>
        <w:rPr>
          <w:noProof/>
        </w:rPr>
        <w:t>72</w:t>
      </w:r>
      <w:r>
        <w:rPr>
          <w:noProof/>
        </w:rPr>
        <w:fldChar w:fldCharType="end"/>
      </w:r>
    </w:p>
    <w:p w:rsidR="00B833F1" w:rsidRDefault="00B833F1">
      <w:pPr>
        <w:pStyle w:val="TableofFigures"/>
        <w:rPr>
          <w:rFonts w:eastAsiaTheme="minorEastAsia" w:cstheme="minorBidi"/>
          <w:noProof/>
          <w:sz w:val="22"/>
          <w:szCs w:val="22"/>
        </w:rPr>
      </w:pPr>
      <w:r>
        <w:rPr>
          <w:noProof/>
        </w:rPr>
        <w:t>6.7</w:t>
      </w:r>
      <w:r>
        <w:rPr>
          <w:rFonts w:eastAsiaTheme="minorEastAsia" w:cstheme="minorBidi"/>
          <w:noProof/>
          <w:sz w:val="22"/>
          <w:szCs w:val="22"/>
        </w:rPr>
        <w:tab/>
      </w:r>
      <w:r>
        <w:rPr>
          <w:noProof/>
        </w:rPr>
        <w:t>Modelled energy savings — schools</w:t>
      </w:r>
      <w:r>
        <w:rPr>
          <w:noProof/>
        </w:rPr>
        <w:tab/>
      </w:r>
      <w:r>
        <w:rPr>
          <w:noProof/>
        </w:rPr>
        <w:fldChar w:fldCharType="begin"/>
      </w:r>
      <w:r>
        <w:rPr>
          <w:noProof/>
        </w:rPr>
        <w:instrText xml:space="preserve"> PAGEREF _Toc530748423 \h </w:instrText>
      </w:r>
      <w:r>
        <w:rPr>
          <w:noProof/>
        </w:rPr>
      </w:r>
      <w:r>
        <w:rPr>
          <w:noProof/>
        </w:rPr>
        <w:fldChar w:fldCharType="separate"/>
      </w:r>
      <w:r>
        <w:rPr>
          <w:noProof/>
        </w:rPr>
        <w:t>72</w:t>
      </w:r>
      <w:r>
        <w:rPr>
          <w:noProof/>
        </w:rPr>
        <w:fldChar w:fldCharType="end"/>
      </w:r>
    </w:p>
    <w:p w:rsidR="00B833F1" w:rsidRDefault="00B833F1">
      <w:pPr>
        <w:pStyle w:val="TableofFigures"/>
        <w:rPr>
          <w:rFonts w:eastAsiaTheme="minorEastAsia" w:cstheme="minorBidi"/>
          <w:noProof/>
          <w:sz w:val="22"/>
          <w:szCs w:val="22"/>
        </w:rPr>
      </w:pPr>
      <w:r>
        <w:rPr>
          <w:noProof/>
        </w:rPr>
        <w:t>6.8</w:t>
      </w:r>
      <w:r>
        <w:rPr>
          <w:rFonts w:eastAsiaTheme="minorEastAsia" w:cstheme="minorBidi"/>
          <w:noProof/>
          <w:sz w:val="22"/>
          <w:szCs w:val="22"/>
        </w:rPr>
        <w:tab/>
      </w:r>
      <w:r>
        <w:rPr>
          <w:noProof/>
        </w:rPr>
        <w:t>Relationship between predicted and actual greenhouse gas emissions</w:t>
      </w:r>
      <w:r>
        <w:rPr>
          <w:noProof/>
        </w:rPr>
        <w:tab/>
      </w:r>
      <w:r>
        <w:rPr>
          <w:noProof/>
        </w:rPr>
        <w:fldChar w:fldCharType="begin"/>
      </w:r>
      <w:r>
        <w:rPr>
          <w:noProof/>
        </w:rPr>
        <w:instrText xml:space="preserve"> PAGEREF _Toc530748424 \h </w:instrText>
      </w:r>
      <w:r>
        <w:rPr>
          <w:noProof/>
        </w:rPr>
      </w:r>
      <w:r>
        <w:rPr>
          <w:noProof/>
        </w:rPr>
        <w:fldChar w:fldCharType="separate"/>
      </w:r>
      <w:r>
        <w:rPr>
          <w:noProof/>
        </w:rPr>
        <w:t>75</w:t>
      </w:r>
      <w:r>
        <w:rPr>
          <w:noProof/>
        </w:rPr>
        <w:fldChar w:fldCharType="end"/>
      </w:r>
    </w:p>
    <w:p w:rsidR="00B833F1" w:rsidRDefault="00B833F1">
      <w:pPr>
        <w:pStyle w:val="TableofFigures"/>
        <w:rPr>
          <w:rFonts w:eastAsiaTheme="minorEastAsia" w:cstheme="minorBidi"/>
          <w:noProof/>
          <w:sz w:val="22"/>
          <w:szCs w:val="22"/>
        </w:rPr>
      </w:pPr>
      <w:r>
        <w:rPr>
          <w:noProof/>
        </w:rPr>
        <w:t>6.9</w:t>
      </w:r>
      <w:r>
        <w:rPr>
          <w:rFonts w:eastAsiaTheme="minorEastAsia" w:cstheme="minorBidi"/>
          <w:noProof/>
          <w:sz w:val="22"/>
          <w:szCs w:val="22"/>
        </w:rPr>
        <w:tab/>
      </w:r>
      <w:r>
        <w:rPr>
          <w:noProof/>
        </w:rPr>
        <w:t>Impact on energy consumption and emissions from case studies</w:t>
      </w:r>
      <w:r>
        <w:rPr>
          <w:noProof/>
        </w:rPr>
        <w:tab/>
      </w:r>
      <w:r>
        <w:rPr>
          <w:noProof/>
        </w:rPr>
        <w:fldChar w:fldCharType="begin"/>
      </w:r>
      <w:r>
        <w:rPr>
          <w:noProof/>
        </w:rPr>
        <w:instrText xml:space="preserve"> PAGEREF _Toc530748425 \h </w:instrText>
      </w:r>
      <w:r>
        <w:rPr>
          <w:noProof/>
        </w:rPr>
      </w:r>
      <w:r>
        <w:rPr>
          <w:noProof/>
        </w:rPr>
        <w:fldChar w:fldCharType="separate"/>
      </w:r>
      <w:r>
        <w:rPr>
          <w:noProof/>
        </w:rPr>
        <w:t>78</w:t>
      </w:r>
      <w:r>
        <w:rPr>
          <w:noProof/>
        </w:rPr>
        <w:fldChar w:fldCharType="end"/>
      </w:r>
    </w:p>
    <w:p w:rsidR="00B833F1" w:rsidRDefault="00B833F1">
      <w:pPr>
        <w:pStyle w:val="TableofFigures"/>
        <w:rPr>
          <w:rFonts w:eastAsiaTheme="minorEastAsia" w:cstheme="minorBidi"/>
          <w:noProof/>
          <w:sz w:val="22"/>
          <w:szCs w:val="22"/>
        </w:rPr>
      </w:pPr>
      <w:r>
        <w:rPr>
          <w:noProof/>
        </w:rPr>
        <w:t>6.10</w:t>
      </w:r>
      <w:r>
        <w:rPr>
          <w:rFonts w:eastAsiaTheme="minorEastAsia" w:cstheme="minorBidi"/>
          <w:noProof/>
          <w:sz w:val="22"/>
          <w:szCs w:val="22"/>
        </w:rPr>
        <w:tab/>
      </w:r>
      <w:r>
        <w:rPr>
          <w:noProof/>
        </w:rPr>
        <w:t>Aggregate electricity savings over time</w:t>
      </w:r>
      <w:r>
        <w:rPr>
          <w:noProof/>
        </w:rPr>
        <w:tab/>
      </w:r>
      <w:r>
        <w:rPr>
          <w:noProof/>
        </w:rPr>
        <w:fldChar w:fldCharType="begin"/>
      </w:r>
      <w:r>
        <w:rPr>
          <w:noProof/>
        </w:rPr>
        <w:instrText xml:space="preserve"> PAGEREF _Toc530748426 \h </w:instrText>
      </w:r>
      <w:r>
        <w:rPr>
          <w:noProof/>
        </w:rPr>
      </w:r>
      <w:r>
        <w:rPr>
          <w:noProof/>
        </w:rPr>
        <w:fldChar w:fldCharType="separate"/>
      </w:r>
      <w:r>
        <w:rPr>
          <w:noProof/>
        </w:rPr>
        <w:t>80</w:t>
      </w:r>
      <w:r>
        <w:rPr>
          <w:noProof/>
        </w:rPr>
        <w:fldChar w:fldCharType="end"/>
      </w:r>
    </w:p>
    <w:p w:rsidR="00B833F1" w:rsidRDefault="00B833F1">
      <w:pPr>
        <w:pStyle w:val="TableofFigures"/>
        <w:rPr>
          <w:rFonts w:eastAsiaTheme="minorEastAsia" w:cstheme="minorBidi"/>
          <w:noProof/>
          <w:sz w:val="22"/>
          <w:szCs w:val="22"/>
        </w:rPr>
      </w:pPr>
      <w:r>
        <w:rPr>
          <w:noProof/>
        </w:rPr>
        <w:t>6.11</w:t>
      </w:r>
      <w:r>
        <w:rPr>
          <w:rFonts w:eastAsiaTheme="minorEastAsia" w:cstheme="minorBidi"/>
          <w:noProof/>
          <w:sz w:val="22"/>
          <w:szCs w:val="22"/>
        </w:rPr>
        <w:tab/>
      </w:r>
      <w:r>
        <w:rPr>
          <w:noProof/>
        </w:rPr>
        <w:t>Aggregate gas savings over time</w:t>
      </w:r>
      <w:r>
        <w:rPr>
          <w:noProof/>
        </w:rPr>
        <w:tab/>
      </w:r>
      <w:r>
        <w:rPr>
          <w:noProof/>
        </w:rPr>
        <w:fldChar w:fldCharType="begin"/>
      </w:r>
      <w:r>
        <w:rPr>
          <w:noProof/>
        </w:rPr>
        <w:instrText xml:space="preserve"> PAGEREF _Toc530748427 \h </w:instrText>
      </w:r>
      <w:r>
        <w:rPr>
          <w:noProof/>
        </w:rPr>
      </w:r>
      <w:r>
        <w:rPr>
          <w:noProof/>
        </w:rPr>
        <w:fldChar w:fldCharType="separate"/>
      </w:r>
      <w:r>
        <w:rPr>
          <w:noProof/>
        </w:rPr>
        <w:t>80</w:t>
      </w:r>
      <w:r>
        <w:rPr>
          <w:noProof/>
        </w:rPr>
        <w:fldChar w:fldCharType="end"/>
      </w:r>
    </w:p>
    <w:p w:rsidR="00B833F1" w:rsidRDefault="00B833F1">
      <w:pPr>
        <w:pStyle w:val="TableofFigures"/>
        <w:rPr>
          <w:rFonts w:eastAsiaTheme="minorEastAsia" w:cstheme="minorBidi"/>
          <w:noProof/>
          <w:sz w:val="22"/>
          <w:szCs w:val="22"/>
        </w:rPr>
      </w:pPr>
      <w:r>
        <w:rPr>
          <w:noProof/>
        </w:rPr>
        <w:t>6.12</w:t>
      </w:r>
      <w:r>
        <w:rPr>
          <w:rFonts w:eastAsiaTheme="minorEastAsia" w:cstheme="minorBidi"/>
          <w:noProof/>
          <w:sz w:val="22"/>
          <w:szCs w:val="22"/>
        </w:rPr>
        <w:tab/>
      </w:r>
      <w:r>
        <w:rPr>
          <w:noProof/>
        </w:rPr>
        <w:t>Aggregate GHG emissions savings over time</w:t>
      </w:r>
      <w:r>
        <w:rPr>
          <w:noProof/>
        </w:rPr>
        <w:tab/>
      </w:r>
      <w:r>
        <w:rPr>
          <w:noProof/>
        </w:rPr>
        <w:fldChar w:fldCharType="begin"/>
      </w:r>
      <w:r>
        <w:rPr>
          <w:noProof/>
        </w:rPr>
        <w:instrText xml:space="preserve"> PAGEREF _Toc530748428 \h </w:instrText>
      </w:r>
      <w:r>
        <w:rPr>
          <w:noProof/>
        </w:rPr>
      </w:r>
      <w:r>
        <w:rPr>
          <w:noProof/>
        </w:rPr>
        <w:fldChar w:fldCharType="separate"/>
      </w:r>
      <w:r>
        <w:rPr>
          <w:noProof/>
        </w:rPr>
        <w:t>81</w:t>
      </w:r>
      <w:r>
        <w:rPr>
          <w:noProof/>
        </w:rPr>
        <w:fldChar w:fldCharType="end"/>
      </w:r>
    </w:p>
    <w:p w:rsidR="00B833F1" w:rsidRDefault="00B833F1">
      <w:pPr>
        <w:pStyle w:val="TableofFigures"/>
        <w:rPr>
          <w:rFonts w:eastAsiaTheme="minorEastAsia" w:cstheme="minorBidi"/>
          <w:noProof/>
          <w:sz w:val="22"/>
          <w:szCs w:val="22"/>
        </w:rPr>
      </w:pPr>
      <w:r>
        <w:rPr>
          <w:noProof/>
        </w:rPr>
        <w:t>6.13</w:t>
      </w:r>
      <w:r>
        <w:rPr>
          <w:rFonts w:eastAsiaTheme="minorEastAsia" w:cstheme="minorBidi"/>
          <w:noProof/>
          <w:sz w:val="22"/>
          <w:szCs w:val="22"/>
        </w:rPr>
        <w:tab/>
      </w:r>
      <w:r>
        <w:rPr>
          <w:noProof/>
        </w:rPr>
        <w:t>Aggregate emissions reductions</w:t>
      </w:r>
      <w:r>
        <w:rPr>
          <w:noProof/>
        </w:rPr>
        <w:tab/>
      </w:r>
      <w:r>
        <w:rPr>
          <w:noProof/>
        </w:rPr>
        <w:fldChar w:fldCharType="begin"/>
      </w:r>
      <w:r>
        <w:rPr>
          <w:noProof/>
        </w:rPr>
        <w:instrText xml:space="preserve"> PAGEREF _Toc530748429 \h </w:instrText>
      </w:r>
      <w:r>
        <w:rPr>
          <w:noProof/>
        </w:rPr>
      </w:r>
      <w:r>
        <w:rPr>
          <w:noProof/>
        </w:rPr>
        <w:fldChar w:fldCharType="separate"/>
      </w:r>
      <w:r>
        <w:rPr>
          <w:noProof/>
        </w:rPr>
        <w:t>81</w:t>
      </w:r>
      <w:r>
        <w:rPr>
          <w:noProof/>
        </w:rPr>
        <w:fldChar w:fldCharType="end"/>
      </w:r>
    </w:p>
    <w:p w:rsidR="00B833F1" w:rsidRDefault="00B833F1">
      <w:pPr>
        <w:pStyle w:val="TableofFigures"/>
        <w:rPr>
          <w:rFonts w:eastAsiaTheme="minorEastAsia" w:cstheme="minorBidi"/>
          <w:noProof/>
          <w:sz w:val="22"/>
          <w:szCs w:val="22"/>
        </w:rPr>
      </w:pPr>
      <w:r>
        <w:rPr>
          <w:noProof/>
        </w:rPr>
        <w:t>7.1</w:t>
      </w:r>
      <w:r>
        <w:rPr>
          <w:rFonts w:eastAsiaTheme="minorEastAsia" w:cstheme="minorBidi"/>
          <w:noProof/>
          <w:sz w:val="22"/>
          <w:szCs w:val="22"/>
        </w:rPr>
        <w:tab/>
      </w:r>
      <w:r>
        <w:rPr>
          <w:noProof/>
        </w:rPr>
        <w:t>Estimated administrative cost savings</w:t>
      </w:r>
      <w:r>
        <w:rPr>
          <w:noProof/>
        </w:rPr>
        <w:tab/>
      </w:r>
      <w:r>
        <w:rPr>
          <w:noProof/>
        </w:rPr>
        <w:fldChar w:fldCharType="begin"/>
      </w:r>
      <w:r>
        <w:rPr>
          <w:noProof/>
        </w:rPr>
        <w:instrText xml:space="preserve"> PAGEREF _Toc530748430 \h </w:instrText>
      </w:r>
      <w:r>
        <w:rPr>
          <w:noProof/>
        </w:rPr>
      </w:r>
      <w:r>
        <w:rPr>
          <w:noProof/>
        </w:rPr>
        <w:fldChar w:fldCharType="separate"/>
      </w:r>
      <w:r>
        <w:rPr>
          <w:noProof/>
        </w:rPr>
        <w:t>83</w:t>
      </w:r>
      <w:r>
        <w:rPr>
          <w:noProof/>
        </w:rPr>
        <w:fldChar w:fldCharType="end"/>
      </w:r>
    </w:p>
    <w:p w:rsidR="00B833F1" w:rsidRDefault="00B833F1">
      <w:pPr>
        <w:pStyle w:val="TableofFigures"/>
        <w:rPr>
          <w:rFonts w:eastAsiaTheme="minorEastAsia" w:cstheme="minorBidi"/>
          <w:noProof/>
          <w:sz w:val="22"/>
          <w:szCs w:val="22"/>
        </w:rPr>
      </w:pPr>
      <w:r>
        <w:rPr>
          <w:noProof/>
        </w:rPr>
        <w:t>7.2</w:t>
      </w:r>
      <w:r>
        <w:rPr>
          <w:rFonts w:eastAsiaTheme="minorEastAsia" w:cstheme="minorBidi"/>
          <w:noProof/>
          <w:sz w:val="22"/>
          <w:szCs w:val="22"/>
        </w:rPr>
        <w:tab/>
      </w:r>
      <w:r>
        <w:rPr>
          <w:noProof/>
        </w:rPr>
        <w:t>Transitional costs incurred by government</w:t>
      </w:r>
      <w:r>
        <w:rPr>
          <w:noProof/>
        </w:rPr>
        <w:tab/>
      </w:r>
      <w:r>
        <w:rPr>
          <w:noProof/>
        </w:rPr>
        <w:fldChar w:fldCharType="begin"/>
      </w:r>
      <w:r>
        <w:rPr>
          <w:noProof/>
        </w:rPr>
        <w:instrText xml:space="preserve"> PAGEREF _Toc530748431 \h </w:instrText>
      </w:r>
      <w:r>
        <w:rPr>
          <w:noProof/>
        </w:rPr>
      </w:r>
      <w:r>
        <w:rPr>
          <w:noProof/>
        </w:rPr>
        <w:fldChar w:fldCharType="separate"/>
      </w:r>
      <w:r>
        <w:rPr>
          <w:noProof/>
        </w:rPr>
        <w:t>85</w:t>
      </w:r>
      <w:r>
        <w:rPr>
          <w:noProof/>
        </w:rPr>
        <w:fldChar w:fldCharType="end"/>
      </w:r>
    </w:p>
    <w:p w:rsidR="00B833F1" w:rsidRDefault="00B833F1">
      <w:pPr>
        <w:pStyle w:val="TableofFigures"/>
        <w:rPr>
          <w:rFonts w:eastAsiaTheme="minorEastAsia" w:cstheme="minorBidi"/>
          <w:noProof/>
          <w:sz w:val="22"/>
          <w:szCs w:val="22"/>
        </w:rPr>
      </w:pPr>
      <w:r>
        <w:rPr>
          <w:noProof/>
        </w:rPr>
        <w:t>7.3</w:t>
      </w:r>
      <w:r>
        <w:rPr>
          <w:rFonts w:eastAsiaTheme="minorEastAsia" w:cstheme="minorBidi"/>
          <w:noProof/>
          <w:sz w:val="22"/>
          <w:szCs w:val="22"/>
        </w:rPr>
        <w:tab/>
      </w:r>
      <w:r>
        <w:rPr>
          <w:noProof/>
        </w:rPr>
        <w:t>Estimated training costs incurred by industry</w:t>
      </w:r>
      <w:r>
        <w:rPr>
          <w:noProof/>
        </w:rPr>
        <w:tab/>
      </w:r>
      <w:r>
        <w:rPr>
          <w:noProof/>
        </w:rPr>
        <w:fldChar w:fldCharType="begin"/>
      </w:r>
      <w:r>
        <w:rPr>
          <w:noProof/>
        </w:rPr>
        <w:instrText xml:space="preserve"> PAGEREF _Toc530748432 \h </w:instrText>
      </w:r>
      <w:r>
        <w:rPr>
          <w:noProof/>
        </w:rPr>
      </w:r>
      <w:r>
        <w:rPr>
          <w:noProof/>
        </w:rPr>
        <w:fldChar w:fldCharType="separate"/>
      </w:r>
      <w:r>
        <w:rPr>
          <w:noProof/>
        </w:rPr>
        <w:t>86</w:t>
      </w:r>
      <w:r>
        <w:rPr>
          <w:noProof/>
        </w:rPr>
        <w:fldChar w:fldCharType="end"/>
      </w:r>
    </w:p>
    <w:p w:rsidR="00B833F1" w:rsidRDefault="00B833F1">
      <w:pPr>
        <w:pStyle w:val="TableofFigures"/>
        <w:rPr>
          <w:rFonts w:eastAsiaTheme="minorEastAsia" w:cstheme="minorBidi"/>
          <w:noProof/>
          <w:sz w:val="22"/>
          <w:szCs w:val="22"/>
        </w:rPr>
      </w:pPr>
      <w:r>
        <w:rPr>
          <w:noProof/>
        </w:rPr>
        <w:t>7.4</w:t>
      </w:r>
      <w:r>
        <w:rPr>
          <w:rFonts w:eastAsiaTheme="minorEastAsia" w:cstheme="minorBidi"/>
          <w:noProof/>
          <w:sz w:val="22"/>
          <w:szCs w:val="22"/>
        </w:rPr>
        <w:tab/>
      </w:r>
      <w:r>
        <w:rPr>
          <w:noProof/>
        </w:rPr>
        <w:t>Allocation of training costs across jurisdictions</w:t>
      </w:r>
      <w:r>
        <w:rPr>
          <w:noProof/>
        </w:rPr>
        <w:tab/>
      </w:r>
      <w:r>
        <w:rPr>
          <w:noProof/>
        </w:rPr>
        <w:fldChar w:fldCharType="begin"/>
      </w:r>
      <w:r>
        <w:rPr>
          <w:noProof/>
        </w:rPr>
        <w:instrText xml:space="preserve"> PAGEREF _Toc530748433 \h </w:instrText>
      </w:r>
      <w:r>
        <w:rPr>
          <w:noProof/>
        </w:rPr>
      </w:r>
      <w:r>
        <w:rPr>
          <w:noProof/>
        </w:rPr>
        <w:fldChar w:fldCharType="separate"/>
      </w:r>
      <w:r>
        <w:rPr>
          <w:noProof/>
        </w:rPr>
        <w:t>86</w:t>
      </w:r>
      <w:r>
        <w:rPr>
          <w:noProof/>
        </w:rPr>
        <w:fldChar w:fldCharType="end"/>
      </w:r>
    </w:p>
    <w:p w:rsidR="00B833F1" w:rsidRDefault="00B833F1">
      <w:pPr>
        <w:pStyle w:val="TableofFigures"/>
        <w:rPr>
          <w:rFonts w:eastAsiaTheme="minorEastAsia" w:cstheme="minorBidi"/>
          <w:noProof/>
          <w:sz w:val="22"/>
          <w:szCs w:val="22"/>
        </w:rPr>
      </w:pPr>
      <w:r>
        <w:rPr>
          <w:noProof/>
        </w:rPr>
        <w:t>7.5</w:t>
      </w:r>
      <w:r>
        <w:rPr>
          <w:rFonts w:eastAsiaTheme="minorEastAsia" w:cstheme="minorBidi"/>
          <w:noProof/>
          <w:sz w:val="22"/>
          <w:szCs w:val="22"/>
        </w:rPr>
        <w:tab/>
      </w:r>
      <w:r>
        <w:rPr>
          <w:noProof/>
        </w:rPr>
        <w:t>Estimated number of stakeholders directly affected by proposed changes</w:t>
      </w:r>
      <w:r>
        <w:rPr>
          <w:noProof/>
        </w:rPr>
        <w:tab/>
      </w:r>
      <w:r>
        <w:rPr>
          <w:noProof/>
        </w:rPr>
        <w:fldChar w:fldCharType="begin"/>
      </w:r>
      <w:r>
        <w:rPr>
          <w:noProof/>
        </w:rPr>
        <w:instrText xml:space="preserve"> PAGEREF _Toc530748434 \h </w:instrText>
      </w:r>
      <w:r>
        <w:rPr>
          <w:noProof/>
        </w:rPr>
      </w:r>
      <w:r>
        <w:rPr>
          <w:noProof/>
        </w:rPr>
        <w:fldChar w:fldCharType="separate"/>
      </w:r>
      <w:r>
        <w:rPr>
          <w:noProof/>
        </w:rPr>
        <w:t>87</w:t>
      </w:r>
      <w:r>
        <w:rPr>
          <w:noProof/>
        </w:rPr>
        <w:fldChar w:fldCharType="end"/>
      </w:r>
    </w:p>
    <w:p w:rsidR="00B833F1" w:rsidRDefault="00B833F1">
      <w:pPr>
        <w:pStyle w:val="TableofFigures"/>
        <w:rPr>
          <w:rFonts w:eastAsiaTheme="minorEastAsia" w:cstheme="minorBidi"/>
          <w:noProof/>
          <w:sz w:val="22"/>
          <w:szCs w:val="22"/>
        </w:rPr>
      </w:pPr>
      <w:r>
        <w:rPr>
          <w:noProof/>
        </w:rPr>
        <w:t>7.6</w:t>
      </w:r>
      <w:r>
        <w:rPr>
          <w:rFonts w:eastAsiaTheme="minorEastAsia" w:cstheme="minorBidi"/>
          <w:noProof/>
          <w:sz w:val="22"/>
          <w:szCs w:val="22"/>
        </w:rPr>
        <w:tab/>
      </w:r>
      <w:r>
        <w:rPr>
          <w:noProof/>
        </w:rPr>
        <w:t>Indicative salaries for relevant professions</w:t>
      </w:r>
      <w:r>
        <w:rPr>
          <w:noProof/>
        </w:rPr>
        <w:tab/>
      </w:r>
      <w:r>
        <w:rPr>
          <w:noProof/>
        </w:rPr>
        <w:fldChar w:fldCharType="begin"/>
      </w:r>
      <w:r>
        <w:rPr>
          <w:noProof/>
        </w:rPr>
        <w:instrText xml:space="preserve"> PAGEREF _Toc530748435 \h </w:instrText>
      </w:r>
      <w:r>
        <w:rPr>
          <w:noProof/>
        </w:rPr>
      </w:r>
      <w:r>
        <w:rPr>
          <w:noProof/>
        </w:rPr>
        <w:fldChar w:fldCharType="separate"/>
      </w:r>
      <w:r>
        <w:rPr>
          <w:noProof/>
        </w:rPr>
        <w:t>88</w:t>
      </w:r>
      <w:r>
        <w:rPr>
          <w:noProof/>
        </w:rPr>
        <w:fldChar w:fldCharType="end"/>
      </w:r>
    </w:p>
    <w:p w:rsidR="00B833F1" w:rsidRDefault="00B833F1">
      <w:pPr>
        <w:pStyle w:val="TableofFigures"/>
        <w:rPr>
          <w:rFonts w:eastAsiaTheme="minorEastAsia" w:cstheme="minorBidi"/>
          <w:noProof/>
          <w:sz w:val="22"/>
          <w:szCs w:val="22"/>
        </w:rPr>
      </w:pPr>
      <w:r>
        <w:rPr>
          <w:noProof/>
        </w:rPr>
        <w:t>8.1</w:t>
      </w:r>
      <w:r>
        <w:rPr>
          <w:rFonts w:eastAsiaTheme="minorEastAsia" w:cstheme="minorBidi"/>
          <w:noProof/>
          <w:sz w:val="22"/>
          <w:szCs w:val="22"/>
        </w:rPr>
        <w:tab/>
      </w:r>
      <w:r>
        <w:rPr>
          <w:noProof/>
        </w:rPr>
        <w:t>Building</w:t>
      </w:r>
      <w:r>
        <w:rPr>
          <w:noProof/>
        </w:rPr>
        <w:noBreakHyphen/>
        <w:t>level net impacts — New South Wales</w:t>
      </w:r>
      <w:r>
        <w:rPr>
          <w:noProof/>
        </w:rPr>
        <w:tab/>
      </w:r>
      <w:r>
        <w:rPr>
          <w:noProof/>
        </w:rPr>
        <w:fldChar w:fldCharType="begin"/>
      </w:r>
      <w:r>
        <w:rPr>
          <w:noProof/>
        </w:rPr>
        <w:instrText xml:space="preserve"> PAGEREF _Toc530748436 \h </w:instrText>
      </w:r>
      <w:r>
        <w:rPr>
          <w:noProof/>
        </w:rPr>
      </w:r>
      <w:r>
        <w:rPr>
          <w:noProof/>
        </w:rPr>
        <w:fldChar w:fldCharType="separate"/>
      </w:r>
      <w:r>
        <w:rPr>
          <w:noProof/>
        </w:rPr>
        <w:t>94</w:t>
      </w:r>
      <w:r>
        <w:rPr>
          <w:noProof/>
        </w:rPr>
        <w:fldChar w:fldCharType="end"/>
      </w:r>
    </w:p>
    <w:p w:rsidR="00B833F1" w:rsidRDefault="00B833F1">
      <w:pPr>
        <w:pStyle w:val="TableofFigures"/>
        <w:rPr>
          <w:rFonts w:eastAsiaTheme="minorEastAsia" w:cstheme="minorBidi"/>
          <w:noProof/>
          <w:sz w:val="22"/>
          <w:szCs w:val="22"/>
        </w:rPr>
      </w:pPr>
      <w:r>
        <w:rPr>
          <w:noProof/>
        </w:rPr>
        <w:t>8.2</w:t>
      </w:r>
      <w:r>
        <w:rPr>
          <w:rFonts w:eastAsiaTheme="minorEastAsia" w:cstheme="minorBidi"/>
          <w:noProof/>
          <w:sz w:val="22"/>
          <w:szCs w:val="22"/>
        </w:rPr>
        <w:tab/>
      </w:r>
      <w:r>
        <w:rPr>
          <w:noProof/>
        </w:rPr>
        <w:t>Building</w:t>
      </w:r>
      <w:r>
        <w:rPr>
          <w:noProof/>
        </w:rPr>
        <w:noBreakHyphen/>
        <w:t>level net impacts — Victoria</w:t>
      </w:r>
      <w:r>
        <w:rPr>
          <w:noProof/>
        </w:rPr>
        <w:tab/>
      </w:r>
      <w:r>
        <w:rPr>
          <w:noProof/>
        </w:rPr>
        <w:fldChar w:fldCharType="begin"/>
      </w:r>
      <w:r>
        <w:rPr>
          <w:noProof/>
        </w:rPr>
        <w:instrText xml:space="preserve"> PAGEREF _Toc530748437 \h </w:instrText>
      </w:r>
      <w:r>
        <w:rPr>
          <w:noProof/>
        </w:rPr>
      </w:r>
      <w:r>
        <w:rPr>
          <w:noProof/>
        </w:rPr>
        <w:fldChar w:fldCharType="separate"/>
      </w:r>
      <w:r>
        <w:rPr>
          <w:noProof/>
        </w:rPr>
        <w:t>95</w:t>
      </w:r>
      <w:r>
        <w:rPr>
          <w:noProof/>
        </w:rPr>
        <w:fldChar w:fldCharType="end"/>
      </w:r>
    </w:p>
    <w:p w:rsidR="00B833F1" w:rsidRDefault="00B833F1">
      <w:pPr>
        <w:pStyle w:val="TableofFigures"/>
        <w:rPr>
          <w:rFonts w:eastAsiaTheme="minorEastAsia" w:cstheme="minorBidi"/>
          <w:noProof/>
          <w:sz w:val="22"/>
          <w:szCs w:val="22"/>
        </w:rPr>
      </w:pPr>
      <w:r>
        <w:rPr>
          <w:noProof/>
        </w:rPr>
        <w:t>8.3</w:t>
      </w:r>
      <w:r>
        <w:rPr>
          <w:rFonts w:eastAsiaTheme="minorEastAsia" w:cstheme="minorBidi"/>
          <w:noProof/>
          <w:sz w:val="22"/>
          <w:szCs w:val="22"/>
        </w:rPr>
        <w:tab/>
      </w:r>
      <w:r>
        <w:rPr>
          <w:noProof/>
        </w:rPr>
        <w:t>Building</w:t>
      </w:r>
      <w:r>
        <w:rPr>
          <w:noProof/>
        </w:rPr>
        <w:noBreakHyphen/>
        <w:t>level net impacts — Queensland</w:t>
      </w:r>
      <w:r>
        <w:rPr>
          <w:noProof/>
        </w:rPr>
        <w:tab/>
      </w:r>
      <w:r>
        <w:rPr>
          <w:noProof/>
        </w:rPr>
        <w:fldChar w:fldCharType="begin"/>
      </w:r>
      <w:r>
        <w:rPr>
          <w:noProof/>
        </w:rPr>
        <w:instrText xml:space="preserve"> PAGEREF _Toc530748438 \h </w:instrText>
      </w:r>
      <w:r>
        <w:rPr>
          <w:noProof/>
        </w:rPr>
      </w:r>
      <w:r>
        <w:rPr>
          <w:noProof/>
        </w:rPr>
        <w:fldChar w:fldCharType="separate"/>
      </w:r>
      <w:r>
        <w:rPr>
          <w:noProof/>
        </w:rPr>
        <w:t>96</w:t>
      </w:r>
      <w:r>
        <w:rPr>
          <w:noProof/>
        </w:rPr>
        <w:fldChar w:fldCharType="end"/>
      </w:r>
    </w:p>
    <w:p w:rsidR="00B833F1" w:rsidRDefault="00B833F1">
      <w:pPr>
        <w:pStyle w:val="TableofFigures"/>
        <w:rPr>
          <w:rFonts w:eastAsiaTheme="minorEastAsia" w:cstheme="minorBidi"/>
          <w:noProof/>
          <w:sz w:val="22"/>
          <w:szCs w:val="22"/>
        </w:rPr>
      </w:pPr>
      <w:r>
        <w:rPr>
          <w:noProof/>
        </w:rPr>
        <w:t>8.4</w:t>
      </w:r>
      <w:r>
        <w:rPr>
          <w:rFonts w:eastAsiaTheme="minorEastAsia" w:cstheme="minorBidi"/>
          <w:noProof/>
          <w:sz w:val="22"/>
          <w:szCs w:val="22"/>
        </w:rPr>
        <w:tab/>
      </w:r>
      <w:r>
        <w:rPr>
          <w:noProof/>
        </w:rPr>
        <w:t>Building</w:t>
      </w:r>
      <w:r>
        <w:rPr>
          <w:noProof/>
        </w:rPr>
        <w:noBreakHyphen/>
        <w:t>level net impacts — South Australia</w:t>
      </w:r>
      <w:r>
        <w:rPr>
          <w:noProof/>
        </w:rPr>
        <w:tab/>
      </w:r>
      <w:r>
        <w:rPr>
          <w:noProof/>
        </w:rPr>
        <w:fldChar w:fldCharType="begin"/>
      </w:r>
      <w:r>
        <w:rPr>
          <w:noProof/>
        </w:rPr>
        <w:instrText xml:space="preserve"> PAGEREF _Toc530748439 \h </w:instrText>
      </w:r>
      <w:r>
        <w:rPr>
          <w:noProof/>
        </w:rPr>
      </w:r>
      <w:r>
        <w:rPr>
          <w:noProof/>
        </w:rPr>
        <w:fldChar w:fldCharType="separate"/>
      </w:r>
      <w:r>
        <w:rPr>
          <w:noProof/>
        </w:rPr>
        <w:t>96</w:t>
      </w:r>
      <w:r>
        <w:rPr>
          <w:noProof/>
        </w:rPr>
        <w:fldChar w:fldCharType="end"/>
      </w:r>
    </w:p>
    <w:p w:rsidR="00B833F1" w:rsidRDefault="00B833F1">
      <w:pPr>
        <w:pStyle w:val="TableofFigures"/>
        <w:rPr>
          <w:rFonts w:eastAsiaTheme="minorEastAsia" w:cstheme="minorBidi"/>
          <w:noProof/>
          <w:sz w:val="22"/>
          <w:szCs w:val="22"/>
        </w:rPr>
      </w:pPr>
      <w:r>
        <w:rPr>
          <w:noProof/>
        </w:rPr>
        <w:t>8.5</w:t>
      </w:r>
      <w:r>
        <w:rPr>
          <w:rFonts w:eastAsiaTheme="minorEastAsia" w:cstheme="minorBidi"/>
          <w:noProof/>
          <w:sz w:val="22"/>
          <w:szCs w:val="22"/>
        </w:rPr>
        <w:tab/>
      </w:r>
      <w:r>
        <w:rPr>
          <w:noProof/>
        </w:rPr>
        <w:t>Building</w:t>
      </w:r>
      <w:r>
        <w:rPr>
          <w:noProof/>
        </w:rPr>
        <w:noBreakHyphen/>
        <w:t>level net impacts — Western Australia</w:t>
      </w:r>
      <w:r>
        <w:rPr>
          <w:noProof/>
        </w:rPr>
        <w:tab/>
      </w:r>
      <w:r>
        <w:rPr>
          <w:noProof/>
        </w:rPr>
        <w:fldChar w:fldCharType="begin"/>
      </w:r>
      <w:r>
        <w:rPr>
          <w:noProof/>
        </w:rPr>
        <w:instrText xml:space="preserve"> PAGEREF _Toc530748440 \h </w:instrText>
      </w:r>
      <w:r>
        <w:rPr>
          <w:noProof/>
        </w:rPr>
      </w:r>
      <w:r>
        <w:rPr>
          <w:noProof/>
        </w:rPr>
        <w:fldChar w:fldCharType="separate"/>
      </w:r>
      <w:r>
        <w:rPr>
          <w:noProof/>
        </w:rPr>
        <w:t>97</w:t>
      </w:r>
      <w:r>
        <w:rPr>
          <w:noProof/>
        </w:rPr>
        <w:fldChar w:fldCharType="end"/>
      </w:r>
    </w:p>
    <w:p w:rsidR="00B833F1" w:rsidRDefault="00B833F1">
      <w:pPr>
        <w:pStyle w:val="TableofFigures"/>
        <w:rPr>
          <w:rFonts w:eastAsiaTheme="minorEastAsia" w:cstheme="minorBidi"/>
          <w:noProof/>
          <w:sz w:val="22"/>
          <w:szCs w:val="22"/>
        </w:rPr>
      </w:pPr>
      <w:r>
        <w:rPr>
          <w:noProof/>
        </w:rPr>
        <w:t>8.6</w:t>
      </w:r>
      <w:r>
        <w:rPr>
          <w:rFonts w:eastAsiaTheme="minorEastAsia" w:cstheme="minorBidi"/>
          <w:noProof/>
          <w:sz w:val="22"/>
          <w:szCs w:val="22"/>
        </w:rPr>
        <w:tab/>
      </w:r>
      <w:r>
        <w:rPr>
          <w:noProof/>
        </w:rPr>
        <w:t>Building</w:t>
      </w:r>
      <w:r>
        <w:rPr>
          <w:noProof/>
        </w:rPr>
        <w:noBreakHyphen/>
        <w:t>level net impacts — Tasmania</w:t>
      </w:r>
      <w:r>
        <w:rPr>
          <w:noProof/>
        </w:rPr>
        <w:tab/>
      </w:r>
      <w:r>
        <w:rPr>
          <w:noProof/>
        </w:rPr>
        <w:fldChar w:fldCharType="begin"/>
      </w:r>
      <w:r>
        <w:rPr>
          <w:noProof/>
        </w:rPr>
        <w:instrText xml:space="preserve"> PAGEREF _Toc530748441 \h </w:instrText>
      </w:r>
      <w:r>
        <w:rPr>
          <w:noProof/>
        </w:rPr>
      </w:r>
      <w:r>
        <w:rPr>
          <w:noProof/>
        </w:rPr>
        <w:fldChar w:fldCharType="separate"/>
      </w:r>
      <w:r>
        <w:rPr>
          <w:noProof/>
        </w:rPr>
        <w:t>98</w:t>
      </w:r>
      <w:r>
        <w:rPr>
          <w:noProof/>
        </w:rPr>
        <w:fldChar w:fldCharType="end"/>
      </w:r>
    </w:p>
    <w:p w:rsidR="00B833F1" w:rsidRDefault="00B833F1">
      <w:pPr>
        <w:pStyle w:val="TableofFigures"/>
        <w:rPr>
          <w:rFonts w:eastAsiaTheme="minorEastAsia" w:cstheme="minorBidi"/>
          <w:noProof/>
          <w:sz w:val="22"/>
          <w:szCs w:val="22"/>
        </w:rPr>
      </w:pPr>
      <w:r>
        <w:rPr>
          <w:noProof/>
        </w:rPr>
        <w:t>8.7</w:t>
      </w:r>
      <w:r>
        <w:rPr>
          <w:rFonts w:eastAsiaTheme="minorEastAsia" w:cstheme="minorBidi"/>
          <w:noProof/>
          <w:sz w:val="22"/>
          <w:szCs w:val="22"/>
        </w:rPr>
        <w:tab/>
      </w:r>
      <w:r>
        <w:rPr>
          <w:noProof/>
        </w:rPr>
        <w:t>Building</w:t>
      </w:r>
      <w:r>
        <w:rPr>
          <w:noProof/>
        </w:rPr>
        <w:noBreakHyphen/>
        <w:t>level net impacts — Australian Capital Territory</w:t>
      </w:r>
      <w:r>
        <w:rPr>
          <w:noProof/>
        </w:rPr>
        <w:tab/>
      </w:r>
      <w:r>
        <w:rPr>
          <w:noProof/>
        </w:rPr>
        <w:fldChar w:fldCharType="begin"/>
      </w:r>
      <w:r>
        <w:rPr>
          <w:noProof/>
        </w:rPr>
        <w:instrText xml:space="preserve"> PAGEREF _Toc530748442 \h </w:instrText>
      </w:r>
      <w:r>
        <w:rPr>
          <w:noProof/>
        </w:rPr>
      </w:r>
      <w:r>
        <w:rPr>
          <w:noProof/>
        </w:rPr>
        <w:fldChar w:fldCharType="separate"/>
      </w:r>
      <w:r>
        <w:rPr>
          <w:noProof/>
        </w:rPr>
        <w:t>99</w:t>
      </w:r>
      <w:r>
        <w:rPr>
          <w:noProof/>
        </w:rPr>
        <w:fldChar w:fldCharType="end"/>
      </w:r>
    </w:p>
    <w:p w:rsidR="00B833F1" w:rsidRDefault="00B833F1">
      <w:pPr>
        <w:pStyle w:val="TableofFigures"/>
        <w:rPr>
          <w:rFonts w:eastAsiaTheme="minorEastAsia" w:cstheme="minorBidi"/>
          <w:noProof/>
          <w:sz w:val="22"/>
          <w:szCs w:val="22"/>
        </w:rPr>
      </w:pPr>
      <w:r>
        <w:rPr>
          <w:noProof/>
        </w:rPr>
        <w:t>8.8</w:t>
      </w:r>
      <w:r>
        <w:rPr>
          <w:rFonts w:eastAsiaTheme="minorEastAsia" w:cstheme="minorBidi"/>
          <w:noProof/>
          <w:sz w:val="22"/>
          <w:szCs w:val="22"/>
        </w:rPr>
        <w:tab/>
      </w:r>
      <w:r>
        <w:rPr>
          <w:noProof/>
        </w:rPr>
        <w:t>Building</w:t>
      </w:r>
      <w:r>
        <w:rPr>
          <w:noProof/>
        </w:rPr>
        <w:noBreakHyphen/>
        <w:t>level net impacts — Northern Territory</w:t>
      </w:r>
      <w:r>
        <w:rPr>
          <w:noProof/>
        </w:rPr>
        <w:tab/>
      </w:r>
      <w:r>
        <w:rPr>
          <w:noProof/>
        </w:rPr>
        <w:fldChar w:fldCharType="begin"/>
      </w:r>
      <w:r>
        <w:rPr>
          <w:noProof/>
        </w:rPr>
        <w:instrText xml:space="preserve"> PAGEREF _Toc530748443 \h </w:instrText>
      </w:r>
      <w:r>
        <w:rPr>
          <w:noProof/>
        </w:rPr>
      </w:r>
      <w:r>
        <w:rPr>
          <w:noProof/>
        </w:rPr>
        <w:fldChar w:fldCharType="separate"/>
      </w:r>
      <w:r>
        <w:rPr>
          <w:noProof/>
        </w:rPr>
        <w:t>99</w:t>
      </w:r>
      <w:r>
        <w:rPr>
          <w:noProof/>
        </w:rPr>
        <w:fldChar w:fldCharType="end"/>
      </w:r>
    </w:p>
    <w:p w:rsidR="00B833F1" w:rsidRDefault="00B833F1">
      <w:pPr>
        <w:pStyle w:val="TableofFigures"/>
        <w:rPr>
          <w:rFonts w:eastAsiaTheme="minorEastAsia" w:cstheme="minorBidi"/>
          <w:noProof/>
          <w:sz w:val="22"/>
          <w:szCs w:val="22"/>
        </w:rPr>
      </w:pPr>
      <w:r>
        <w:rPr>
          <w:noProof/>
        </w:rPr>
        <w:t>8.9</w:t>
      </w:r>
      <w:r>
        <w:rPr>
          <w:rFonts w:eastAsiaTheme="minorEastAsia" w:cstheme="minorBidi"/>
          <w:noProof/>
          <w:sz w:val="22"/>
          <w:szCs w:val="22"/>
        </w:rPr>
        <w:tab/>
      </w:r>
      <w:r>
        <w:rPr>
          <w:noProof/>
        </w:rPr>
        <w:t>Services/façade decomposition — hotel</w:t>
      </w:r>
      <w:r>
        <w:rPr>
          <w:noProof/>
        </w:rPr>
        <w:tab/>
      </w:r>
      <w:r>
        <w:rPr>
          <w:noProof/>
        </w:rPr>
        <w:fldChar w:fldCharType="begin"/>
      </w:r>
      <w:r>
        <w:rPr>
          <w:noProof/>
        </w:rPr>
        <w:instrText xml:space="preserve"> PAGEREF _Toc530748444 \h </w:instrText>
      </w:r>
      <w:r>
        <w:rPr>
          <w:noProof/>
        </w:rPr>
      </w:r>
      <w:r>
        <w:rPr>
          <w:noProof/>
        </w:rPr>
        <w:fldChar w:fldCharType="separate"/>
      </w:r>
      <w:r>
        <w:rPr>
          <w:noProof/>
        </w:rPr>
        <w:t>101</w:t>
      </w:r>
      <w:r>
        <w:rPr>
          <w:noProof/>
        </w:rPr>
        <w:fldChar w:fldCharType="end"/>
      </w:r>
    </w:p>
    <w:p w:rsidR="00B833F1" w:rsidRDefault="00B833F1">
      <w:pPr>
        <w:pStyle w:val="TableofFigures"/>
        <w:rPr>
          <w:rFonts w:eastAsiaTheme="minorEastAsia" w:cstheme="minorBidi"/>
          <w:noProof/>
          <w:sz w:val="22"/>
          <w:szCs w:val="22"/>
        </w:rPr>
      </w:pPr>
      <w:r>
        <w:rPr>
          <w:noProof/>
        </w:rPr>
        <w:t>8.10</w:t>
      </w:r>
      <w:r>
        <w:rPr>
          <w:rFonts w:eastAsiaTheme="minorEastAsia" w:cstheme="minorBidi"/>
          <w:noProof/>
          <w:sz w:val="22"/>
          <w:szCs w:val="22"/>
        </w:rPr>
        <w:tab/>
      </w:r>
      <w:r>
        <w:rPr>
          <w:noProof/>
        </w:rPr>
        <w:t>Services/façade decomposition — office building</w:t>
      </w:r>
      <w:r>
        <w:rPr>
          <w:noProof/>
        </w:rPr>
        <w:tab/>
      </w:r>
      <w:r>
        <w:rPr>
          <w:noProof/>
        </w:rPr>
        <w:fldChar w:fldCharType="begin"/>
      </w:r>
      <w:r>
        <w:rPr>
          <w:noProof/>
        </w:rPr>
        <w:instrText xml:space="preserve"> PAGEREF _Toc530748445 \h </w:instrText>
      </w:r>
      <w:r>
        <w:rPr>
          <w:noProof/>
        </w:rPr>
      </w:r>
      <w:r>
        <w:rPr>
          <w:noProof/>
        </w:rPr>
        <w:fldChar w:fldCharType="separate"/>
      </w:r>
      <w:r>
        <w:rPr>
          <w:noProof/>
        </w:rPr>
        <w:t>101</w:t>
      </w:r>
      <w:r>
        <w:rPr>
          <w:noProof/>
        </w:rPr>
        <w:fldChar w:fldCharType="end"/>
      </w:r>
    </w:p>
    <w:p w:rsidR="00B833F1" w:rsidRDefault="00B833F1">
      <w:pPr>
        <w:pStyle w:val="TableofFigures"/>
        <w:rPr>
          <w:rFonts w:eastAsiaTheme="minorEastAsia" w:cstheme="minorBidi"/>
          <w:noProof/>
          <w:sz w:val="22"/>
          <w:szCs w:val="22"/>
        </w:rPr>
      </w:pPr>
      <w:r>
        <w:rPr>
          <w:noProof/>
        </w:rPr>
        <w:t>8.11</w:t>
      </w:r>
      <w:r>
        <w:rPr>
          <w:rFonts w:eastAsiaTheme="minorEastAsia" w:cstheme="minorBidi"/>
          <w:noProof/>
          <w:sz w:val="22"/>
          <w:szCs w:val="22"/>
        </w:rPr>
        <w:tab/>
      </w:r>
      <w:r>
        <w:rPr>
          <w:noProof/>
        </w:rPr>
        <w:t>Services/façade decomposition — retail building</w:t>
      </w:r>
      <w:r>
        <w:rPr>
          <w:noProof/>
        </w:rPr>
        <w:tab/>
      </w:r>
      <w:r>
        <w:rPr>
          <w:noProof/>
        </w:rPr>
        <w:fldChar w:fldCharType="begin"/>
      </w:r>
      <w:r>
        <w:rPr>
          <w:noProof/>
        </w:rPr>
        <w:instrText xml:space="preserve"> PAGEREF _Toc530748446 \h </w:instrText>
      </w:r>
      <w:r>
        <w:rPr>
          <w:noProof/>
        </w:rPr>
      </w:r>
      <w:r>
        <w:rPr>
          <w:noProof/>
        </w:rPr>
        <w:fldChar w:fldCharType="separate"/>
      </w:r>
      <w:r>
        <w:rPr>
          <w:noProof/>
        </w:rPr>
        <w:t>102</w:t>
      </w:r>
      <w:r>
        <w:rPr>
          <w:noProof/>
        </w:rPr>
        <w:fldChar w:fldCharType="end"/>
      </w:r>
    </w:p>
    <w:p w:rsidR="00B833F1" w:rsidRDefault="00B833F1">
      <w:pPr>
        <w:pStyle w:val="TableofFigures"/>
        <w:rPr>
          <w:rFonts w:eastAsiaTheme="minorEastAsia" w:cstheme="minorBidi"/>
          <w:noProof/>
          <w:sz w:val="22"/>
          <w:szCs w:val="22"/>
        </w:rPr>
      </w:pPr>
      <w:r>
        <w:rPr>
          <w:noProof/>
        </w:rPr>
        <w:t>8.12</w:t>
      </w:r>
      <w:r>
        <w:rPr>
          <w:rFonts w:eastAsiaTheme="minorEastAsia" w:cstheme="minorBidi"/>
          <w:noProof/>
          <w:sz w:val="22"/>
          <w:szCs w:val="22"/>
        </w:rPr>
        <w:tab/>
      </w:r>
      <w:r>
        <w:rPr>
          <w:noProof/>
        </w:rPr>
        <w:t>Services/façade decomposition — healthcare building</w:t>
      </w:r>
      <w:r>
        <w:rPr>
          <w:noProof/>
        </w:rPr>
        <w:tab/>
      </w:r>
      <w:r>
        <w:rPr>
          <w:noProof/>
        </w:rPr>
        <w:fldChar w:fldCharType="begin"/>
      </w:r>
      <w:r>
        <w:rPr>
          <w:noProof/>
        </w:rPr>
        <w:instrText xml:space="preserve"> PAGEREF _Toc530748447 \h </w:instrText>
      </w:r>
      <w:r>
        <w:rPr>
          <w:noProof/>
        </w:rPr>
      </w:r>
      <w:r>
        <w:rPr>
          <w:noProof/>
        </w:rPr>
        <w:fldChar w:fldCharType="separate"/>
      </w:r>
      <w:r>
        <w:rPr>
          <w:noProof/>
        </w:rPr>
        <w:t>103</w:t>
      </w:r>
      <w:r>
        <w:rPr>
          <w:noProof/>
        </w:rPr>
        <w:fldChar w:fldCharType="end"/>
      </w:r>
    </w:p>
    <w:p w:rsidR="00B833F1" w:rsidRDefault="00B833F1">
      <w:pPr>
        <w:pStyle w:val="TableofFigures"/>
        <w:rPr>
          <w:rFonts w:eastAsiaTheme="minorEastAsia" w:cstheme="minorBidi"/>
          <w:noProof/>
          <w:sz w:val="22"/>
          <w:szCs w:val="22"/>
        </w:rPr>
      </w:pPr>
      <w:r>
        <w:rPr>
          <w:noProof/>
        </w:rPr>
        <w:t>8.13</w:t>
      </w:r>
      <w:r>
        <w:rPr>
          <w:rFonts w:eastAsiaTheme="minorEastAsia" w:cstheme="minorBidi"/>
          <w:noProof/>
          <w:sz w:val="22"/>
          <w:szCs w:val="22"/>
        </w:rPr>
        <w:tab/>
      </w:r>
      <w:r>
        <w:rPr>
          <w:noProof/>
        </w:rPr>
        <w:t>Services/façade decomposition — school</w:t>
      </w:r>
      <w:r>
        <w:rPr>
          <w:noProof/>
        </w:rPr>
        <w:tab/>
      </w:r>
      <w:r>
        <w:rPr>
          <w:noProof/>
        </w:rPr>
        <w:fldChar w:fldCharType="begin"/>
      </w:r>
      <w:r>
        <w:rPr>
          <w:noProof/>
        </w:rPr>
        <w:instrText xml:space="preserve"> PAGEREF _Toc530748448 \h </w:instrText>
      </w:r>
      <w:r>
        <w:rPr>
          <w:noProof/>
        </w:rPr>
      </w:r>
      <w:r>
        <w:rPr>
          <w:noProof/>
        </w:rPr>
        <w:fldChar w:fldCharType="separate"/>
      </w:r>
      <w:r>
        <w:rPr>
          <w:noProof/>
        </w:rPr>
        <w:t>103</w:t>
      </w:r>
      <w:r>
        <w:rPr>
          <w:noProof/>
        </w:rPr>
        <w:fldChar w:fldCharType="end"/>
      </w:r>
    </w:p>
    <w:p w:rsidR="00B833F1" w:rsidRDefault="00B833F1">
      <w:pPr>
        <w:pStyle w:val="TableofFigures"/>
        <w:rPr>
          <w:rFonts w:eastAsiaTheme="minorEastAsia" w:cstheme="minorBidi"/>
          <w:noProof/>
          <w:sz w:val="22"/>
          <w:szCs w:val="22"/>
        </w:rPr>
      </w:pPr>
      <w:r>
        <w:rPr>
          <w:noProof/>
        </w:rPr>
        <w:t>8.14</w:t>
      </w:r>
      <w:r>
        <w:rPr>
          <w:rFonts w:eastAsiaTheme="minorEastAsia" w:cstheme="minorBidi"/>
          <w:noProof/>
          <w:sz w:val="22"/>
          <w:szCs w:val="22"/>
        </w:rPr>
        <w:tab/>
      </w:r>
      <w:r>
        <w:rPr>
          <w:noProof/>
        </w:rPr>
        <w:t>Net benefit/costs of proposed changes to the NCC</w:t>
      </w:r>
      <w:r>
        <w:rPr>
          <w:noProof/>
        </w:rPr>
        <w:tab/>
      </w:r>
      <w:r>
        <w:rPr>
          <w:noProof/>
        </w:rPr>
        <w:fldChar w:fldCharType="begin"/>
      </w:r>
      <w:r>
        <w:rPr>
          <w:noProof/>
        </w:rPr>
        <w:instrText xml:space="preserve"> PAGEREF _Toc530748449 \h </w:instrText>
      </w:r>
      <w:r>
        <w:rPr>
          <w:noProof/>
        </w:rPr>
      </w:r>
      <w:r>
        <w:rPr>
          <w:noProof/>
        </w:rPr>
        <w:fldChar w:fldCharType="separate"/>
      </w:r>
      <w:r>
        <w:rPr>
          <w:noProof/>
        </w:rPr>
        <w:t>105</w:t>
      </w:r>
      <w:r>
        <w:rPr>
          <w:noProof/>
        </w:rPr>
        <w:fldChar w:fldCharType="end"/>
      </w:r>
    </w:p>
    <w:p w:rsidR="00B833F1" w:rsidRDefault="00B833F1">
      <w:pPr>
        <w:pStyle w:val="TableofFigures"/>
        <w:rPr>
          <w:rFonts w:eastAsiaTheme="minorEastAsia" w:cstheme="minorBidi"/>
          <w:noProof/>
          <w:sz w:val="22"/>
          <w:szCs w:val="22"/>
        </w:rPr>
      </w:pPr>
      <w:r>
        <w:rPr>
          <w:noProof/>
        </w:rPr>
        <w:t>8.15</w:t>
      </w:r>
      <w:r>
        <w:rPr>
          <w:rFonts w:eastAsiaTheme="minorEastAsia" w:cstheme="minorBidi"/>
          <w:noProof/>
          <w:sz w:val="22"/>
          <w:szCs w:val="22"/>
        </w:rPr>
        <w:tab/>
      </w:r>
      <w:r>
        <w:rPr>
          <w:noProof/>
        </w:rPr>
        <w:t>Benefit-cost ratios</w:t>
      </w:r>
      <w:r>
        <w:rPr>
          <w:noProof/>
        </w:rPr>
        <w:tab/>
      </w:r>
      <w:r>
        <w:rPr>
          <w:noProof/>
        </w:rPr>
        <w:fldChar w:fldCharType="begin"/>
      </w:r>
      <w:r>
        <w:rPr>
          <w:noProof/>
        </w:rPr>
        <w:instrText xml:space="preserve"> PAGEREF _Toc530748450 \h </w:instrText>
      </w:r>
      <w:r>
        <w:rPr>
          <w:noProof/>
        </w:rPr>
      </w:r>
      <w:r>
        <w:rPr>
          <w:noProof/>
        </w:rPr>
        <w:fldChar w:fldCharType="separate"/>
      </w:r>
      <w:r>
        <w:rPr>
          <w:noProof/>
        </w:rPr>
        <w:t>106</w:t>
      </w:r>
      <w:r>
        <w:rPr>
          <w:noProof/>
        </w:rPr>
        <w:fldChar w:fldCharType="end"/>
      </w:r>
    </w:p>
    <w:p w:rsidR="00B833F1" w:rsidRDefault="00B833F1">
      <w:pPr>
        <w:pStyle w:val="TableofFigures"/>
        <w:rPr>
          <w:rFonts w:eastAsiaTheme="minorEastAsia" w:cstheme="minorBidi"/>
          <w:noProof/>
          <w:sz w:val="22"/>
          <w:szCs w:val="22"/>
        </w:rPr>
      </w:pPr>
      <w:r>
        <w:rPr>
          <w:noProof/>
        </w:rPr>
        <w:t>8.16</w:t>
      </w:r>
      <w:r>
        <w:rPr>
          <w:rFonts w:eastAsiaTheme="minorEastAsia" w:cstheme="minorBidi"/>
          <w:noProof/>
          <w:sz w:val="22"/>
          <w:szCs w:val="22"/>
        </w:rPr>
        <w:tab/>
      </w:r>
      <w:r>
        <w:rPr>
          <w:noProof/>
        </w:rPr>
        <w:t>Net benefit/costs of proposed changes to the NCC by building type</w:t>
      </w:r>
      <w:r>
        <w:rPr>
          <w:noProof/>
        </w:rPr>
        <w:tab/>
      </w:r>
      <w:r>
        <w:rPr>
          <w:noProof/>
        </w:rPr>
        <w:fldChar w:fldCharType="begin"/>
      </w:r>
      <w:r>
        <w:rPr>
          <w:noProof/>
        </w:rPr>
        <w:instrText xml:space="preserve"> PAGEREF _Toc530748451 \h </w:instrText>
      </w:r>
      <w:r>
        <w:rPr>
          <w:noProof/>
        </w:rPr>
      </w:r>
      <w:r>
        <w:rPr>
          <w:noProof/>
        </w:rPr>
        <w:fldChar w:fldCharType="separate"/>
      </w:r>
      <w:r>
        <w:rPr>
          <w:noProof/>
        </w:rPr>
        <w:t>107</w:t>
      </w:r>
      <w:r>
        <w:rPr>
          <w:noProof/>
        </w:rPr>
        <w:fldChar w:fldCharType="end"/>
      </w:r>
    </w:p>
    <w:p w:rsidR="00B833F1" w:rsidRDefault="00B833F1">
      <w:pPr>
        <w:pStyle w:val="TableofFigures"/>
        <w:rPr>
          <w:rFonts w:eastAsiaTheme="minorEastAsia" w:cstheme="minorBidi"/>
          <w:noProof/>
          <w:sz w:val="22"/>
          <w:szCs w:val="22"/>
        </w:rPr>
      </w:pPr>
      <w:r>
        <w:rPr>
          <w:noProof/>
        </w:rPr>
        <w:t>8.17</w:t>
      </w:r>
      <w:r>
        <w:rPr>
          <w:rFonts w:eastAsiaTheme="minorEastAsia" w:cstheme="minorBidi"/>
          <w:noProof/>
          <w:sz w:val="22"/>
          <w:szCs w:val="22"/>
        </w:rPr>
        <w:tab/>
      </w:r>
      <w:r>
        <w:rPr>
          <w:noProof/>
        </w:rPr>
        <w:t>Estimated proportion of construction activity incurring a net cost</w:t>
      </w:r>
      <w:r>
        <w:rPr>
          <w:noProof/>
        </w:rPr>
        <w:tab/>
      </w:r>
      <w:r>
        <w:rPr>
          <w:noProof/>
        </w:rPr>
        <w:fldChar w:fldCharType="begin"/>
      </w:r>
      <w:r>
        <w:rPr>
          <w:noProof/>
        </w:rPr>
        <w:instrText xml:space="preserve"> PAGEREF _Toc530748452 \h </w:instrText>
      </w:r>
      <w:r>
        <w:rPr>
          <w:noProof/>
        </w:rPr>
      </w:r>
      <w:r>
        <w:rPr>
          <w:noProof/>
        </w:rPr>
        <w:fldChar w:fldCharType="separate"/>
      </w:r>
      <w:r>
        <w:rPr>
          <w:noProof/>
        </w:rPr>
        <w:t>109</w:t>
      </w:r>
      <w:r>
        <w:rPr>
          <w:noProof/>
        </w:rPr>
        <w:fldChar w:fldCharType="end"/>
      </w:r>
    </w:p>
    <w:p w:rsidR="00B833F1" w:rsidRDefault="00B833F1">
      <w:pPr>
        <w:pStyle w:val="TableofFigures"/>
        <w:rPr>
          <w:rFonts w:eastAsiaTheme="minorEastAsia" w:cstheme="minorBidi"/>
          <w:noProof/>
          <w:sz w:val="22"/>
          <w:szCs w:val="22"/>
        </w:rPr>
      </w:pPr>
      <w:r>
        <w:rPr>
          <w:noProof/>
        </w:rPr>
        <w:t>8.18</w:t>
      </w:r>
      <w:r>
        <w:rPr>
          <w:rFonts w:eastAsiaTheme="minorEastAsia" w:cstheme="minorBidi"/>
          <w:noProof/>
          <w:sz w:val="22"/>
          <w:szCs w:val="22"/>
        </w:rPr>
        <w:tab/>
      </w:r>
      <w:r>
        <w:rPr>
          <w:noProof/>
        </w:rPr>
        <w:t>Share of non-government owned buildings</w:t>
      </w:r>
      <w:r>
        <w:rPr>
          <w:noProof/>
        </w:rPr>
        <w:tab/>
      </w:r>
      <w:r>
        <w:rPr>
          <w:noProof/>
        </w:rPr>
        <w:fldChar w:fldCharType="begin"/>
      </w:r>
      <w:r>
        <w:rPr>
          <w:noProof/>
        </w:rPr>
        <w:instrText xml:space="preserve"> PAGEREF _Toc530748453 \h </w:instrText>
      </w:r>
      <w:r>
        <w:rPr>
          <w:noProof/>
        </w:rPr>
      </w:r>
      <w:r>
        <w:rPr>
          <w:noProof/>
        </w:rPr>
        <w:fldChar w:fldCharType="separate"/>
      </w:r>
      <w:r>
        <w:rPr>
          <w:noProof/>
        </w:rPr>
        <w:t>110</w:t>
      </w:r>
      <w:r>
        <w:rPr>
          <w:noProof/>
        </w:rPr>
        <w:fldChar w:fldCharType="end"/>
      </w:r>
    </w:p>
    <w:p w:rsidR="00B833F1" w:rsidRDefault="00B833F1">
      <w:pPr>
        <w:pStyle w:val="TableofFigures"/>
        <w:rPr>
          <w:rFonts w:eastAsiaTheme="minorEastAsia" w:cstheme="minorBidi"/>
          <w:noProof/>
          <w:sz w:val="22"/>
          <w:szCs w:val="22"/>
        </w:rPr>
      </w:pPr>
      <w:r>
        <w:rPr>
          <w:noProof/>
        </w:rPr>
        <w:t>8.19</w:t>
      </w:r>
      <w:r>
        <w:rPr>
          <w:rFonts w:eastAsiaTheme="minorEastAsia" w:cstheme="minorBidi"/>
          <w:noProof/>
          <w:sz w:val="22"/>
          <w:szCs w:val="22"/>
        </w:rPr>
        <w:tab/>
      </w:r>
      <w:r>
        <w:rPr>
          <w:noProof/>
        </w:rPr>
        <w:t>Annual regulatory burden</w:t>
      </w:r>
      <w:r>
        <w:rPr>
          <w:noProof/>
        </w:rPr>
        <w:tab/>
      </w:r>
      <w:r>
        <w:rPr>
          <w:noProof/>
        </w:rPr>
        <w:fldChar w:fldCharType="begin"/>
      </w:r>
      <w:r>
        <w:rPr>
          <w:noProof/>
        </w:rPr>
        <w:instrText xml:space="preserve"> PAGEREF _Toc530748454 \h </w:instrText>
      </w:r>
      <w:r>
        <w:rPr>
          <w:noProof/>
        </w:rPr>
      </w:r>
      <w:r>
        <w:rPr>
          <w:noProof/>
        </w:rPr>
        <w:fldChar w:fldCharType="separate"/>
      </w:r>
      <w:r>
        <w:rPr>
          <w:noProof/>
        </w:rPr>
        <w:t>111</w:t>
      </w:r>
      <w:r>
        <w:rPr>
          <w:noProof/>
        </w:rPr>
        <w:fldChar w:fldCharType="end"/>
      </w:r>
    </w:p>
    <w:p w:rsidR="00B833F1" w:rsidRDefault="00B833F1">
      <w:pPr>
        <w:pStyle w:val="TableofFigures"/>
        <w:rPr>
          <w:rFonts w:eastAsiaTheme="minorEastAsia" w:cstheme="minorBidi"/>
          <w:noProof/>
          <w:sz w:val="22"/>
          <w:szCs w:val="22"/>
        </w:rPr>
      </w:pPr>
      <w:r>
        <w:rPr>
          <w:noProof/>
        </w:rPr>
        <w:t>8.20</w:t>
      </w:r>
      <w:r>
        <w:rPr>
          <w:rFonts w:eastAsiaTheme="minorEastAsia" w:cstheme="minorBidi"/>
          <w:noProof/>
          <w:sz w:val="22"/>
          <w:szCs w:val="22"/>
        </w:rPr>
        <w:tab/>
      </w:r>
      <w:r>
        <w:rPr>
          <w:noProof/>
        </w:rPr>
        <w:t>Net benefits under alternative insulation cost scenario</w:t>
      </w:r>
      <w:r>
        <w:rPr>
          <w:noProof/>
        </w:rPr>
        <w:tab/>
      </w:r>
      <w:r>
        <w:rPr>
          <w:noProof/>
        </w:rPr>
        <w:fldChar w:fldCharType="begin"/>
      </w:r>
      <w:r>
        <w:rPr>
          <w:noProof/>
        </w:rPr>
        <w:instrText xml:space="preserve"> PAGEREF _Toc530748455 \h </w:instrText>
      </w:r>
      <w:r>
        <w:rPr>
          <w:noProof/>
        </w:rPr>
      </w:r>
      <w:r>
        <w:rPr>
          <w:noProof/>
        </w:rPr>
        <w:fldChar w:fldCharType="separate"/>
      </w:r>
      <w:r>
        <w:rPr>
          <w:noProof/>
        </w:rPr>
        <w:t>112</w:t>
      </w:r>
      <w:r>
        <w:rPr>
          <w:noProof/>
        </w:rPr>
        <w:fldChar w:fldCharType="end"/>
      </w:r>
    </w:p>
    <w:p w:rsidR="00B833F1" w:rsidRDefault="00B833F1">
      <w:pPr>
        <w:pStyle w:val="TableofFigures"/>
        <w:rPr>
          <w:rFonts w:eastAsiaTheme="minorEastAsia" w:cstheme="minorBidi"/>
          <w:noProof/>
          <w:sz w:val="22"/>
          <w:szCs w:val="22"/>
        </w:rPr>
      </w:pPr>
      <w:r>
        <w:rPr>
          <w:noProof/>
        </w:rPr>
        <w:t>8.21</w:t>
      </w:r>
      <w:r>
        <w:rPr>
          <w:rFonts w:eastAsiaTheme="minorEastAsia" w:cstheme="minorBidi"/>
          <w:noProof/>
          <w:sz w:val="22"/>
          <w:szCs w:val="22"/>
        </w:rPr>
        <w:tab/>
      </w:r>
      <w:r>
        <w:rPr>
          <w:noProof/>
        </w:rPr>
        <w:t>Break-even additional construction cost</w:t>
      </w:r>
      <w:r>
        <w:rPr>
          <w:noProof/>
        </w:rPr>
        <w:tab/>
      </w:r>
      <w:r>
        <w:rPr>
          <w:noProof/>
        </w:rPr>
        <w:fldChar w:fldCharType="begin"/>
      </w:r>
      <w:r>
        <w:rPr>
          <w:noProof/>
        </w:rPr>
        <w:instrText xml:space="preserve"> PAGEREF _Toc530748456 \h </w:instrText>
      </w:r>
      <w:r>
        <w:rPr>
          <w:noProof/>
        </w:rPr>
      </w:r>
      <w:r>
        <w:rPr>
          <w:noProof/>
        </w:rPr>
        <w:fldChar w:fldCharType="separate"/>
      </w:r>
      <w:r>
        <w:rPr>
          <w:noProof/>
        </w:rPr>
        <w:t>113</w:t>
      </w:r>
      <w:r>
        <w:rPr>
          <w:noProof/>
        </w:rPr>
        <w:fldChar w:fldCharType="end"/>
      </w:r>
    </w:p>
    <w:p w:rsidR="00B833F1" w:rsidRDefault="00B833F1">
      <w:pPr>
        <w:pStyle w:val="TableofFigures"/>
        <w:rPr>
          <w:rFonts w:eastAsiaTheme="minorEastAsia" w:cstheme="minorBidi"/>
          <w:noProof/>
          <w:sz w:val="22"/>
          <w:szCs w:val="22"/>
        </w:rPr>
      </w:pPr>
      <w:r>
        <w:rPr>
          <w:noProof/>
        </w:rPr>
        <w:t>8.22</w:t>
      </w:r>
      <w:r>
        <w:rPr>
          <w:rFonts w:eastAsiaTheme="minorEastAsia" w:cstheme="minorBidi"/>
          <w:noProof/>
          <w:sz w:val="22"/>
          <w:szCs w:val="22"/>
        </w:rPr>
        <w:tab/>
      </w:r>
      <w:r>
        <w:rPr>
          <w:noProof/>
        </w:rPr>
        <w:t>Net benefit/costs under various energy price estimates</w:t>
      </w:r>
      <w:r>
        <w:rPr>
          <w:noProof/>
        </w:rPr>
        <w:tab/>
      </w:r>
      <w:r>
        <w:rPr>
          <w:noProof/>
        </w:rPr>
        <w:fldChar w:fldCharType="begin"/>
      </w:r>
      <w:r>
        <w:rPr>
          <w:noProof/>
        </w:rPr>
        <w:instrText xml:space="preserve"> PAGEREF _Toc530748457 \h </w:instrText>
      </w:r>
      <w:r>
        <w:rPr>
          <w:noProof/>
        </w:rPr>
      </w:r>
      <w:r>
        <w:rPr>
          <w:noProof/>
        </w:rPr>
        <w:fldChar w:fldCharType="separate"/>
      </w:r>
      <w:r>
        <w:rPr>
          <w:noProof/>
        </w:rPr>
        <w:t>113</w:t>
      </w:r>
      <w:r>
        <w:rPr>
          <w:noProof/>
        </w:rPr>
        <w:fldChar w:fldCharType="end"/>
      </w:r>
    </w:p>
    <w:p w:rsidR="00B833F1" w:rsidRDefault="00B833F1">
      <w:pPr>
        <w:pStyle w:val="TableofFigures"/>
        <w:rPr>
          <w:rFonts w:eastAsiaTheme="minorEastAsia" w:cstheme="minorBidi"/>
          <w:noProof/>
          <w:sz w:val="22"/>
          <w:szCs w:val="22"/>
        </w:rPr>
      </w:pPr>
      <w:r>
        <w:rPr>
          <w:noProof/>
        </w:rPr>
        <w:t>8.23</w:t>
      </w:r>
      <w:r>
        <w:rPr>
          <w:rFonts w:eastAsiaTheme="minorEastAsia" w:cstheme="minorBidi"/>
          <w:noProof/>
          <w:sz w:val="22"/>
          <w:szCs w:val="22"/>
        </w:rPr>
        <w:tab/>
      </w:r>
      <w:r>
        <w:rPr>
          <w:noProof/>
        </w:rPr>
        <w:t>Net benefit/costs under various social cost of carbon series</w:t>
      </w:r>
      <w:r>
        <w:rPr>
          <w:noProof/>
        </w:rPr>
        <w:tab/>
      </w:r>
      <w:r>
        <w:rPr>
          <w:noProof/>
        </w:rPr>
        <w:fldChar w:fldCharType="begin"/>
      </w:r>
      <w:r>
        <w:rPr>
          <w:noProof/>
        </w:rPr>
        <w:instrText xml:space="preserve"> PAGEREF _Toc530748458 \h </w:instrText>
      </w:r>
      <w:r>
        <w:rPr>
          <w:noProof/>
        </w:rPr>
      </w:r>
      <w:r>
        <w:rPr>
          <w:noProof/>
        </w:rPr>
        <w:fldChar w:fldCharType="separate"/>
      </w:r>
      <w:r>
        <w:rPr>
          <w:noProof/>
        </w:rPr>
        <w:t>114</w:t>
      </w:r>
      <w:r>
        <w:rPr>
          <w:noProof/>
        </w:rPr>
        <w:fldChar w:fldCharType="end"/>
      </w:r>
    </w:p>
    <w:p w:rsidR="00B833F1" w:rsidRDefault="00B833F1">
      <w:pPr>
        <w:pStyle w:val="TableofFigures"/>
        <w:rPr>
          <w:rFonts w:eastAsiaTheme="minorEastAsia" w:cstheme="minorBidi"/>
          <w:noProof/>
          <w:sz w:val="22"/>
          <w:szCs w:val="22"/>
        </w:rPr>
      </w:pPr>
      <w:r>
        <w:rPr>
          <w:noProof/>
        </w:rPr>
        <w:t>8.24</w:t>
      </w:r>
      <w:r>
        <w:rPr>
          <w:rFonts w:eastAsiaTheme="minorEastAsia" w:cstheme="minorBidi"/>
          <w:noProof/>
          <w:sz w:val="22"/>
          <w:szCs w:val="22"/>
        </w:rPr>
        <w:tab/>
      </w:r>
      <w:r>
        <w:rPr>
          <w:noProof/>
        </w:rPr>
        <w:t>Net benefit/costs under various discount rates</w:t>
      </w:r>
      <w:r>
        <w:rPr>
          <w:noProof/>
        </w:rPr>
        <w:tab/>
      </w:r>
      <w:r>
        <w:rPr>
          <w:noProof/>
        </w:rPr>
        <w:fldChar w:fldCharType="begin"/>
      </w:r>
      <w:r>
        <w:rPr>
          <w:noProof/>
        </w:rPr>
        <w:instrText xml:space="preserve"> PAGEREF _Toc530748459 \h </w:instrText>
      </w:r>
      <w:r>
        <w:rPr>
          <w:noProof/>
        </w:rPr>
      </w:r>
      <w:r>
        <w:rPr>
          <w:noProof/>
        </w:rPr>
        <w:fldChar w:fldCharType="separate"/>
      </w:r>
      <w:r>
        <w:rPr>
          <w:noProof/>
        </w:rPr>
        <w:t>115</w:t>
      </w:r>
      <w:r>
        <w:rPr>
          <w:noProof/>
        </w:rPr>
        <w:fldChar w:fldCharType="end"/>
      </w:r>
    </w:p>
    <w:p w:rsidR="00B833F1" w:rsidRDefault="00B833F1">
      <w:pPr>
        <w:pStyle w:val="TableofFigures"/>
        <w:rPr>
          <w:rFonts w:eastAsiaTheme="minorEastAsia" w:cstheme="minorBidi"/>
          <w:noProof/>
          <w:sz w:val="22"/>
          <w:szCs w:val="22"/>
        </w:rPr>
      </w:pPr>
      <w:r>
        <w:rPr>
          <w:noProof/>
        </w:rPr>
        <w:lastRenderedPageBreak/>
        <w:t>8.25</w:t>
      </w:r>
      <w:r>
        <w:rPr>
          <w:rFonts w:eastAsiaTheme="minorEastAsia" w:cstheme="minorBidi"/>
          <w:noProof/>
          <w:sz w:val="22"/>
          <w:szCs w:val="22"/>
        </w:rPr>
        <w:tab/>
      </w:r>
      <w:r>
        <w:rPr>
          <w:noProof/>
        </w:rPr>
        <w:t>Change in energy consumption and GHG emissions from first NABERS rating</w:t>
      </w:r>
      <w:r>
        <w:rPr>
          <w:noProof/>
        </w:rPr>
        <w:tab/>
      </w:r>
      <w:r>
        <w:rPr>
          <w:noProof/>
        </w:rPr>
        <w:fldChar w:fldCharType="begin"/>
      </w:r>
      <w:r>
        <w:rPr>
          <w:noProof/>
        </w:rPr>
        <w:instrText xml:space="preserve"> PAGEREF _Toc530748460 \h </w:instrText>
      </w:r>
      <w:r>
        <w:rPr>
          <w:noProof/>
        </w:rPr>
      </w:r>
      <w:r>
        <w:rPr>
          <w:noProof/>
        </w:rPr>
        <w:fldChar w:fldCharType="separate"/>
      </w:r>
      <w:r>
        <w:rPr>
          <w:noProof/>
        </w:rPr>
        <w:t>116</w:t>
      </w:r>
      <w:r>
        <w:rPr>
          <w:noProof/>
        </w:rPr>
        <w:fldChar w:fldCharType="end"/>
      </w:r>
    </w:p>
    <w:p w:rsidR="00B833F1" w:rsidRDefault="00B833F1">
      <w:pPr>
        <w:pStyle w:val="TableofFigures"/>
        <w:rPr>
          <w:rFonts w:eastAsiaTheme="minorEastAsia" w:cstheme="minorBidi"/>
          <w:noProof/>
          <w:sz w:val="22"/>
          <w:szCs w:val="22"/>
        </w:rPr>
      </w:pPr>
      <w:r>
        <w:rPr>
          <w:noProof/>
        </w:rPr>
        <w:t>8.26</w:t>
      </w:r>
      <w:r>
        <w:rPr>
          <w:rFonts w:eastAsiaTheme="minorEastAsia" w:cstheme="minorBidi"/>
          <w:noProof/>
          <w:sz w:val="22"/>
          <w:szCs w:val="22"/>
        </w:rPr>
        <w:tab/>
      </w:r>
      <w:r>
        <w:rPr>
          <w:noProof/>
        </w:rPr>
        <w:t>Number of unique buildings and tenancies with a NABERS rating</w:t>
      </w:r>
      <w:r>
        <w:rPr>
          <w:noProof/>
        </w:rPr>
        <w:tab/>
      </w:r>
      <w:r>
        <w:rPr>
          <w:noProof/>
        </w:rPr>
        <w:fldChar w:fldCharType="begin"/>
      </w:r>
      <w:r>
        <w:rPr>
          <w:noProof/>
        </w:rPr>
        <w:instrText xml:space="preserve"> PAGEREF _Toc530748461 \h </w:instrText>
      </w:r>
      <w:r>
        <w:rPr>
          <w:noProof/>
        </w:rPr>
      </w:r>
      <w:r>
        <w:rPr>
          <w:noProof/>
        </w:rPr>
        <w:fldChar w:fldCharType="separate"/>
      </w:r>
      <w:r>
        <w:rPr>
          <w:noProof/>
        </w:rPr>
        <w:t>117</w:t>
      </w:r>
      <w:r>
        <w:rPr>
          <w:noProof/>
        </w:rPr>
        <w:fldChar w:fldCharType="end"/>
      </w:r>
    </w:p>
    <w:p w:rsidR="00B833F1" w:rsidRDefault="00B833F1">
      <w:pPr>
        <w:pStyle w:val="TableofFigures"/>
        <w:rPr>
          <w:rFonts w:eastAsiaTheme="minorEastAsia" w:cstheme="minorBidi"/>
          <w:noProof/>
          <w:sz w:val="22"/>
          <w:szCs w:val="22"/>
        </w:rPr>
      </w:pPr>
      <w:r>
        <w:rPr>
          <w:noProof/>
        </w:rPr>
        <w:t>9.1</w:t>
      </w:r>
      <w:r>
        <w:rPr>
          <w:rFonts w:eastAsiaTheme="minorEastAsia" w:cstheme="minorBidi"/>
          <w:noProof/>
          <w:sz w:val="22"/>
          <w:szCs w:val="22"/>
        </w:rPr>
        <w:tab/>
      </w:r>
      <w:r>
        <w:rPr>
          <w:noProof/>
        </w:rPr>
        <w:t>Guidance material being developed by ABCB</w:t>
      </w:r>
      <w:r>
        <w:rPr>
          <w:noProof/>
        </w:rPr>
        <w:tab/>
      </w:r>
      <w:r>
        <w:rPr>
          <w:noProof/>
        </w:rPr>
        <w:fldChar w:fldCharType="begin"/>
      </w:r>
      <w:r>
        <w:rPr>
          <w:noProof/>
        </w:rPr>
        <w:instrText xml:space="preserve"> PAGEREF _Toc530748462 \h </w:instrText>
      </w:r>
      <w:r>
        <w:rPr>
          <w:noProof/>
        </w:rPr>
      </w:r>
      <w:r>
        <w:rPr>
          <w:noProof/>
        </w:rPr>
        <w:fldChar w:fldCharType="separate"/>
      </w:r>
      <w:r>
        <w:rPr>
          <w:noProof/>
        </w:rPr>
        <w:t>121</w:t>
      </w:r>
      <w:r>
        <w:rPr>
          <w:noProof/>
        </w:rPr>
        <w:fldChar w:fldCharType="end"/>
      </w:r>
    </w:p>
    <w:p w:rsidR="00B833F1" w:rsidRDefault="00B833F1">
      <w:pPr>
        <w:pStyle w:val="TableofFigures"/>
        <w:rPr>
          <w:rFonts w:eastAsiaTheme="minorEastAsia" w:cstheme="minorBidi"/>
          <w:noProof/>
          <w:sz w:val="22"/>
          <w:szCs w:val="22"/>
        </w:rPr>
      </w:pPr>
      <w:r>
        <w:rPr>
          <w:noProof/>
        </w:rPr>
        <w:t>B.1</w:t>
      </w:r>
      <w:r>
        <w:rPr>
          <w:rFonts w:eastAsiaTheme="minorEastAsia" w:cstheme="minorBidi"/>
          <w:noProof/>
          <w:sz w:val="22"/>
          <w:szCs w:val="22"/>
        </w:rPr>
        <w:tab/>
      </w:r>
      <w:r>
        <w:rPr>
          <w:noProof/>
        </w:rPr>
        <w:t>Summary of proposed changes</w:t>
      </w:r>
      <w:r>
        <w:rPr>
          <w:noProof/>
        </w:rPr>
        <w:tab/>
      </w:r>
      <w:r>
        <w:rPr>
          <w:noProof/>
        </w:rPr>
        <w:fldChar w:fldCharType="begin"/>
      </w:r>
      <w:r>
        <w:rPr>
          <w:noProof/>
        </w:rPr>
        <w:instrText xml:space="preserve"> PAGEREF _Toc530748463 \h </w:instrText>
      </w:r>
      <w:r>
        <w:rPr>
          <w:noProof/>
        </w:rPr>
      </w:r>
      <w:r>
        <w:rPr>
          <w:noProof/>
        </w:rPr>
        <w:fldChar w:fldCharType="separate"/>
      </w:r>
      <w:r>
        <w:rPr>
          <w:noProof/>
        </w:rPr>
        <w:t>137</w:t>
      </w:r>
      <w:r>
        <w:rPr>
          <w:noProof/>
        </w:rPr>
        <w:fldChar w:fldCharType="end"/>
      </w:r>
    </w:p>
    <w:p w:rsidR="00B833F1" w:rsidRDefault="00B833F1">
      <w:pPr>
        <w:pStyle w:val="TableofFigures"/>
        <w:rPr>
          <w:rFonts w:eastAsiaTheme="minorEastAsia" w:cstheme="minorBidi"/>
          <w:noProof/>
          <w:sz w:val="22"/>
          <w:szCs w:val="22"/>
        </w:rPr>
      </w:pPr>
      <w:r>
        <w:rPr>
          <w:noProof/>
        </w:rPr>
        <w:t>C.1</w:t>
      </w:r>
      <w:r>
        <w:rPr>
          <w:rFonts w:eastAsiaTheme="minorEastAsia" w:cstheme="minorBidi"/>
          <w:noProof/>
          <w:sz w:val="22"/>
          <w:szCs w:val="22"/>
        </w:rPr>
        <w:tab/>
      </w:r>
      <w:r>
        <w:rPr>
          <w:noProof/>
        </w:rPr>
        <w:t>Preferred option to proposed changes</w:t>
      </w:r>
      <w:r>
        <w:rPr>
          <w:noProof/>
        </w:rPr>
        <w:tab/>
      </w:r>
      <w:r>
        <w:rPr>
          <w:noProof/>
        </w:rPr>
        <w:fldChar w:fldCharType="begin"/>
      </w:r>
      <w:r>
        <w:rPr>
          <w:noProof/>
        </w:rPr>
        <w:instrText xml:space="preserve"> PAGEREF _Toc530748464 \h </w:instrText>
      </w:r>
      <w:r>
        <w:rPr>
          <w:noProof/>
        </w:rPr>
      </w:r>
      <w:r>
        <w:rPr>
          <w:noProof/>
        </w:rPr>
        <w:fldChar w:fldCharType="separate"/>
      </w:r>
      <w:r>
        <w:rPr>
          <w:noProof/>
        </w:rPr>
        <w:t>149</w:t>
      </w:r>
      <w:r>
        <w:rPr>
          <w:noProof/>
        </w:rPr>
        <w:fldChar w:fldCharType="end"/>
      </w:r>
    </w:p>
    <w:p w:rsidR="00B833F1" w:rsidRDefault="00B833F1">
      <w:pPr>
        <w:pStyle w:val="TableofFigures"/>
        <w:rPr>
          <w:rFonts w:eastAsiaTheme="minorEastAsia" w:cstheme="minorBidi"/>
          <w:noProof/>
          <w:sz w:val="22"/>
          <w:szCs w:val="22"/>
        </w:rPr>
      </w:pPr>
      <w:r>
        <w:rPr>
          <w:noProof/>
        </w:rPr>
        <w:t>C.2</w:t>
      </w:r>
      <w:r>
        <w:rPr>
          <w:rFonts w:eastAsiaTheme="minorEastAsia" w:cstheme="minorBidi"/>
          <w:noProof/>
          <w:sz w:val="22"/>
          <w:szCs w:val="22"/>
        </w:rPr>
        <w:tab/>
      </w:r>
      <w:r>
        <w:rPr>
          <w:noProof/>
        </w:rPr>
        <w:t>WWR across different building sub-types</w:t>
      </w:r>
      <w:r>
        <w:rPr>
          <w:noProof/>
        </w:rPr>
        <w:tab/>
      </w:r>
      <w:r>
        <w:rPr>
          <w:noProof/>
        </w:rPr>
        <w:fldChar w:fldCharType="begin"/>
      </w:r>
      <w:r>
        <w:rPr>
          <w:noProof/>
        </w:rPr>
        <w:instrText xml:space="preserve"> PAGEREF _Toc530748465 \h </w:instrText>
      </w:r>
      <w:r>
        <w:rPr>
          <w:noProof/>
        </w:rPr>
      </w:r>
      <w:r>
        <w:rPr>
          <w:noProof/>
        </w:rPr>
        <w:fldChar w:fldCharType="separate"/>
      </w:r>
      <w:r>
        <w:rPr>
          <w:noProof/>
        </w:rPr>
        <w:t>151</w:t>
      </w:r>
      <w:r>
        <w:rPr>
          <w:noProof/>
        </w:rPr>
        <w:fldChar w:fldCharType="end"/>
      </w:r>
    </w:p>
    <w:p w:rsidR="00B833F1" w:rsidRDefault="00B833F1">
      <w:pPr>
        <w:pStyle w:val="TableofFigures"/>
        <w:rPr>
          <w:rFonts w:eastAsiaTheme="minorEastAsia" w:cstheme="minorBidi"/>
          <w:noProof/>
          <w:sz w:val="22"/>
          <w:szCs w:val="22"/>
        </w:rPr>
      </w:pPr>
      <w:r>
        <w:rPr>
          <w:noProof/>
        </w:rPr>
        <w:t>C.3</w:t>
      </w:r>
      <w:r>
        <w:rPr>
          <w:rFonts w:eastAsiaTheme="minorEastAsia" w:cstheme="minorBidi"/>
          <w:noProof/>
          <w:sz w:val="22"/>
          <w:szCs w:val="22"/>
        </w:rPr>
        <w:tab/>
      </w:r>
      <w:r>
        <w:rPr>
          <w:noProof/>
        </w:rPr>
        <w:t>Average WWR suggested by G. James</w:t>
      </w:r>
      <w:r>
        <w:rPr>
          <w:noProof/>
        </w:rPr>
        <w:tab/>
      </w:r>
      <w:r>
        <w:rPr>
          <w:noProof/>
        </w:rPr>
        <w:fldChar w:fldCharType="begin"/>
      </w:r>
      <w:r>
        <w:rPr>
          <w:noProof/>
        </w:rPr>
        <w:instrText xml:space="preserve"> PAGEREF _Toc530748466 \h </w:instrText>
      </w:r>
      <w:r>
        <w:rPr>
          <w:noProof/>
        </w:rPr>
      </w:r>
      <w:r>
        <w:rPr>
          <w:noProof/>
        </w:rPr>
        <w:fldChar w:fldCharType="separate"/>
      </w:r>
      <w:r>
        <w:rPr>
          <w:noProof/>
        </w:rPr>
        <w:t>152</w:t>
      </w:r>
      <w:r>
        <w:rPr>
          <w:noProof/>
        </w:rPr>
        <w:fldChar w:fldCharType="end"/>
      </w:r>
    </w:p>
    <w:p w:rsidR="00B833F1" w:rsidRDefault="00B833F1">
      <w:pPr>
        <w:pStyle w:val="TableofFigures"/>
        <w:rPr>
          <w:rFonts w:eastAsiaTheme="minorEastAsia" w:cstheme="minorBidi"/>
          <w:noProof/>
          <w:sz w:val="22"/>
          <w:szCs w:val="22"/>
        </w:rPr>
      </w:pPr>
      <w:r>
        <w:rPr>
          <w:noProof/>
        </w:rPr>
        <w:t>C.4</w:t>
      </w:r>
      <w:r>
        <w:rPr>
          <w:rFonts w:eastAsiaTheme="minorEastAsia" w:cstheme="minorBidi"/>
          <w:noProof/>
          <w:sz w:val="22"/>
          <w:szCs w:val="22"/>
        </w:rPr>
        <w:tab/>
      </w:r>
      <w:r>
        <w:rPr>
          <w:noProof/>
        </w:rPr>
        <w:t>Average WWR suggested by PCA</w:t>
      </w:r>
      <w:r>
        <w:rPr>
          <w:noProof/>
        </w:rPr>
        <w:tab/>
      </w:r>
      <w:r>
        <w:rPr>
          <w:noProof/>
        </w:rPr>
        <w:fldChar w:fldCharType="begin"/>
      </w:r>
      <w:r>
        <w:rPr>
          <w:noProof/>
        </w:rPr>
        <w:instrText xml:space="preserve"> PAGEREF _Toc530748467 \h </w:instrText>
      </w:r>
      <w:r>
        <w:rPr>
          <w:noProof/>
        </w:rPr>
      </w:r>
      <w:r>
        <w:rPr>
          <w:noProof/>
        </w:rPr>
        <w:fldChar w:fldCharType="separate"/>
      </w:r>
      <w:r>
        <w:rPr>
          <w:noProof/>
        </w:rPr>
        <w:t>153</w:t>
      </w:r>
      <w:r>
        <w:rPr>
          <w:noProof/>
        </w:rPr>
        <w:fldChar w:fldCharType="end"/>
      </w:r>
    </w:p>
    <w:p w:rsidR="00B833F1" w:rsidRDefault="00B833F1">
      <w:pPr>
        <w:pStyle w:val="TableofFigures"/>
        <w:rPr>
          <w:rFonts w:eastAsiaTheme="minorEastAsia" w:cstheme="minorBidi"/>
          <w:noProof/>
          <w:sz w:val="22"/>
          <w:szCs w:val="22"/>
        </w:rPr>
      </w:pPr>
      <w:r>
        <w:rPr>
          <w:noProof/>
        </w:rPr>
        <w:t>C.5</w:t>
      </w:r>
      <w:r>
        <w:rPr>
          <w:rFonts w:eastAsiaTheme="minorEastAsia" w:cstheme="minorBidi"/>
          <w:noProof/>
          <w:sz w:val="22"/>
          <w:szCs w:val="22"/>
        </w:rPr>
        <w:tab/>
      </w:r>
      <w:r>
        <w:rPr>
          <w:noProof/>
        </w:rPr>
        <w:t>Likely responses of building designs</w:t>
      </w:r>
      <w:r>
        <w:rPr>
          <w:noProof/>
        </w:rPr>
        <w:tab/>
      </w:r>
      <w:r>
        <w:rPr>
          <w:noProof/>
        </w:rPr>
        <w:fldChar w:fldCharType="begin"/>
      </w:r>
      <w:r>
        <w:rPr>
          <w:noProof/>
        </w:rPr>
        <w:instrText xml:space="preserve"> PAGEREF _Toc530748468 \h </w:instrText>
      </w:r>
      <w:r>
        <w:rPr>
          <w:noProof/>
        </w:rPr>
      </w:r>
      <w:r>
        <w:rPr>
          <w:noProof/>
        </w:rPr>
        <w:fldChar w:fldCharType="separate"/>
      </w:r>
      <w:r>
        <w:rPr>
          <w:noProof/>
        </w:rPr>
        <w:t>153</w:t>
      </w:r>
      <w:r>
        <w:rPr>
          <w:noProof/>
        </w:rPr>
        <w:fldChar w:fldCharType="end"/>
      </w:r>
    </w:p>
    <w:p w:rsidR="00B833F1" w:rsidRDefault="00B833F1">
      <w:pPr>
        <w:pStyle w:val="TableofFigures"/>
        <w:rPr>
          <w:rFonts w:eastAsiaTheme="minorEastAsia" w:cstheme="minorBidi"/>
          <w:noProof/>
          <w:sz w:val="22"/>
          <w:szCs w:val="22"/>
        </w:rPr>
      </w:pPr>
      <w:r>
        <w:rPr>
          <w:noProof/>
        </w:rPr>
        <w:t>C.6</w:t>
      </w:r>
      <w:r>
        <w:rPr>
          <w:rFonts w:eastAsiaTheme="minorEastAsia" w:cstheme="minorBidi"/>
          <w:noProof/>
          <w:sz w:val="22"/>
          <w:szCs w:val="22"/>
        </w:rPr>
        <w:tab/>
      </w:r>
      <w:r>
        <w:rPr>
          <w:noProof/>
        </w:rPr>
        <w:t>Realisation of modelled outcomes</w:t>
      </w:r>
      <w:r>
        <w:rPr>
          <w:noProof/>
        </w:rPr>
        <w:tab/>
      </w:r>
      <w:r>
        <w:rPr>
          <w:noProof/>
        </w:rPr>
        <w:fldChar w:fldCharType="begin"/>
      </w:r>
      <w:r>
        <w:rPr>
          <w:noProof/>
        </w:rPr>
        <w:instrText xml:space="preserve"> PAGEREF _Toc530748469 \h </w:instrText>
      </w:r>
      <w:r>
        <w:rPr>
          <w:noProof/>
        </w:rPr>
      </w:r>
      <w:r>
        <w:rPr>
          <w:noProof/>
        </w:rPr>
        <w:fldChar w:fldCharType="separate"/>
      </w:r>
      <w:r>
        <w:rPr>
          <w:noProof/>
        </w:rPr>
        <w:t>155</w:t>
      </w:r>
      <w:r>
        <w:rPr>
          <w:noProof/>
        </w:rPr>
        <w:fldChar w:fldCharType="end"/>
      </w:r>
    </w:p>
    <w:p w:rsidR="00B833F1" w:rsidRDefault="00B833F1">
      <w:pPr>
        <w:pStyle w:val="TableofFigures"/>
        <w:rPr>
          <w:rFonts w:eastAsiaTheme="minorEastAsia" w:cstheme="minorBidi"/>
          <w:noProof/>
          <w:sz w:val="22"/>
          <w:szCs w:val="22"/>
        </w:rPr>
      </w:pPr>
      <w:r>
        <w:rPr>
          <w:noProof/>
        </w:rPr>
        <w:t>C.7</w:t>
      </w:r>
      <w:r>
        <w:rPr>
          <w:rFonts w:eastAsiaTheme="minorEastAsia" w:cstheme="minorBidi"/>
          <w:noProof/>
          <w:sz w:val="22"/>
          <w:szCs w:val="22"/>
        </w:rPr>
        <w:tab/>
      </w:r>
      <w:r>
        <w:rPr>
          <w:noProof/>
        </w:rPr>
        <w:t>Other unintended impacts</w:t>
      </w:r>
      <w:r>
        <w:rPr>
          <w:noProof/>
        </w:rPr>
        <w:tab/>
      </w:r>
      <w:r>
        <w:rPr>
          <w:noProof/>
        </w:rPr>
        <w:fldChar w:fldCharType="begin"/>
      </w:r>
      <w:r>
        <w:rPr>
          <w:noProof/>
        </w:rPr>
        <w:instrText xml:space="preserve"> PAGEREF _Toc530748470 \h </w:instrText>
      </w:r>
      <w:r>
        <w:rPr>
          <w:noProof/>
        </w:rPr>
      </w:r>
      <w:r>
        <w:rPr>
          <w:noProof/>
        </w:rPr>
        <w:fldChar w:fldCharType="separate"/>
      </w:r>
      <w:r>
        <w:rPr>
          <w:noProof/>
        </w:rPr>
        <w:t>159</w:t>
      </w:r>
      <w:r>
        <w:rPr>
          <w:noProof/>
        </w:rPr>
        <w:fldChar w:fldCharType="end"/>
      </w:r>
    </w:p>
    <w:p w:rsidR="00B833F1" w:rsidRDefault="00B833F1">
      <w:pPr>
        <w:pStyle w:val="TableofFigures"/>
        <w:rPr>
          <w:rFonts w:eastAsiaTheme="minorEastAsia" w:cstheme="minorBidi"/>
          <w:noProof/>
          <w:sz w:val="22"/>
          <w:szCs w:val="22"/>
        </w:rPr>
      </w:pPr>
      <w:r>
        <w:rPr>
          <w:noProof/>
        </w:rPr>
        <w:t>D.1</w:t>
      </w:r>
      <w:r>
        <w:rPr>
          <w:rFonts w:eastAsiaTheme="minorEastAsia" w:cstheme="minorBidi"/>
          <w:noProof/>
          <w:sz w:val="22"/>
          <w:szCs w:val="22"/>
        </w:rPr>
        <w:tab/>
      </w:r>
      <w:r>
        <w:rPr>
          <w:noProof/>
        </w:rPr>
        <w:t>Relationship between predicted and actual GHG emissions</w:t>
      </w:r>
      <w:r>
        <w:rPr>
          <w:noProof/>
        </w:rPr>
        <w:tab/>
      </w:r>
      <w:r>
        <w:rPr>
          <w:noProof/>
        </w:rPr>
        <w:fldChar w:fldCharType="begin"/>
      </w:r>
      <w:r>
        <w:rPr>
          <w:noProof/>
        </w:rPr>
        <w:instrText xml:space="preserve"> PAGEREF _Toc530748471 \h </w:instrText>
      </w:r>
      <w:r>
        <w:rPr>
          <w:noProof/>
        </w:rPr>
      </w:r>
      <w:r>
        <w:rPr>
          <w:noProof/>
        </w:rPr>
        <w:fldChar w:fldCharType="separate"/>
      </w:r>
      <w:r>
        <w:rPr>
          <w:noProof/>
        </w:rPr>
        <w:t>167</w:t>
      </w:r>
      <w:r>
        <w:rPr>
          <w:noProof/>
        </w:rPr>
        <w:fldChar w:fldCharType="end"/>
      </w:r>
    </w:p>
    <w:p w:rsidR="00B833F1" w:rsidRDefault="00B833F1">
      <w:pPr>
        <w:pStyle w:val="TableofFigures"/>
        <w:rPr>
          <w:rFonts w:eastAsiaTheme="minorEastAsia" w:cstheme="minorBidi"/>
          <w:noProof/>
          <w:sz w:val="22"/>
          <w:szCs w:val="22"/>
        </w:rPr>
      </w:pPr>
      <w:r>
        <w:rPr>
          <w:noProof/>
        </w:rPr>
        <w:t>D.2</w:t>
      </w:r>
      <w:r>
        <w:rPr>
          <w:rFonts w:eastAsiaTheme="minorEastAsia" w:cstheme="minorBidi"/>
          <w:noProof/>
          <w:sz w:val="22"/>
          <w:szCs w:val="22"/>
        </w:rPr>
        <w:tab/>
      </w:r>
      <w:r>
        <w:rPr>
          <w:noProof/>
        </w:rPr>
        <w:t>Relationship between predicted and actual GHG emissions — excluding outliers</w:t>
      </w:r>
      <w:r>
        <w:rPr>
          <w:noProof/>
        </w:rPr>
        <w:tab/>
      </w:r>
      <w:r>
        <w:rPr>
          <w:noProof/>
        </w:rPr>
        <w:fldChar w:fldCharType="begin"/>
      </w:r>
      <w:r>
        <w:rPr>
          <w:noProof/>
        </w:rPr>
        <w:instrText xml:space="preserve"> PAGEREF _Toc530748472 \h </w:instrText>
      </w:r>
      <w:r>
        <w:rPr>
          <w:noProof/>
        </w:rPr>
      </w:r>
      <w:r>
        <w:rPr>
          <w:noProof/>
        </w:rPr>
        <w:fldChar w:fldCharType="separate"/>
      </w:r>
      <w:r>
        <w:rPr>
          <w:noProof/>
        </w:rPr>
        <w:t>168</w:t>
      </w:r>
      <w:r>
        <w:rPr>
          <w:noProof/>
        </w:rPr>
        <w:fldChar w:fldCharType="end"/>
      </w:r>
    </w:p>
    <w:p w:rsidR="00B833F1" w:rsidRDefault="00B833F1">
      <w:pPr>
        <w:pStyle w:val="TableofFigures"/>
        <w:rPr>
          <w:rFonts w:eastAsiaTheme="minorEastAsia" w:cstheme="minorBidi"/>
          <w:noProof/>
          <w:sz w:val="22"/>
          <w:szCs w:val="22"/>
        </w:rPr>
      </w:pPr>
      <w:r>
        <w:rPr>
          <w:noProof/>
        </w:rPr>
        <w:t>D.3</w:t>
      </w:r>
      <w:r>
        <w:rPr>
          <w:rFonts w:eastAsiaTheme="minorEastAsia" w:cstheme="minorBidi"/>
          <w:noProof/>
          <w:sz w:val="22"/>
          <w:szCs w:val="22"/>
        </w:rPr>
        <w:tab/>
      </w:r>
      <w:r>
        <w:rPr>
          <w:noProof/>
        </w:rPr>
        <w:t>Relationship between predicted and actual GHG emissions — as designed</w:t>
      </w:r>
      <w:r>
        <w:rPr>
          <w:noProof/>
        </w:rPr>
        <w:tab/>
      </w:r>
      <w:r>
        <w:rPr>
          <w:noProof/>
        </w:rPr>
        <w:fldChar w:fldCharType="begin"/>
      </w:r>
      <w:r>
        <w:rPr>
          <w:noProof/>
        </w:rPr>
        <w:instrText xml:space="preserve"> PAGEREF _Toc530748473 \h </w:instrText>
      </w:r>
      <w:r>
        <w:rPr>
          <w:noProof/>
        </w:rPr>
      </w:r>
      <w:r>
        <w:rPr>
          <w:noProof/>
        </w:rPr>
        <w:fldChar w:fldCharType="separate"/>
      </w:r>
      <w:r>
        <w:rPr>
          <w:noProof/>
        </w:rPr>
        <w:t>169</w:t>
      </w:r>
      <w:r>
        <w:rPr>
          <w:noProof/>
        </w:rPr>
        <w:fldChar w:fldCharType="end"/>
      </w:r>
    </w:p>
    <w:p w:rsidR="00B833F1" w:rsidRDefault="00B833F1">
      <w:pPr>
        <w:pStyle w:val="TableofFigures"/>
        <w:rPr>
          <w:rFonts w:eastAsiaTheme="minorEastAsia" w:cstheme="minorBidi"/>
          <w:noProof/>
          <w:sz w:val="22"/>
          <w:szCs w:val="22"/>
        </w:rPr>
      </w:pPr>
      <w:r>
        <w:rPr>
          <w:noProof/>
        </w:rPr>
        <w:t>D.4</w:t>
      </w:r>
      <w:r>
        <w:rPr>
          <w:rFonts w:eastAsiaTheme="minorEastAsia" w:cstheme="minorBidi"/>
          <w:noProof/>
          <w:sz w:val="22"/>
          <w:szCs w:val="22"/>
        </w:rPr>
        <w:tab/>
      </w:r>
      <w:r>
        <w:rPr>
          <w:noProof/>
        </w:rPr>
        <w:t>Relationship between predicted and actual GHG emissions — as built</w:t>
      </w:r>
      <w:r>
        <w:rPr>
          <w:noProof/>
        </w:rPr>
        <w:tab/>
      </w:r>
      <w:r>
        <w:rPr>
          <w:noProof/>
        </w:rPr>
        <w:fldChar w:fldCharType="begin"/>
      </w:r>
      <w:r>
        <w:rPr>
          <w:noProof/>
        </w:rPr>
        <w:instrText xml:space="preserve"> PAGEREF _Toc530748474 \h </w:instrText>
      </w:r>
      <w:r>
        <w:rPr>
          <w:noProof/>
        </w:rPr>
      </w:r>
      <w:r>
        <w:rPr>
          <w:noProof/>
        </w:rPr>
        <w:fldChar w:fldCharType="separate"/>
      </w:r>
      <w:r>
        <w:rPr>
          <w:noProof/>
        </w:rPr>
        <w:t>169</w:t>
      </w:r>
      <w:r>
        <w:rPr>
          <w:noProof/>
        </w:rPr>
        <w:fldChar w:fldCharType="end"/>
      </w:r>
    </w:p>
    <w:p w:rsidR="00B833F1" w:rsidRDefault="00B833F1">
      <w:pPr>
        <w:pStyle w:val="TableofFigures"/>
        <w:rPr>
          <w:rFonts w:eastAsiaTheme="minorEastAsia" w:cstheme="minorBidi"/>
          <w:noProof/>
          <w:sz w:val="22"/>
          <w:szCs w:val="22"/>
        </w:rPr>
      </w:pPr>
      <w:r>
        <w:rPr>
          <w:noProof/>
        </w:rPr>
        <w:t>D.5</w:t>
      </w:r>
      <w:r>
        <w:rPr>
          <w:rFonts w:eastAsiaTheme="minorEastAsia" w:cstheme="minorBidi"/>
          <w:noProof/>
          <w:sz w:val="22"/>
          <w:szCs w:val="22"/>
        </w:rPr>
        <w:tab/>
      </w:r>
      <w:r>
        <w:rPr>
          <w:noProof/>
        </w:rPr>
        <w:t>NABERS Commitment Agreements</w:t>
      </w:r>
      <w:r>
        <w:rPr>
          <w:noProof/>
        </w:rPr>
        <w:tab/>
      </w:r>
      <w:r>
        <w:rPr>
          <w:noProof/>
        </w:rPr>
        <w:fldChar w:fldCharType="begin"/>
      </w:r>
      <w:r>
        <w:rPr>
          <w:noProof/>
        </w:rPr>
        <w:instrText xml:space="preserve"> PAGEREF _Toc530748475 \h </w:instrText>
      </w:r>
      <w:r>
        <w:rPr>
          <w:noProof/>
        </w:rPr>
      </w:r>
      <w:r>
        <w:rPr>
          <w:noProof/>
        </w:rPr>
        <w:fldChar w:fldCharType="separate"/>
      </w:r>
      <w:r>
        <w:rPr>
          <w:noProof/>
        </w:rPr>
        <w:t>171</w:t>
      </w:r>
      <w:r>
        <w:rPr>
          <w:noProof/>
        </w:rPr>
        <w:fldChar w:fldCharType="end"/>
      </w:r>
    </w:p>
    <w:p w:rsidR="00B833F1" w:rsidRDefault="00B833F1">
      <w:pPr>
        <w:pStyle w:val="TableofFigures"/>
        <w:rPr>
          <w:rFonts w:eastAsiaTheme="minorEastAsia" w:cstheme="minorBidi"/>
          <w:noProof/>
          <w:sz w:val="22"/>
          <w:szCs w:val="22"/>
        </w:rPr>
      </w:pPr>
      <w:r>
        <w:rPr>
          <w:noProof/>
        </w:rPr>
        <w:t>E.1</w:t>
      </w:r>
      <w:r>
        <w:rPr>
          <w:rFonts w:eastAsiaTheme="minorEastAsia" w:cstheme="minorBidi"/>
          <w:noProof/>
          <w:sz w:val="22"/>
          <w:szCs w:val="22"/>
        </w:rPr>
        <w:tab/>
      </w:r>
      <w:r>
        <w:rPr>
          <w:noProof/>
        </w:rPr>
        <w:t>Categories of commercial buildings and base data source</w:t>
      </w:r>
      <w:r>
        <w:rPr>
          <w:noProof/>
        </w:rPr>
        <w:tab/>
      </w:r>
      <w:r>
        <w:rPr>
          <w:noProof/>
        </w:rPr>
        <w:fldChar w:fldCharType="begin"/>
      </w:r>
      <w:r>
        <w:rPr>
          <w:noProof/>
        </w:rPr>
        <w:instrText xml:space="preserve"> PAGEREF _Toc530748476 \h </w:instrText>
      </w:r>
      <w:r>
        <w:rPr>
          <w:noProof/>
        </w:rPr>
      </w:r>
      <w:r>
        <w:rPr>
          <w:noProof/>
        </w:rPr>
        <w:fldChar w:fldCharType="separate"/>
      </w:r>
      <w:r>
        <w:rPr>
          <w:noProof/>
        </w:rPr>
        <w:t>175</w:t>
      </w:r>
      <w:r>
        <w:rPr>
          <w:noProof/>
        </w:rPr>
        <w:fldChar w:fldCharType="end"/>
      </w:r>
    </w:p>
    <w:p w:rsidR="00B833F1" w:rsidRDefault="00B833F1">
      <w:pPr>
        <w:pStyle w:val="TableofFigures"/>
        <w:rPr>
          <w:rFonts w:eastAsiaTheme="minorEastAsia" w:cstheme="minorBidi"/>
          <w:noProof/>
          <w:sz w:val="22"/>
          <w:szCs w:val="22"/>
        </w:rPr>
      </w:pPr>
      <w:r>
        <w:rPr>
          <w:noProof/>
        </w:rPr>
        <w:t>E.2</w:t>
      </w:r>
      <w:r>
        <w:rPr>
          <w:rFonts w:eastAsiaTheme="minorEastAsia" w:cstheme="minorBidi"/>
          <w:noProof/>
          <w:sz w:val="22"/>
          <w:szCs w:val="22"/>
        </w:rPr>
        <w:tab/>
      </w:r>
      <w:r>
        <w:rPr>
          <w:noProof/>
        </w:rPr>
        <w:t>Estimated commercial building floor space in 2017</w:t>
      </w:r>
      <w:r>
        <w:rPr>
          <w:noProof/>
        </w:rPr>
        <w:tab/>
      </w:r>
      <w:r>
        <w:rPr>
          <w:noProof/>
        </w:rPr>
        <w:fldChar w:fldCharType="begin"/>
      </w:r>
      <w:r>
        <w:rPr>
          <w:noProof/>
        </w:rPr>
        <w:instrText xml:space="preserve"> PAGEREF _Toc530748477 \h </w:instrText>
      </w:r>
      <w:r>
        <w:rPr>
          <w:noProof/>
        </w:rPr>
      </w:r>
      <w:r>
        <w:rPr>
          <w:noProof/>
        </w:rPr>
        <w:fldChar w:fldCharType="separate"/>
      </w:r>
      <w:r>
        <w:rPr>
          <w:noProof/>
        </w:rPr>
        <w:t>177</w:t>
      </w:r>
      <w:r>
        <w:rPr>
          <w:noProof/>
        </w:rPr>
        <w:fldChar w:fldCharType="end"/>
      </w:r>
    </w:p>
    <w:p w:rsidR="00B833F1" w:rsidRDefault="00B833F1">
      <w:pPr>
        <w:pStyle w:val="TableofFigures"/>
        <w:rPr>
          <w:rFonts w:eastAsiaTheme="minorEastAsia" w:cstheme="minorBidi"/>
          <w:noProof/>
          <w:sz w:val="22"/>
          <w:szCs w:val="22"/>
        </w:rPr>
      </w:pPr>
      <w:r>
        <w:rPr>
          <w:noProof/>
        </w:rPr>
        <w:t>E.3</w:t>
      </w:r>
      <w:r>
        <w:rPr>
          <w:rFonts w:eastAsiaTheme="minorEastAsia" w:cstheme="minorBidi"/>
          <w:noProof/>
          <w:sz w:val="22"/>
          <w:szCs w:val="22"/>
        </w:rPr>
        <w:tab/>
      </w:r>
      <w:r>
        <w:rPr>
          <w:noProof/>
        </w:rPr>
        <w:t>Growth assumptions by building class underpinning the projections excluding replacement</w:t>
      </w:r>
      <w:r>
        <w:rPr>
          <w:noProof/>
        </w:rPr>
        <w:tab/>
      </w:r>
      <w:r>
        <w:rPr>
          <w:noProof/>
        </w:rPr>
        <w:fldChar w:fldCharType="begin"/>
      </w:r>
      <w:r>
        <w:rPr>
          <w:noProof/>
        </w:rPr>
        <w:instrText xml:space="preserve"> PAGEREF _Toc530748478 \h </w:instrText>
      </w:r>
      <w:r>
        <w:rPr>
          <w:noProof/>
        </w:rPr>
      </w:r>
      <w:r>
        <w:rPr>
          <w:noProof/>
        </w:rPr>
        <w:fldChar w:fldCharType="separate"/>
      </w:r>
      <w:r>
        <w:rPr>
          <w:noProof/>
        </w:rPr>
        <w:t>178</w:t>
      </w:r>
      <w:r>
        <w:rPr>
          <w:noProof/>
        </w:rPr>
        <w:fldChar w:fldCharType="end"/>
      </w:r>
    </w:p>
    <w:p w:rsidR="00B833F1" w:rsidRDefault="00B833F1">
      <w:pPr>
        <w:pStyle w:val="TableofFigures"/>
        <w:rPr>
          <w:rFonts w:eastAsiaTheme="minorEastAsia" w:cstheme="minorBidi"/>
          <w:noProof/>
          <w:sz w:val="22"/>
          <w:szCs w:val="22"/>
        </w:rPr>
      </w:pPr>
      <w:r>
        <w:rPr>
          <w:noProof/>
        </w:rPr>
        <w:t>E.4</w:t>
      </w:r>
      <w:r>
        <w:rPr>
          <w:rFonts w:eastAsiaTheme="minorEastAsia" w:cstheme="minorBidi"/>
          <w:noProof/>
          <w:sz w:val="22"/>
          <w:szCs w:val="22"/>
        </w:rPr>
        <w:tab/>
      </w:r>
      <w:r>
        <w:rPr>
          <w:noProof/>
        </w:rPr>
        <w:t>Projected net additions to the building stock by building class</w:t>
      </w:r>
      <w:r>
        <w:rPr>
          <w:noProof/>
        </w:rPr>
        <w:tab/>
      </w:r>
      <w:r>
        <w:rPr>
          <w:noProof/>
        </w:rPr>
        <w:fldChar w:fldCharType="begin"/>
      </w:r>
      <w:r>
        <w:rPr>
          <w:noProof/>
        </w:rPr>
        <w:instrText xml:space="preserve"> PAGEREF _Toc530748479 \h </w:instrText>
      </w:r>
      <w:r>
        <w:rPr>
          <w:noProof/>
        </w:rPr>
      </w:r>
      <w:r>
        <w:rPr>
          <w:noProof/>
        </w:rPr>
        <w:fldChar w:fldCharType="separate"/>
      </w:r>
      <w:r>
        <w:rPr>
          <w:noProof/>
        </w:rPr>
        <w:t>180</w:t>
      </w:r>
      <w:r>
        <w:rPr>
          <w:noProof/>
        </w:rPr>
        <w:fldChar w:fldCharType="end"/>
      </w:r>
    </w:p>
    <w:p w:rsidR="00B833F1" w:rsidRDefault="00B833F1">
      <w:pPr>
        <w:pStyle w:val="TableofFigures"/>
        <w:rPr>
          <w:rFonts w:eastAsiaTheme="minorEastAsia" w:cstheme="minorBidi"/>
          <w:noProof/>
          <w:sz w:val="22"/>
          <w:szCs w:val="22"/>
        </w:rPr>
      </w:pPr>
      <w:r>
        <w:rPr>
          <w:noProof/>
        </w:rPr>
        <w:t>E.5</w:t>
      </w:r>
      <w:r>
        <w:rPr>
          <w:rFonts w:eastAsiaTheme="minorEastAsia" w:cstheme="minorBidi"/>
          <w:noProof/>
          <w:sz w:val="22"/>
          <w:szCs w:val="22"/>
        </w:rPr>
        <w:tab/>
      </w:r>
      <w:r>
        <w:rPr>
          <w:noProof/>
        </w:rPr>
        <w:t>Components of net additions to building stock</w:t>
      </w:r>
      <w:r>
        <w:rPr>
          <w:noProof/>
        </w:rPr>
        <w:tab/>
      </w:r>
      <w:r>
        <w:rPr>
          <w:noProof/>
        </w:rPr>
        <w:fldChar w:fldCharType="begin"/>
      </w:r>
      <w:r>
        <w:rPr>
          <w:noProof/>
        </w:rPr>
        <w:instrText xml:space="preserve"> PAGEREF _Toc530748480 \h </w:instrText>
      </w:r>
      <w:r>
        <w:rPr>
          <w:noProof/>
        </w:rPr>
      </w:r>
      <w:r>
        <w:rPr>
          <w:noProof/>
        </w:rPr>
        <w:fldChar w:fldCharType="separate"/>
      </w:r>
      <w:r>
        <w:rPr>
          <w:noProof/>
        </w:rPr>
        <w:t>180</w:t>
      </w:r>
      <w:r>
        <w:rPr>
          <w:noProof/>
        </w:rPr>
        <w:fldChar w:fldCharType="end"/>
      </w:r>
    </w:p>
    <w:p w:rsidR="00B833F1" w:rsidRDefault="00B833F1">
      <w:pPr>
        <w:pStyle w:val="TableofFigures"/>
        <w:rPr>
          <w:rFonts w:eastAsiaTheme="minorEastAsia" w:cstheme="minorBidi"/>
          <w:noProof/>
          <w:sz w:val="22"/>
          <w:szCs w:val="22"/>
        </w:rPr>
      </w:pPr>
      <w:r>
        <w:rPr>
          <w:noProof/>
        </w:rPr>
        <w:t>E.6</w:t>
      </w:r>
      <w:r>
        <w:rPr>
          <w:rFonts w:eastAsiaTheme="minorEastAsia" w:cstheme="minorBidi"/>
          <w:noProof/>
          <w:sz w:val="22"/>
          <w:szCs w:val="22"/>
        </w:rPr>
        <w:tab/>
      </w:r>
      <w:r>
        <w:rPr>
          <w:noProof/>
        </w:rPr>
        <w:t>Increase in floor area per person</w:t>
      </w:r>
      <w:r>
        <w:rPr>
          <w:noProof/>
        </w:rPr>
        <w:tab/>
      </w:r>
      <w:r>
        <w:rPr>
          <w:noProof/>
        </w:rPr>
        <w:fldChar w:fldCharType="begin"/>
      </w:r>
      <w:r>
        <w:rPr>
          <w:noProof/>
        </w:rPr>
        <w:instrText xml:space="preserve"> PAGEREF _Toc530748481 \h </w:instrText>
      </w:r>
      <w:r>
        <w:rPr>
          <w:noProof/>
        </w:rPr>
      </w:r>
      <w:r>
        <w:rPr>
          <w:noProof/>
        </w:rPr>
        <w:fldChar w:fldCharType="separate"/>
      </w:r>
      <w:r>
        <w:rPr>
          <w:noProof/>
        </w:rPr>
        <w:t>181</w:t>
      </w:r>
      <w:r>
        <w:rPr>
          <w:noProof/>
        </w:rPr>
        <w:fldChar w:fldCharType="end"/>
      </w:r>
    </w:p>
    <w:p w:rsidR="00B833F1" w:rsidRDefault="00B833F1">
      <w:pPr>
        <w:pStyle w:val="TableofFigures"/>
        <w:rPr>
          <w:rFonts w:eastAsiaTheme="minorEastAsia" w:cstheme="minorBidi"/>
          <w:noProof/>
          <w:sz w:val="22"/>
          <w:szCs w:val="22"/>
        </w:rPr>
      </w:pPr>
      <w:r>
        <w:rPr>
          <w:noProof/>
        </w:rPr>
        <w:t>E.7</w:t>
      </w:r>
      <w:r>
        <w:rPr>
          <w:rFonts w:eastAsiaTheme="minorEastAsia" w:cstheme="minorBidi"/>
          <w:noProof/>
          <w:sz w:val="22"/>
          <w:szCs w:val="22"/>
        </w:rPr>
        <w:tab/>
      </w:r>
      <w:r>
        <w:rPr>
          <w:noProof/>
        </w:rPr>
        <w:t xml:space="preserve">Growth in resident population by </w:t>
      </w:r>
      <w:r w:rsidR="00E31EE8">
        <w:rPr>
          <w:noProof/>
        </w:rPr>
        <w:t>Climate Zone</w:t>
      </w:r>
      <w:r>
        <w:rPr>
          <w:noProof/>
        </w:rPr>
        <w:tab/>
      </w:r>
      <w:r>
        <w:rPr>
          <w:noProof/>
        </w:rPr>
        <w:fldChar w:fldCharType="begin"/>
      </w:r>
      <w:r>
        <w:rPr>
          <w:noProof/>
        </w:rPr>
        <w:instrText xml:space="preserve"> PAGEREF _Toc530748482 \h </w:instrText>
      </w:r>
      <w:r>
        <w:rPr>
          <w:noProof/>
        </w:rPr>
      </w:r>
      <w:r>
        <w:rPr>
          <w:noProof/>
        </w:rPr>
        <w:fldChar w:fldCharType="separate"/>
      </w:r>
      <w:r>
        <w:rPr>
          <w:noProof/>
        </w:rPr>
        <w:t>182</w:t>
      </w:r>
      <w:r>
        <w:rPr>
          <w:noProof/>
        </w:rPr>
        <w:fldChar w:fldCharType="end"/>
      </w:r>
    </w:p>
    <w:p w:rsidR="00B833F1" w:rsidRDefault="00B833F1">
      <w:pPr>
        <w:pStyle w:val="TableofFigures"/>
        <w:rPr>
          <w:rFonts w:eastAsiaTheme="minorEastAsia" w:cstheme="minorBidi"/>
          <w:noProof/>
          <w:sz w:val="22"/>
          <w:szCs w:val="22"/>
        </w:rPr>
      </w:pPr>
      <w:r>
        <w:rPr>
          <w:noProof/>
        </w:rPr>
        <w:t>E.8</w:t>
      </w:r>
      <w:r>
        <w:rPr>
          <w:rFonts w:eastAsiaTheme="minorEastAsia" w:cstheme="minorBidi"/>
          <w:noProof/>
          <w:sz w:val="22"/>
          <w:szCs w:val="22"/>
        </w:rPr>
        <w:tab/>
      </w:r>
      <w:r>
        <w:rPr>
          <w:noProof/>
        </w:rPr>
        <w:t xml:space="preserve">Net additions to the commercial building stock by </w:t>
      </w:r>
      <w:r w:rsidR="00E31EE8">
        <w:rPr>
          <w:noProof/>
        </w:rPr>
        <w:t>Climate Zone</w:t>
      </w:r>
      <w:r>
        <w:rPr>
          <w:noProof/>
        </w:rPr>
        <w:tab/>
      </w:r>
      <w:r>
        <w:rPr>
          <w:noProof/>
        </w:rPr>
        <w:fldChar w:fldCharType="begin"/>
      </w:r>
      <w:r>
        <w:rPr>
          <w:noProof/>
        </w:rPr>
        <w:instrText xml:space="preserve"> PAGEREF _Toc530748483 \h </w:instrText>
      </w:r>
      <w:r>
        <w:rPr>
          <w:noProof/>
        </w:rPr>
      </w:r>
      <w:r>
        <w:rPr>
          <w:noProof/>
        </w:rPr>
        <w:fldChar w:fldCharType="separate"/>
      </w:r>
      <w:r>
        <w:rPr>
          <w:noProof/>
        </w:rPr>
        <w:t>183</w:t>
      </w:r>
      <w:r>
        <w:rPr>
          <w:noProof/>
        </w:rPr>
        <w:fldChar w:fldCharType="end"/>
      </w:r>
    </w:p>
    <w:p w:rsidR="00B833F1" w:rsidRDefault="00B833F1">
      <w:pPr>
        <w:pStyle w:val="TableofFigures"/>
        <w:rPr>
          <w:rFonts w:eastAsiaTheme="minorEastAsia" w:cstheme="minorBidi"/>
          <w:noProof/>
          <w:sz w:val="22"/>
          <w:szCs w:val="22"/>
        </w:rPr>
      </w:pPr>
      <w:r>
        <w:rPr>
          <w:noProof/>
        </w:rPr>
        <w:t>E.9</w:t>
      </w:r>
      <w:r>
        <w:rPr>
          <w:rFonts w:eastAsiaTheme="minorEastAsia" w:cstheme="minorBidi"/>
          <w:noProof/>
          <w:sz w:val="22"/>
          <w:szCs w:val="22"/>
        </w:rPr>
        <w:tab/>
      </w:r>
      <w:r>
        <w:rPr>
          <w:noProof/>
        </w:rPr>
        <w:t>Additions as a percentage of the building stock over time</w:t>
      </w:r>
      <w:r>
        <w:rPr>
          <w:noProof/>
        </w:rPr>
        <w:tab/>
      </w:r>
      <w:r>
        <w:rPr>
          <w:noProof/>
        </w:rPr>
        <w:fldChar w:fldCharType="begin"/>
      </w:r>
      <w:r>
        <w:rPr>
          <w:noProof/>
        </w:rPr>
        <w:instrText xml:space="preserve"> PAGEREF _Toc530748484 \h </w:instrText>
      </w:r>
      <w:r>
        <w:rPr>
          <w:noProof/>
        </w:rPr>
      </w:r>
      <w:r>
        <w:rPr>
          <w:noProof/>
        </w:rPr>
        <w:fldChar w:fldCharType="separate"/>
      </w:r>
      <w:r>
        <w:rPr>
          <w:noProof/>
        </w:rPr>
        <w:t>184</w:t>
      </w:r>
      <w:r>
        <w:rPr>
          <w:noProof/>
        </w:rPr>
        <w:fldChar w:fldCharType="end"/>
      </w:r>
    </w:p>
    <w:p w:rsidR="00B833F1" w:rsidRDefault="00B833F1">
      <w:pPr>
        <w:pStyle w:val="TableofFigures"/>
        <w:rPr>
          <w:rFonts w:eastAsiaTheme="minorEastAsia" w:cstheme="minorBidi"/>
          <w:noProof/>
          <w:sz w:val="22"/>
          <w:szCs w:val="22"/>
        </w:rPr>
      </w:pPr>
      <w:r>
        <w:rPr>
          <w:noProof/>
        </w:rPr>
        <w:t>E.10</w:t>
      </w:r>
      <w:r>
        <w:rPr>
          <w:rFonts w:eastAsiaTheme="minorEastAsia" w:cstheme="minorBidi"/>
          <w:noProof/>
          <w:sz w:val="22"/>
          <w:szCs w:val="22"/>
        </w:rPr>
        <w:tab/>
      </w:r>
      <w:r>
        <w:rPr>
          <w:noProof/>
        </w:rPr>
        <w:t>Total additions to the commercial building stock by building type (‘000 m</w:t>
      </w:r>
      <w:r w:rsidRPr="0069496C">
        <w:rPr>
          <w:noProof/>
          <w:vertAlign w:val="superscript"/>
        </w:rPr>
        <w:t>2</w:t>
      </w:r>
      <w:r>
        <w:rPr>
          <w:noProof/>
        </w:rPr>
        <w:t>)</w:t>
      </w:r>
      <w:r>
        <w:rPr>
          <w:noProof/>
        </w:rPr>
        <w:tab/>
      </w:r>
      <w:r>
        <w:rPr>
          <w:noProof/>
        </w:rPr>
        <w:fldChar w:fldCharType="begin"/>
      </w:r>
      <w:r>
        <w:rPr>
          <w:noProof/>
        </w:rPr>
        <w:instrText xml:space="preserve"> PAGEREF _Toc530748485 \h </w:instrText>
      </w:r>
      <w:r>
        <w:rPr>
          <w:noProof/>
        </w:rPr>
      </w:r>
      <w:r>
        <w:rPr>
          <w:noProof/>
        </w:rPr>
        <w:fldChar w:fldCharType="separate"/>
      </w:r>
      <w:r>
        <w:rPr>
          <w:noProof/>
        </w:rPr>
        <w:t>185</w:t>
      </w:r>
      <w:r>
        <w:rPr>
          <w:noProof/>
        </w:rPr>
        <w:fldChar w:fldCharType="end"/>
      </w:r>
    </w:p>
    <w:p w:rsidR="00B833F1" w:rsidRDefault="00B833F1">
      <w:pPr>
        <w:pStyle w:val="TableofFigures"/>
        <w:rPr>
          <w:rFonts w:eastAsiaTheme="minorEastAsia" w:cstheme="minorBidi"/>
          <w:noProof/>
          <w:sz w:val="22"/>
          <w:szCs w:val="22"/>
        </w:rPr>
      </w:pPr>
      <w:r>
        <w:rPr>
          <w:noProof/>
        </w:rPr>
        <w:t>E.11</w:t>
      </w:r>
      <w:r>
        <w:rPr>
          <w:rFonts w:eastAsiaTheme="minorEastAsia" w:cstheme="minorBidi"/>
          <w:noProof/>
          <w:sz w:val="22"/>
          <w:szCs w:val="22"/>
        </w:rPr>
        <w:tab/>
      </w:r>
      <w:r>
        <w:rPr>
          <w:noProof/>
        </w:rPr>
        <w:t xml:space="preserve">Total additions to the commercial building stock by </w:t>
      </w:r>
      <w:r w:rsidR="00E31EE8">
        <w:rPr>
          <w:noProof/>
        </w:rPr>
        <w:t>Climate Zone</w:t>
      </w:r>
      <w:r>
        <w:rPr>
          <w:noProof/>
        </w:rPr>
        <w:t xml:space="preserve"> (‘000 m</w:t>
      </w:r>
      <w:r w:rsidRPr="0069496C">
        <w:rPr>
          <w:noProof/>
          <w:vertAlign w:val="superscript"/>
        </w:rPr>
        <w:t>2</w:t>
      </w:r>
      <w:r>
        <w:rPr>
          <w:noProof/>
        </w:rPr>
        <w:t>)</w:t>
      </w:r>
      <w:r>
        <w:rPr>
          <w:noProof/>
        </w:rPr>
        <w:tab/>
      </w:r>
      <w:r>
        <w:rPr>
          <w:noProof/>
        </w:rPr>
        <w:fldChar w:fldCharType="begin"/>
      </w:r>
      <w:r>
        <w:rPr>
          <w:noProof/>
        </w:rPr>
        <w:instrText xml:space="preserve"> PAGEREF _Toc530748486 \h </w:instrText>
      </w:r>
      <w:r>
        <w:rPr>
          <w:noProof/>
        </w:rPr>
      </w:r>
      <w:r>
        <w:rPr>
          <w:noProof/>
        </w:rPr>
        <w:fldChar w:fldCharType="separate"/>
      </w:r>
      <w:r>
        <w:rPr>
          <w:noProof/>
        </w:rPr>
        <w:t>185</w:t>
      </w:r>
      <w:r>
        <w:rPr>
          <w:noProof/>
        </w:rPr>
        <w:fldChar w:fldCharType="end"/>
      </w:r>
    </w:p>
    <w:p w:rsidR="00B833F1" w:rsidRDefault="00B833F1">
      <w:pPr>
        <w:pStyle w:val="TableofFigures"/>
        <w:rPr>
          <w:rFonts w:eastAsiaTheme="minorEastAsia" w:cstheme="minorBidi"/>
          <w:noProof/>
          <w:sz w:val="22"/>
          <w:szCs w:val="22"/>
        </w:rPr>
      </w:pPr>
      <w:r>
        <w:rPr>
          <w:noProof/>
        </w:rPr>
        <w:t>E.12</w:t>
      </w:r>
      <w:r>
        <w:rPr>
          <w:rFonts w:eastAsiaTheme="minorEastAsia" w:cstheme="minorBidi"/>
          <w:noProof/>
          <w:sz w:val="22"/>
          <w:szCs w:val="22"/>
        </w:rPr>
        <w:tab/>
      </w:r>
      <w:r>
        <w:rPr>
          <w:noProof/>
        </w:rPr>
        <w:t>Potential impact of changes to the NCC on major refurbishments, in 2042</w:t>
      </w:r>
      <w:r>
        <w:rPr>
          <w:noProof/>
        </w:rPr>
        <w:tab/>
      </w:r>
      <w:r>
        <w:rPr>
          <w:noProof/>
        </w:rPr>
        <w:fldChar w:fldCharType="begin"/>
      </w:r>
      <w:r>
        <w:rPr>
          <w:noProof/>
        </w:rPr>
        <w:instrText xml:space="preserve"> PAGEREF _Toc530748487 \h </w:instrText>
      </w:r>
      <w:r>
        <w:rPr>
          <w:noProof/>
        </w:rPr>
      </w:r>
      <w:r>
        <w:rPr>
          <w:noProof/>
        </w:rPr>
        <w:fldChar w:fldCharType="separate"/>
      </w:r>
      <w:r>
        <w:rPr>
          <w:noProof/>
        </w:rPr>
        <w:t>187</w:t>
      </w:r>
      <w:r>
        <w:rPr>
          <w:noProof/>
        </w:rPr>
        <w:fldChar w:fldCharType="end"/>
      </w:r>
    </w:p>
    <w:p w:rsidR="00B833F1" w:rsidRDefault="00B833F1">
      <w:pPr>
        <w:pStyle w:val="TableofFigures"/>
        <w:rPr>
          <w:rFonts w:eastAsiaTheme="minorEastAsia" w:cstheme="minorBidi"/>
          <w:noProof/>
          <w:sz w:val="22"/>
          <w:szCs w:val="22"/>
        </w:rPr>
      </w:pPr>
      <w:r>
        <w:rPr>
          <w:noProof/>
        </w:rPr>
        <w:t>E.13</w:t>
      </w:r>
      <w:r>
        <w:rPr>
          <w:rFonts w:eastAsiaTheme="minorEastAsia" w:cstheme="minorBidi"/>
          <w:noProof/>
          <w:sz w:val="22"/>
          <w:szCs w:val="22"/>
        </w:rPr>
        <w:tab/>
      </w:r>
      <w:r>
        <w:rPr>
          <w:noProof/>
        </w:rPr>
        <w:t>Estimated floor area to be affected by proposed changes (including major refurbishments), by building type</w:t>
      </w:r>
      <w:r>
        <w:rPr>
          <w:noProof/>
        </w:rPr>
        <w:tab/>
      </w:r>
      <w:r>
        <w:rPr>
          <w:noProof/>
        </w:rPr>
        <w:fldChar w:fldCharType="begin"/>
      </w:r>
      <w:r>
        <w:rPr>
          <w:noProof/>
        </w:rPr>
        <w:instrText xml:space="preserve"> PAGEREF _Toc530748488 \h </w:instrText>
      </w:r>
      <w:r>
        <w:rPr>
          <w:noProof/>
        </w:rPr>
      </w:r>
      <w:r>
        <w:rPr>
          <w:noProof/>
        </w:rPr>
        <w:fldChar w:fldCharType="separate"/>
      </w:r>
      <w:r>
        <w:rPr>
          <w:noProof/>
        </w:rPr>
        <w:t>188</w:t>
      </w:r>
      <w:r>
        <w:rPr>
          <w:noProof/>
        </w:rPr>
        <w:fldChar w:fldCharType="end"/>
      </w:r>
    </w:p>
    <w:p w:rsidR="00B833F1" w:rsidRDefault="00B833F1">
      <w:pPr>
        <w:pStyle w:val="TableofFigures"/>
        <w:rPr>
          <w:rFonts w:eastAsiaTheme="minorEastAsia" w:cstheme="minorBidi"/>
          <w:noProof/>
          <w:sz w:val="22"/>
          <w:szCs w:val="22"/>
        </w:rPr>
      </w:pPr>
      <w:r>
        <w:rPr>
          <w:noProof/>
        </w:rPr>
        <w:t>E.14</w:t>
      </w:r>
      <w:r>
        <w:rPr>
          <w:rFonts w:eastAsiaTheme="minorEastAsia" w:cstheme="minorBidi"/>
          <w:noProof/>
          <w:sz w:val="22"/>
          <w:szCs w:val="22"/>
        </w:rPr>
        <w:tab/>
      </w:r>
      <w:r>
        <w:rPr>
          <w:noProof/>
        </w:rPr>
        <w:t xml:space="preserve">Estimated floor area to be affected by proposed changes (including major refurbishments), by </w:t>
      </w:r>
      <w:r w:rsidR="00E31EE8">
        <w:rPr>
          <w:noProof/>
        </w:rPr>
        <w:t>Climate Zone</w:t>
      </w:r>
      <w:r>
        <w:rPr>
          <w:noProof/>
        </w:rPr>
        <w:tab/>
      </w:r>
      <w:r>
        <w:rPr>
          <w:noProof/>
        </w:rPr>
        <w:fldChar w:fldCharType="begin"/>
      </w:r>
      <w:r>
        <w:rPr>
          <w:noProof/>
        </w:rPr>
        <w:instrText xml:space="preserve"> PAGEREF _Toc530748489 \h </w:instrText>
      </w:r>
      <w:r>
        <w:rPr>
          <w:noProof/>
        </w:rPr>
      </w:r>
      <w:r>
        <w:rPr>
          <w:noProof/>
        </w:rPr>
        <w:fldChar w:fldCharType="separate"/>
      </w:r>
      <w:r>
        <w:rPr>
          <w:noProof/>
        </w:rPr>
        <w:t>188</w:t>
      </w:r>
      <w:r>
        <w:rPr>
          <w:noProof/>
        </w:rPr>
        <w:fldChar w:fldCharType="end"/>
      </w:r>
    </w:p>
    <w:p w:rsidR="00B833F1" w:rsidRDefault="00B833F1">
      <w:pPr>
        <w:pStyle w:val="TableofFigures"/>
        <w:rPr>
          <w:rFonts w:eastAsiaTheme="minorEastAsia" w:cstheme="minorBidi"/>
          <w:noProof/>
          <w:sz w:val="22"/>
          <w:szCs w:val="22"/>
        </w:rPr>
      </w:pPr>
      <w:r>
        <w:rPr>
          <w:noProof/>
        </w:rPr>
        <w:t>F.1</w:t>
      </w:r>
      <w:r>
        <w:rPr>
          <w:rFonts w:eastAsiaTheme="minorEastAsia" w:cstheme="minorBidi"/>
          <w:noProof/>
          <w:sz w:val="22"/>
          <w:szCs w:val="22"/>
        </w:rPr>
        <w:tab/>
      </w:r>
      <w:r>
        <w:rPr>
          <w:noProof/>
        </w:rPr>
        <w:t>Summary of survey design</w:t>
      </w:r>
      <w:r>
        <w:rPr>
          <w:noProof/>
        </w:rPr>
        <w:tab/>
      </w:r>
      <w:r>
        <w:rPr>
          <w:noProof/>
        </w:rPr>
        <w:fldChar w:fldCharType="begin"/>
      </w:r>
      <w:r>
        <w:rPr>
          <w:noProof/>
        </w:rPr>
        <w:instrText xml:space="preserve"> PAGEREF _Toc530748490 \h </w:instrText>
      </w:r>
      <w:r>
        <w:rPr>
          <w:noProof/>
        </w:rPr>
      </w:r>
      <w:r>
        <w:rPr>
          <w:noProof/>
        </w:rPr>
        <w:fldChar w:fldCharType="separate"/>
      </w:r>
      <w:r>
        <w:rPr>
          <w:noProof/>
        </w:rPr>
        <w:t>189</w:t>
      </w:r>
      <w:r>
        <w:rPr>
          <w:noProof/>
        </w:rPr>
        <w:fldChar w:fldCharType="end"/>
      </w:r>
    </w:p>
    <w:p w:rsidR="00B833F1" w:rsidRDefault="00B833F1">
      <w:pPr>
        <w:pStyle w:val="TableofFigures"/>
        <w:rPr>
          <w:rFonts w:eastAsiaTheme="minorEastAsia" w:cstheme="minorBidi"/>
          <w:noProof/>
          <w:sz w:val="22"/>
          <w:szCs w:val="22"/>
        </w:rPr>
      </w:pPr>
      <w:r>
        <w:rPr>
          <w:noProof/>
        </w:rPr>
        <w:t>F.2</w:t>
      </w:r>
      <w:r>
        <w:rPr>
          <w:rFonts w:eastAsiaTheme="minorEastAsia" w:cstheme="minorBidi"/>
          <w:noProof/>
          <w:sz w:val="22"/>
          <w:szCs w:val="22"/>
        </w:rPr>
        <w:tab/>
      </w:r>
      <w:r>
        <w:rPr>
          <w:noProof/>
        </w:rPr>
        <w:t>Response rates by building type</w:t>
      </w:r>
      <w:r>
        <w:rPr>
          <w:noProof/>
        </w:rPr>
        <w:tab/>
      </w:r>
      <w:r>
        <w:rPr>
          <w:noProof/>
        </w:rPr>
        <w:fldChar w:fldCharType="begin"/>
      </w:r>
      <w:r>
        <w:rPr>
          <w:noProof/>
        </w:rPr>
        <w:instrText xml:space="preserve"> PAGEREF _Toc530748491 \h </w:instrText>
      </w:r>
      <w:r>
        <w:rPr>
          <w:noProof/>
        </w:rPr>
      </w:r>
      <w:r>
        <w:rPr>
          <w:noProof/>
        </w:rPr>
        <w:fldChar w:fldCharType="separate"/>
      </w:r>
      <w:r>
        <w:rPr>
          <w:noProof/>
        </w:rPr>
        <w:t>191</w:t>
      </w:r>
      <w:r>
        <w:rPr>
          <w:noProof/>
        </w:rPr>
        <w:fldChar w:fldCharType="end"/>
      </w:r>
    </w:p>
    <w:p w:rsidR="00B833F1" w:rsidRDefault="00B833F1">
      <w:pPr>
        <w:pStyle w:val="TableofFigures"/>
        <w:rPr>
          <w:rFonts w:eastAsiaTheme="minorEastAsia" w:cstheme="minorBidi"/>
          <w:noProof/>
          <w:sz w:val="22"/>
          <w:szCs w:val="22"/>
        </w:rPr>
      </w:pPr>
      <w:r>
        <w:rPr>
          <w:noProof/>
        </w:rPr>
        <w:t>F.3</w:t>
      </w:r>
      <w:r>
        <w:rPr>
          <w:rFonts w:eastAsiaTheme="minorEastAsia" w:cstheme="minorBidi"/>
          <w:noProof/>
          <w:sz w:val="22"/>
          <w:szCs w:val="22"/>
        </w:rPr>
        <w:tab/>
      </w:r>
      <w:r>
        <w:rPr>
          <w:noProof/>
        </w:rPr>
        <w:t>Survey results</w:t>
      </w:r>
      <w:r>
        <w:rPr>
          <w:noProof/>
        </w:rPr>
        <w:tab/>
      </w:r>
      <w:r>
        <w:rPr>
          <w:noProof/>
        </w:rPr>
        <w:fldChar w:fldCharType="begin"/>
      </w:r>
      <w:r>
        <w:rPr>
          <w:noProof/>
        </w:rPr>
        <w:instrText xml:space="preserve"> PAGEREF _Toc530748492 \h </w:instrText>
      </w:r>
      <w:r>
        <w:rPr>
          <w:noProof/>
        </w:rPr>
      </w:r>
      <w:r>
        <w:rPr>
          <w:noProof/>
        </w:rPr>
        <w:fldChar w:fldCharType="separate"/>
      </w:r>
      <w:r>
        <w:rPr>
          <w:noProof/>
        </w:rPr>
        <w:t>191</w:t>
      </w:r>
      <w:r>
        <w:rPr>
          <w:noProof/>
        </w:rPr>
        <w:fldChar w:fldCharType="end"/>
      </w:r>
    </w:p>
    <w:p w:rsidR="00B833F1" w:rsidRDefault="00B833F1">
      <w:pPr>
        <w:pStyle w:val="TableofFigures"/>
        <w:rPr>
          <w:rFonts w:eastAsiaTheme="minorEastAsia" w:cstheme="minorBidi"/>
          <w:noProof/>
          <w:sz w:val="22"/>
          <w:szCs w:val="22"/>
        </w:rPr>
      </w:pPr>
      <w:r>
        <w:rPr>
          <w:noProof/>
        </w:rPr>
        <w:lastRenderedPageBreak/>
        <w:t>F.4</w:t>
      </w:r>
      <w:r>
        <w:rPr>
          <w:rFonts w:eastAsiaTheme="minorEastAsia" w:cstheme="minorBidi"/>
          <w:noProof/>
          <w:sz w:val="22"/>
          <w:szCs w:val="22"/>
        </w:rPr>
        <w:tab/>
      </w:r>
      <w:r>
        <w:rPr>
          <w:noProof/>
        </w:rPr>
        <w:t>Compliance pathway by building type</w:t>
      </w:r>
      <w:r>
        <w:rPr>
          <w:noProof/>
        </w:rPr>
        <w:tab/>
      </w:r>
      <w:r>
        <w:rPr>
          <w:noProof/>
        </w:rPr>
        <w:fldChar w:fldCharType="begin"/>
      </w:r>
      <w:r>
        <w:rPr>
          <w:noProof/>
        </w:rPr>
        <w:instrText xml:space="preserve"> PAGEREF _Toc530748493 \h </w:instrText>
      </w:r>
      <w:r>
        <w:rPr>
          <w:noProof/>
        </w:rPr>
      </w:r>
      <w:r>
        <w:rPr>
          <w:noProof/>
        </w:rPr>
        <w:fldChar w:fldCharType="separate"/>
      </w:r>
      <w:r>
        <w:rPr>
          <w:noProof/>
        </w:rPr>
        <w:t>192</w:t>
      </w:r>
      <w:r>
        <w:rPr>
          <w:noProof/>
        </w:rPr>
        <w:fldChar w:fldCharType="end"/>
      </w:r>
    </w:p>
    <w:p w:rsidR="00B833F1" w:rsidRDefault="00B833F1">
      <w:pPr>
        <w:pStyle w:val="TableofFigures"/>
        <w:rPr>
          <w:rFonts w:eastAsiaTheme="minorEastAsia" w:cstheme="minorBidi"/>
          <w:noProof/>
          <w:sz w:val="22"/>
          <w:szCs w:val="22"/>
        </w:rPr>
      </w:pPr>
      <w:r>
        <w:rPr>
          <w:noProof/>
        </w:rPr>
        <w:t>F.5</w:t>
      </w:r>
      <w:r>
        <w:rPr>
          <w:rFonts w:eastAsiaTheme="minorEastAsia" w:cstheme="minorBidi"/>
          <w:noProof/>
          <w:sz w:val="22"/>
          <w:szCs w:val="22"/>
        </w:rPr>
        <w:tab/>
      </w:r>
      <w:r>
        <w:rPr>
          <w:noProof/>
        </w:rPr>
        <w:t>Building design relative to NCC minimum standards</w:t>
      </w:r>
      <w:r>
        <w:rPr>
          <w:noProof/>
        </w:rPr>
        <w:tab/>
      </w:r>
      <w:r>
        <w:rPr>
          <w:noProof/>
        </w:rPr>
        <w:fldChar w:fldCharType="begin"/>
      </w:r>
      <w:r>
        <w:rPr>
          <w:noProof/>
        </w:rPr>
        <w:instrText xml:space="preserve"> PAGEREF _Toc530748494 \h </w:instrText>
      </w:r>
      <w:r>
        <w:rPr>
          <w:noProof/>
        </w:rPr>
      </w:r>
      <w:r>
        <w:rPr>
          <w:noProof/>
        </w:rPr>
        <w:fldChar w:fldCharType="separate"/>
      </w:r>
      <w:r>
        <w:rPr>
          <w:noProof/>
        </w:rPr>
        <w:t>193</w:t>
      </w:r>
      <w:r>
        <w:rPr>
          <w:noProof/>
        </w:rPr>
        <w:fldChar w:fldCharType="end"/>
      </w:r>
    </w:p>
    <w:p w:rsidR="00B833F1" w:rsidRDefault="00B833F1">
      <w:pPr>
        <w:pStyle w:val="TableofFigures"/>
        <w:rPr>
          <w:rFonts w:eastAsiaTheme="minorEastAsia" w:cstheme="minorBidi"/>
          <w:noProof/>
          <w:sz w:val="22"/>
          <w:szCs w:val="22"/>
        </w:rPr>
      </w:pPr>
      <w:r>
        <w:rPr>
          <w:noProof/>
        </w:rPr>
        <w:t>G.1</w:t>
      </w:r>
      <w:r>
        <w:rPr>
          <w:rFonts w:eastAsiaTheme="minorEastAsia" w:cstheme="minorBidi"/>
          <w:noProof/>
          <w:sz w:val="22"/>
          <w:szCs w:val="22"/>
        </w:rPr>
        <w:tab/>
      </w:r>
      <w:r>
        <w:rPr>
          <w:noProof/>
        </w:rPr>
        <w:t>Building geometry</w:t>
      </w:r>
      <w:r>
        <w:rPr>
          <w:noProof/>
        </w:rPr>
        <w:tab/>
      </w:r>
      <w:r>
        <w:rPr>
          <w:noProof/>
        </w:rPr>
        <w:fldChar w:fldCharType="begin"/>
      </w:r>
      <w:r>
        <w:rPr>
          <w:noProof/>
        </w:rPr>
        <w:instrText xml:space="preserve"> PAGEREF _Toc530748495 \h </w:instrText>
      </w:r>
      <w:r>
        <w:rPr>
          <w:noProof/>
        </w:rPr>
      </w:r>
      <w:r>
        <w:rPr>
          <w:noProof/>
        </w:rPr>
        <w:fldChar w:fldCharType="separate"/>
      </w:r>
      <w:r>
        <w:rPr>
          <w:noProof/>
        </w:rPr>
        <w:t>194</w:t>
      </w:r>
      <w:r>
        <w:rPr>
          <w:noProof/>
        </w:rPr>
        <w:fldChar w:fldCharType="end"/>
      </w:r>
    </w:p>
    <w:p w:rsidR="00B833F1" w:rsidRDefault="00B833F1">
      <w:pPr>
        <w:pStyle w:val="TableofFigures"/>
        <w:rPr>
          <w:rFonts w:eastAsiaTheme="minorEastAsia" w:cstheme="minorBidi"/>
          <w:noProof/>
          <w:sz w:val="22"/>
          <w:szCs w:val="22"/>
        </w:rPr>
      </w:pPr>
      <w:r>
        <w:rPr>
          <w:noProof/>
        </w:rPr>
        <w:t>G.2</w:t>
      </w:r>
      <w:r>
        <w:rPr>
          <w:rFonts w:eastAsiaTheme="minorEastAsia" w:cstheme="minorBidi"/>
          <w:noProof/>
          <w:sz w:val="22"/>
          <w:szCs w:val="22"/>
        </w:rPr>
        <w:tab/>
      </w:r>
      <w:r>
        <w:rPr>
          <w:noProof/>
        </w:rPr>
        <w:t>Hotel and office building (3A and 5A)</w:t>
      </w:r>
      <w:r>
        <w:rPr>
          <w:noProof/>
        </w:rPr>
        <w:tab/>
      </w:r>
      <w:r>
        <w:rPr>
          <w:noProof/>
        </w:rPr>
        <w:fldChar w:fldCharType="begin"/>
      </w:r>
      <w:r>
        <w:rPr>
          <w:noProof/>
        </w:rPr>
        <w:instrText xml:space="preserve"> PAGEREF _Toc530748496 \h </w:instrText>
      </w:r>
      <w:r>
        <w:rPr>
          <w:noProof/>
        </w:rPr>
      </w:r>
      <w:r>
        <w:rPr>
          <w:noProof/>
        </w:rPr>
        <w:fldChar w:fldCharType="separate"/>
      </w:r>
      <w:r>
        <w:rPr>
          <w:noProof/>
        </w:rPr>
        <w:t>195</w:t>
      </w:r>
      <w:r>
        <w:rPr>
          <w:noProof/>
        </w:rPr>
        <w:fldChar w:fldCharType="end"/>
      </w:r>
    </w:p>
    <w:p w:rsidR="00B833F1" w:rsidRDefault="00B833F1">
      <w:pPr>
        <w:pStyle w:val="TableofFigures"/>
        <w:rPr>
          <w:rFonts w:eastAsiaTheme="minorEastAsia" w:cstheme="minorBidi"/>
          <w:noProof/>
          <w:sz w:val="22"/>
          <w:szCs w:val="22"/>
        </w:rPr>
      </w:pPr>
      <w:r>
        <w:rPr>
          <w:noProof/>
        </w:rPr>
        <w:t>G.3</w:t>
      </w:r>
      <w:r>
        <w:rPr>
          <w:rFonts w:eastAsiaTheme="minorEastAsia" w:cstheme="minorBidi"/>
          <w:noProof/>
          <w:sz w:val="22"/>
          <w:szCs w:val="22"/>
        </w:rPr>
        <w:tab/>
      </w:r>
      <w:r>
        <w:rPr>
          <w:noProof/>
        </w:rPr>
        <w:t>Retail building (6B)</w:t>
      </w:r>
      <w:r>
        <w:rPr>
          <w:noProof/>
        </w:rPr>
        <w:tab/>
      </w:r>
      <w:r>
        <w:rPr>
          <w:noProof/>
        </w:rPr>
        <w:fldChar w:fldCharType="begin"/>
      </w:r>
      <w:r>
        <w:rPr>
          <w:noProof/>
        </w:rPr>
        <w:instrText xml:space="preserve"> PAGEREF _Toc530748497 \h </w:instrText>
      </w:r>
      <w:r>
        <w:rPr>
          <w:noProof/>
        </w:rPr>
      </w:r>
      <w:r>
        <w:rPr>
          <w:noProof/>
        </w:rPr>
        <w:fldChar w:fldCharType="separate"/>
      </w:r>
      <w:r>
        <w:rPr>
          <w:noProof/>
        </w:rPr>
        <w:t>195</w:t>
      </w:r>
      <w:r>
        <w:rPr>
          <w:noProof/>
        </w:rPr>
        <w:fldChar w:fldCharType="end"/>
      </w:r>
    </w:p>
    <w:p w:rsidR="00B833F1" w:rsidRDefault="00B833F1">
      <w:pPr>
        <w:pStyle w:val="TableofFigures"/>
        <w:rPr>
          <w:rFonts w:eastAsiaTheme="minorEastAsia" w:cstheme="minorBidi"/>
          <w:noProof/>
          <w:sz w:val="22"/>
          <w:szCs w:val="22"/>
        </w:rPr>
      </w:pPr>
      <w:r>
        <w:rPr>
          <w:noProof/>
        </w:rPr>
        <w:t>G.4</w:t>
      </w:r>
      <w:r>
        <w:rPr>
          <w:rFonts w:eastAsiaTheme="minorEastAsia" w:cstheme="minorBidi"/>
          <w:noProof/>
          <w:sz w:val="22"/>
          <w:szCs w:val="22"/>
        </w:rPr>
        <w:tab/>
      </w:r>
      <w:r>
        <w:rPr>
          <w:noProof/>
        </w:rPr>
        <w:t>Healthcare building (9aC)</w:t>
      </w:r>
      <w:r>
        <w:rPr>
          <w:noProof/>
        </w:rPr>
        <w:tab/>
      </w:r>
      <w:r>
        <w:rPr>
          <w:noProof/>
        </w:rPr>
        <w:fldChar w:fldCharType="begin"/>
      </w:r>
      <w:r>
        <w:rPr>
          <w:noProof/>
        </w:rPr>
        <w:instrText xml:space="preserve"> PAGEREF _Toc530748498 \h </w:instrText>
      </w:r>
      <w:r>
        <w:rPr>
          <w:noProof/>
        </w:rPr>
      </w:r>
      <w:r>
        <w:rPr>
          <w:noProof/>
        </w:rPr>
        <w:fldChar w:fldCharType="separate"/>
      </w:r>
      <w:r>
        <w:rPr>
          <w:noProof/>
        </w:rPr>
        <w:t>196</w:t>
      </w:r>
      <w:r>
        <w:rPr>
          <w:noProof/>
        </w:rPr>
        <w:fldChar w:fldCharType="end"/>
      </w:r>
    </w:p>
    <w:p w:rsidR="00B833F1" w:rsidRDefault="00B833F1">
      <w:pPr>
        <w:pStyle w:val="TableofFigures"/>
        <w:rPr>
          <w:rFonts w:eastAsiaTheme="minorEastAsia" w:cstheme="minorBidi"/>
          <w:noProof/>
          <w:sz w:val="22"/>
          <w:szCs w:val="22"/>
        </w:rPr>
      </w:pPr>
      <w:r>
        <w:rPr>
          <w:noProof/>
        </w:rPr>
        <w:t>G.5</w:t>
      </w:r>
      <w:r>
        <w:rPr>
          <w:rFonts w:eastAsiaTheme="minorEastAsia" w:cstheme="minorBidi"/>
          <w:noProof/>
          <w:sz w:val="22"/>
          <w:szCs w:val="22"/>
        </w:rPr>
        <w:tab/>
      </w:r>
      <w:r>
        <w:rPr>
          <w:noProof/>
        </w:rPr>
        <w:t>School building (9bH)</w:t>
      </w:r>
      <w:r>
        <w:rPr>
          <w:noProof/>
        </w:rPr>
        <w:tab/>
      </w:r>
      <w:r>
        <w:rPr>
          <w:noProof/>
        </w:rPr>
        <w:fldChar w:fldCharType="begin"/>
      </w:r>
      <w:r>
        <w:rPr>
          <w:noProof/>
        </w:rPr>
        <w:instrText xml:space="preserve"> PAGEREF _Toc530748499 \h </w:instrText>
      </w:r>
      <w:r>
        <w:rPr>
          <w:noProof/>
        </w:rPr>
      </w:r>
      <w:r>
        <w:rPr>
          <w:noProof/>
        </w:rPr>
        <w:fldChar w:fldCharType="separate"/>
      </w:r>
      <w:r>
        <w:rPr>
          <w:noProof/>
        </w:rPr>
        <w:t>196</w:t>
      </w:r>
      <w:r>
        <w:rPr>
          <w:noProof/>
        </w:rPr>
        <w:fldChar w:fldCharType="end"/>
      </w:r>
    </w:p>
    <w:p w:rsidR="00B833F1" w:rsidRDefault="00B833F1">
      <w:pPr>
        <w:pStyle w:val="TableofFigures"/>
        <w:rPr>
          <w:rFonts w:eastAsiaTheme="minorEastAsia" w:cstheme="minorBidi"/>
          <w:noProof/>
          <w:sz w:val="22"/>
          <w:szCs w:val="22"/>
        </w:rPr>
      </w:pPr>
      <w:r>
        <w:rPr>
          <w:noProof/>
        </w:rPr>
        <w:t>G.6</w:t>
      </w:r>
      <w:r>
        <w:rPr>
          <w:rFonts w:eastAsiaTheme="minorEastAsia" w:cstheme="minorBidi"/>
          <w:noProof/>
          <w:sz w:val="22"/>
          <w:szCs w:val="22"/>
        </w:rPr>
        <w:tab/>
      </w:r>
      <w:r>
        <w:rPr>
          <w:noProof/>
        </w:rPr>
        <w:t>Baseline window-to-wall ratios</w:t>
      </w:r>
      <w:r>
        <w:rPr>
          <w:noProof/>
        </w:rPr>
        <w:tab/>
      </w:r>
      <w:r>
        <w:rPr>
          <w:noProof/>
        </w:rPr>
        <w:fldChar w:fldCharType="begin"/>
      </w:r>
      <w:r>
        <w:rPr>
          <w:noProof/>
        </w:rPr>
        <w:instrText xml:space="preserve"> PAGEREF _Toc530748500 \h </w:instrText>
      </w:r>
      <w:r>
        <w:rPr>
          <w:noProof/>
        </w:rPr>
      </w:r>
      <w:r>
        <w:rPr>
          <w:noProof/>
        </w:rPr>
        <w:fldChar w:fldCharType="separate"/>
      </w:r>
      <w:r>
        <w:rPr>
          <w:noProof/>
        </w:rPr>
        <w:t>197</w:t>
      </w:r>
      <w:r>
        <w:rPr>
          <w:noProof/>
        </w:rPr>
        <w:fldChar w:fldCharType="end"/>
      </w:r>
    </w:p>
    <w:p w:rsidR="00B833F1" w:rsidRDefault="00B833F1">
      <w:pPr>
        <w:pStyle w:val="TableofFigures"/>
        <w:rPr>
          <w:rFonts w:eastAsiaTheme="minorEastAsia" w:cstheme="minorBidi"/>
          <w:noProof/>
          <w:sz w:val="22"/>
          <w:szCs w:val="22"/>
        </w:rPr>
      </w:pPr>
      <w:r>
        <w:rPr>
          <w:noProof/>
        </w:rPr>
        <w:t>G.7</w:t>
      </w:r>
      <w:r>
        <w:rPr>
          <w:rFonts w:eastAsiaTheme="minorEastAsia" w:cstheme="minorBidi"/>
          <w:noProof/>
          <w:sz w:val="22"/>
          <w:szCs w:val="22"/>
        </w:rPr>
        <w:tab/>
      </w:r>
      <w:r>
        <w:rPr>
          <w:noProof/>
        </w:rPr>
        <w:t xml:space="preserve">ABCB </w:t>
      </w:r>
      <w:r w:rsidR="00E31EE8">
        <w:rPr>
          <w:noProof/>
        </w:rPr>
        <w:t>Climate Zone</w:t>
      </w:r>
      <w:r>
        <w:rPr>
          <w:noProof/>
        </w:rPr>
        <w:t>s</w:t>
      </w:r>
      <w:r>
        <w:rPr>
          <w:noProof/>
        </w:rPr>
        <w:tab/>
      </w:r>
      <w:r>
        <w:rPr>
          <w:noProof/>
        </w:rPr>
        <w:fldChar w:fldCharType="begin"/>
      </w:r>
      <w:r>
        <w:rPr>
          <w:noProof/>
        </w:rPr>
        <w:instrText xml:space="preserve"> PAGEREF _Toc530748501 \h </w:instrText>
      </w:r>
      <w:r>
        <w:rPr>
          <w:noProof/>
        </w:rPr>
      </w:r>
      <w:r>
        <w:rPr>
          <w:noProof/>
        </w:rPr>
        <w:fldChar w:fldCharType="separate"/>
      </w:r>
      <w:r>
        <w:rPr>
          <w:noProof/>
        </w:rPr>
        <w:t>198</w:t>
      </w:r>
      <w:r>
        <w:rPr>
          <w:noProof/>
        </w:rPr>
        <w:fldChar w:fldCharType="end"/>
      </w:r>
    </w:p>
    <w:p w:rsidR="00B833F1" w:rsidRDefault="00B833F1">
      <w:pPr>
        <w:pStyle w:val="TableofFigures"/>
        <w:rPr>
          <w:rFonts w:eastAsiaTheme="minorEastAsia" w:cstheme="minorBidi"/>
          <w:noProof/>
          <w:sz w:val="22"/>
          <w:szCs w:val="22"/>
        </w:rPr>
      </w:pPr>
      <w:r>
        <w:rPr>
          <w:noProof/>
        </w:rPr>
        <w:t>H.1</w:t>
      </w:r>
      <w:r>
        <w:rPr>
          <w:rFonts w:eastAsiaTheme="minorEastAsia" w:cstheme="minorBidi"/>
          <w:noProof/>
          <w:sz w:val="22"/>
          <w:szCs w:val="22"/>
        </w:rPr>
        <w:tab/>
      </w:r>
      <w:r>
        <w:rPr>
          <w:noProof/>
        </w:rPr>
        <w:t>Long-run marginal cost</w:t>
      </w:r>
      <w:r>
        <w:rPr>
          <w:noProof/>
        </w:rPr>
        <w:tab/>
      </w:r>
      <w:r>
        <w:rPr>
          <w:noProof/>
        </w:rPr>
        <w:fldChar w:fldCharType="begin"/>
      </w:r>
      <w:r>
        <w:rPr>
          <w:noProof/>
        </w:rPr>
        <w:instrText xml:space="preserve"> PAGEREF _Toc530748502 \h </w:instrText>
      </w:r>
      <w:r>
        <w:rPr>
          <w:noProof/>
        </w:rPr>
      </w:r>
      <w:r>
        <w:rPr>
          <w:noProof/>
        </w:rPr>
        <w:fldChar w:fldCharType="separate"/>
      </w:r>
      <w:r>
        <w:rPr>
          <w:noProof/>
        </w:rPr>
        <w:t>200</w:t>
      </w:r>
      <w:r>
        <w:rPr>
          <w:noProof/>
        </w:rPr>
        <w:fldChar w:fldCharType="end"/>
      </w:r>
    </w:p>
    <w:p w:rsidR="00B833F1" w:rsidRDefault="00B833F1">
      <w:pPr>
        <w:pStyle w:val="TableofFigures"/>
        <w:rPr>
          <w:rFonts w:eastAsiaTheme="minorEastAsia" w:cstheme="minorBidi"/>
          <w:noProof/>
          <w:sz w:val="22"/>
          <w:szCs w:val="22"/>
        </w:rPr>
      </w:pPr>
      <w:r>
        <w:rPr>
          <w:noProof/>
        </w:rPr>
        <w:t>H.2</w:t>
      </w:r>
      <w:r>
        <w:rPr>
          <w:rFonts w:eastAsiaTheme="minorEastAsia" w:cstheme="minorBidi"/>
          <w:noProof/>
          <w:sz w:val="22"/>
          <w:szCs w:val="22"/>
        </w:rPr>
        <w:tab/>
      </w:r>
      <w:r>
        <w:rPr>
          <w:noProof/>
        </w:rPr>
        <w:t>Retail electricity price projections — small users</w:t>
      </w:r>
      <w:r>
        <w:rPr>
          <w:noProof/>
        </w:rPr>
        <w:tab/>
      </w:r>
      <w:r>
        <w:rPr>
          <w:noProof/>
        </w:rPr>
        <w:fldChar w:fldCharType="begin"/>
      </w:r>
      <w:r>
        <w:rPr>
          <w:noProof/>
        </w:rPr>
        <w:instrText xml:space="preserve"> PAGEREF _Toc530748503 \h </w:instrText>
      </w:r>
      <w:r>
        <w:rPr>
          <w:noProof/>
        </w:rPr>
      </w:r>
      <w:r>
        <w:rPr>
          <w:noProof/>
        </w:rPr>
        <w:fldChar w:fldCharType="separate"/>
      </w:r>
      <w:r>
        <w:rPr>
          <w:noProof/>
        </w:rPr>
        <w:t>203</w:t>
      </w:r>
      <w:r>
        <w:rPr>
          <w:noProof/>
        </w:rPr>
        <w:fldChar w:fldCharType="end"/>
      </w:r>
    </w:p>
    <w:p w:rsidR="00B833F1" w:rsidRDefault="00B833F1">
      <w:pPr>
        <w:pStyle w:val="TableofFigures"/>
        <w:rPr>
          <w:rFonts w:eastAsiaTheme="minorEastAsia" w:cstheme="minorBidi"/>
          <w:noProof/>
          <w:sz w:val="22"/>
          <w:szCs w:val="22"/>
        </w:rPr>
      </w:pPr>
      <w:r>
        <w:rPr>
          <w:noProof/>
        </w:rPr>
        <w:t>H.3</w:t>
      </w:r>
      <w:r>
        <w:rPr>
          <w:rFonts w:eastAsiaTheme="minorEastAsia" w:cstheme="minorBidi"/>
          <w:noProof/>
          <w:sz w:val="22"/>
          <w:szCs w:val="22"/>
        </w:rPr>
        <w:tab/>
      </w:r>
      <w:r>
        <w:rPr>
          <w:noProof/>
        </w:rPr>
        <w:t>Retail electricity price projections — large users</w:t>
      </w:r>
      <w:r>
        <w:rPr>
          <w:noProof/>
        </w:rPr>
        <w:tab/>
      </w:r>
      <w:r>
        <w:rPr>
          <w:noProof/>
        </w:rPr>
        <w:fldChar w:fldCharType="begin"/>
      </w:r>
      <w:r>
        <w:rPr>
          <w:noProof/>
        </w:rPr>
        <w:instrText xml:space="preserve"> PAGEREF _Toc530748504 \h </w:instrText>
      </w:r>
      <w:r>
        <w:rPr>
          <w:noProof/>
        </w:rPr>
      </w:r>
      <w:r>
        <w:rPr>
          <w:noProof/>
        </w:rPr>
        <w:fldChar w:fldCharType="separate"/>
      </w:r>
      <w:r>
        <w:rPr>
          <w:noProof/>
        </w:rPr>
        <w:t>204</w:t>
      </w:r>
      <w:r>
        <w:rPr>
          <w:noProof/>
        </w:rPr>
        <w:fldChar w:fldCharType="end"/>
      </w:r>
    </w:p>
    <w:p w:rsidR="00B833F1" w:rsidRDefault="00B833F1">
      <w:pPr>
        <w:pStyle w:val="TableofFigures"/>
        <w:rPr>
          <w:rFonts w:eastAsiaTheme="minorEastAsia" w:cstheme="minorBidi"/>
          <w:noProof/>
          <w:sz w:val="22"/>
          <w:szCs w:val="22"/>
        </w:rPr>
      </w:pPr>
      <w:r>
        <w:rPr>
          <w:noProof/>
        </w:rPr>
        <w:t>H.4</w:t>
      </w:r>
      <w:r>
        <w:rPr>
          <w:rFonts w:eastAsiaTheme="minorEastAsia" w:cstheme="minorBidi"/>
          <w:noProof/>
          <w:sz w:val="22"/>
          <w:szCs w:val="22"/>
        </w:rPr>
        <w:tab/>
      </w:r>
      <w:r>
        <w:rPr>
          <w:noProof/>
        </w:rPr>
        <w:t>Retail electricity price projections — average of small and large users</w:t>
      </w:r>
      <w:r>
        <w:rPr>
          <w:noProof/>
        </w:rPr>
        <w:tab/>
      </w:r>
      <w:r>
        <w:rPr>
          <w:noProof/>
        </w:rPr>
        <w:fldChar w:fldCharType="begin"/>
      </w:r>
      <w:r>
        <w:rPr>
          <w:noProof/>
        </w:rPr>
        <w:instrText xml:space="preserve"> PAGEREF _Toc530748505 \h </w:instrText>
      </w:r>
      <w:r>
        <w:rPr>
          <w:noProof/>
        </w:rPr>
      </w:r>
      <w:r>
        <w:rPr>
          <w:noProof/>
        </w:rPr>
        <w:fldChar w:fldCharType="separate"/>
      </w:r>
      <w:r>
        <w:rPr>
          <w:noProof/>
        </w:rPr>
        <w:t>204</w:t>
      </w:r>
      <w:r>
        <w:rPr>
          <w:noProof/>
        </w:rPr>
        <w:fldChar w:fldCharType="end"/>
      </w:r>
    </w:p>
    <w:p w:rsidR="00B833F1" w:rsidRDefault="00B833F1">
      <w:pPr>
        <w:pStyle w:val="TableofFigures"/>
        <w:rPr>
          <w:rFonts w:eastAsiaTheme="minorEastAsia" w:cstheme="minorBidi"/>
          <w:noProof/>
          <w:sz w:val="22"/>
          <w:szCs w:val="22"/>
        </w:rPr>
      </w:pPr>
      <w:r>
        <w:rPr>
          <w:noProof/>
        </w:rPr>
        <w:t xml:space="preserve">H.5 </w:t>
      </w:r>
      <w:r>
        <w:rPr>
          <w:rFonts w:eastAsiaTheme="minorEastAsia" w:cstheme="minorBidi"/>
          <w:noProof/>
          <w:sz w:val="22"/>
          <w:szCs w:val="22"/>
        </w:rPr>
        <w:tab/>
      </w:r>
      <w:r>
        <w:rPr>
          <w:noProof/>
        </w:rPr>
        <w:t>Gas price projections</w:t>
      </w:r>
      <w:r>
        <w:rPr>
          <w:noProof/>
        </w:rPr>
        <w:tab/>
      </w:r>
      <w:r>
        <w:rPr>
          <w:noProof/>
        </w:rPr>
        <w:fldChar w:fldCharType="begin"/>
      </w:r>
      <w:r>
        <w:rPr>
          <w:noProof/>
        </w:rPr>
        <w:instrText xml:space="preserve"> PAGEREF _Toc530748506 \h </w:instrText>
      </w:r>
      <w:r>
        <w:rPr>
          <w:noProof/>
        </w:rPr>
      </w:r>
      <w:r>
        <w:rPr>
          <w:noProof/>
        </w:rPr>
        <w:fldChar w:fldCharType="separate"/>
      </w:r>
      <w:r>
        <w:rPr>
          <w:noProof/>
        </w:rPr>
        <w:t>205</w:t>
      </w:r>
      <w:r>
        <w:rPr>
          <w:noProof/>
        </w:rPr>
        <w:fldChar w:fldCharType="end"/>
      </w:r>
    </w:p>
    <w:p w:rsidR="00B833F1" w:rsidRDefault="00B833F1">
      <w:pPr>
        <w:pStyle w:val="TableofFigures"/>
        <w:rPr>
          <w:rFonts w:eastAsiaTheme="minorEastAsia" w:cstheme="minorBidi"/>
          <w:noProof/>
          <w:sz w:val="22"/>
          <w:szCs w:val="22"/>
        </w:rPr>
      </w:pPr>
      <w:r>
        <w:rPr>
          <w:noProof/>
        </w:rPr>
        <w:t>H.1</w:t>
      </w:r>
      <w:r>
        <w:rPr>
          <w:rFonts w:eastAsiaTheme="minorEastAsia" w:cstheme="minorBidi"/>
          <w:noProof/>
          <w:sz w:val="22"/>
          <w:szCs w:val="22"/>
        </w:rPr>
        <w:tab/>
      </w:r>
      <w:r>
        <w:rPr>
          <w:noProof/>
        </w:rPr>
        <w:t>Electricity emissions factors for end users</w:t>
      </w:r>
      <w:r>
        <w:rPr>
          <w:noProof/>
        </w:rPr>
        <w:tab/>
      </w:r>
      <w:r>
        <w:rPr>
          <w:noProof/>
        </w:rPr>
        <w:fldChar w:fldCharType="begin"/>
      </w:r>
      <w:r>
        <w:rPr>
          <w:noProof/>
        </w:rPr>
        <w:instrText xml:space="preserve"> PAGEREF _Toc530748507 \h </w:instrText>
      </w:r>
      <w:r>
        <w:rPr>
          <w:noProof/>
        </w:rPr>
      </w:r>
      <w:r>
        <w:rPr>
          <w:noProof/>
        </w:rPr>
        <w:fldChar w:fldCharType="separate"/>
      </w:r>
      <w:r>
        <w:rPr>
          <w:noProof/>
        </w:rPr>
        <w:t>206</w:t>
      </w:r>
      <w:r>
        <w:rPr>
          <w:noProof/>
        </w:rPr>
        <w:fldChar w:fldCharType="end"/>
      </w:r>
    </w:p>
    <w:p w:rsidR="00B833F1" w:rsidRDefault="00B833F1">
      <w:pPr>
        <w:pStyle w:val="TableofFigures"/>
        <w:rPr>
          <w:rFonts w:eastAsiaTheme="minorEastAsia" w:cstheme="minorBidi"/>
          <w:noProof/>
          <w:sz w:val="22"/>
          <w:szCs w:val="22"/>
        </w:rPr>
      </w:pPr>
      <w:r>
        <w:rPr>
          <w:noProof/>
        </w:rPr>
        <w:t>H.2</w:t>
      </w:r>
      <w:r>
        <w:rPr>
          <w:rFonts w:eastAsiaTheme="minorEastAsia" w:cstheme="minorBidi"/>
          <w:noProof/>
          <w:sz w:val="22"/>
          <w:szCs w:val="22"/>
        </w:rPr>
        <w:tab/>
      </w:r>
      <w:r>
        <w:rPr>
          <w:noProof/>
        </w:rPr>
        <w:t>Electricity emissions factors over time</w:t>
      </w:r>
      <w:r>
        <w:rPr>
          <w:noProof/>
        </w:rPr>
        <w:tab/>
      </w:r>
      <w:r>
        <w:rPr>
          <w:noProof/>
        </w:rPr>
        <w:fldChar w:fldCharType="begin"/>
      </w:r>
      <w:r>
        <w:rPr>
          <w:noProof/>
        </w:rPr>
        <w:instrText xml:space="preserve"> PAGEREF _Toc530748508 \h </w:instrText>
      </w:r>
      <w:r>
        <w:rPr>
          <w:noProof/>
        </w:rPr>
      </w:r>
      <w:r>
        <w:rPr>
          <w:noProof/>
        </w:rPr>
        <w:fldChar w:fldCharType="separate"/>
      </w:r>
      <w:r>
        <w:rPr>
          <w:noProof/>
        </w:rPr>
        <w:t>206</w:t>
      </w:r>
      <w:r>
        <w:rPr>
          <w:noProof/>
        </w:rPr>
        <w:fldChar w:fldCharType="end"/>
      </w:r>
    </w:p>
    <w:p w:rsidR="00B833F1" w:rsidRDefault="00B833F1">
      <w:pPr>
        <w:pStyle w:val="TableofFigures"/>
        <w:rPr>
          <w:rFonts w:eastAsiaTheme="minorEastAsia" w:cstheme="minorBidi"/>
          <w:noProof/>
          <w:sz w:val="22"/>
          <w:szCs w:val="22"/>
        </w:rPr>
      </w:pPr>
      <w:r>
        <w:rPr>
          <w:noProof/>
        </w:rPr>
        <w:t>H.3</w:t>
      </w:r>
      <w:r>
        <w:rPr>
          <w:rFonts w:eastAsiaTheme="minorEastAsia" w:cstheme="minorBidi"/>
          <w:noProof/>
          <w:sz w:val="22"/>
          <w:szCs w:val="22"/>
        </w:rPr>
        <w:tab/>
      </w:r>
      <w:r>
        <w:rPr>
          <w:noProof/>
        </w:rPr>
        <w:t>Natural gas emissions factors</w:t>
      </w:r>
      <w:r>
        <w:rPr>
          <w:noProof/>
        </w:rPr>
        <w:tab/>
      </w:r>
      <w:r>
        <w:rPr>
          <w:noProof/>
        </w:rPr>
        <w:fldChar w:fldCharType="begin"/>
      </w:r>
      <w:r>
        <w:rPr>
          <w:noProof/>
        </w:rPr>
        <w:instrText xml:space="preserve"> PAGEREF _Toc530748509 \h </w:instrText>
      </w:r>
      <w:r>
        <w:rPr>
          <w:noProof/>
        </w:rPr>
      </w:r>
      <w:r>
        <w:rPr>
          <w:noProof/>
        </w:rPr>
        <w:fldChar w:fldCharType="separate"/>
      </w:r>
      <w:r>
        <w:rPr>
          <w:noProof/>
        </w:rPr>
        <w:t>207</w:t>
      </w:r>
      <w:r>
        <w:rPr>
          <w:noProof/>
        </w:rPr>
        <w:fldChar w:fldCharType="end"/>
      </w:r>
    </w:p>
    <w:p w:rsidR="00B833F1" w:rsidRDefault="00B833F1">
      <w:pPr>
        <w:pStyle w:val="TableofFigures"/>
        <w:rPr>
          <w:rFonts w:eastAsiaTheme="minorEastAsia" w:cstheme="minorBidi"/>
          <w:noProof/>
          <w:sz w:val="22"/>
          <w:szCs w:val="22"/>
        </w:rPr>
      </w:pPr>
      <w:r>
        <w:rPr>
          <w:noProof/>
        </w:rPr>
        <w:t>H.6</w:t>
      </w:r>
      <w:r>
        <w:rPr>
          <w:rFonts w:eastAsiaTheme="minorEastAsia" w:cstheme="minorBidi"/>
          <w:noProof/>
          <w:sz w:val="22"/>
          <w:szCs w:val="22"/>
        </w:rPr>
        <w:tab/>
      </w:r>
      <w:r>
        <w:rPr>
          <w:noProof/>
        </w:rPr>
        <w:t>Social cost of carbon estimates</w:t>
      </w:r>
      <w:r>
        <w:rPr>
          <w:noProof/>
        </w:rPr>
        <w:tab/>
      </w:r>
      <w:r>
        <w:rPr>
          <w:noProof/>
        </w:rPr>
        <w:fldChar w:fldCharType="begin"/>
      </w:r>
      <w:r>
        <w:rPr>
          <w:noProof/>
        </w:rPr>
        <w:instrText xml:space="preserve"> PAGEREF _Toc530748510 \h </w:instrText>
      </w:r>
      <w:r>
        <w:rPr>
          <w:noProof/>
        </w:rPr>
      </w:r>
      <w:r>
        <w:rPr>
          <w:noProof/>
        </w:rPr>
        <w:fldChar w:fldCharType="separate"/>
      </w:r>
      <w:r>
        <w:rPr>
          <w:noProof/>
        </w:rPr>
        <w:t>208</w:t>
      </w:r>
      <w:r>
        <w:rPr>
          <w:noProof/>
        </w:rPr>
        <w:fldChar w:fldCharType="end"/>
      </w:r>
    </w:p>
    <w:p w:rsidR="00B833F1" w:rsidRDefault="00B833F1">
      <w:pPr>
        <w:pStyle w:val="TableofFigures"/>
        <w:rPr>
          <w:rFonts w:eastAsiaTheme="minorEastAsia" w:cstheme="minorBidi"/>
          <w:noProof/>
          <w:sz w:val="22"/>
          <w:szCs w:val="22"/>
        </w:rPr>
      </w:pPr>
      <w:r>
        <w:rPr>
          <w:noProof/>
        </w:rPr>
        <w:t>I.1</w:t>
      </w:r>
      <w:r>
        <w:rPr>
          <w:rFonts w:eastAsiaTheme="minorEastAsia" w:cstheme="minorBidi"/>
          <w:noProof/>
          <w:sz w:val="22"/>
          <w:szCs w:val="22"/>
        </w:rPr>
        <w:tab/>
      </w:r>
      <w:r>
        <w:rPr>
          <w:noProof/>
        </w:rPr>
        <w:t>Net benefits to New South Wales — low realisation scenario</w:t>
      </w:r>
      <w:r>
        <w:rPr>
          <w:noProof/>
        </w:rPr>
        <w:tab/>
      </w:r>
      <w:r>
        <w:rPr>
          <w:noProof/>
        </w:rPr>
        <w:fldChar w:fldCharType="begin"/>
      </w:r>
      <w:r>
        <w:rPr>
          <w:noProof/>
        </w:rPr>
        <w:instrText xml:space="preserve"> PAGEREF _Toc530748511 \h </w:instrText>
      </w:r>
      <w:r>
        <w:rPr>
          <w:noProof/>
        </w:rPr>
      </w:r>
      <w:r>
        <w:rPr>
          <w:noProof/>
        </w:rPr>
        <w:fldChar w:fldCharType="separate"/>
      </w:r>
      <w:r>
        <w:rPr>
          <w:noProof/>
        </w:rPr>
        <w:t>209</w:t>
      </w:r>
      <w:r>
        <w:rPr>
          <w:noProof/>
        </w:rPr>
        <w:fldChar w:fldCharType="end"/>
      </w:r>
    </w:p>
    <w:p w:rsidR="00B833F1" w:rsidRDefault="00B833F1">
      <w:pPr>
        <w:pStyle w:val="TableofFigures"/>
        <w:rPr>
          <w:rFonts w:eastAsiaTheme="minorEastAsia" w:cstheme="minorBidi"/>
          <w:noProof/>
          <w:sz w:val="22"/>
          <w:szCs w:val="22"/>
        </w:rPr>
      </w:pPr>
      <w:r>
        <w:rPr>
          <w:noProof/>
        </w:rPr>
        <w:t>I.2</w:t>
      </w:r>
      <w:r>
        <w:rPr>
          <w:rFonts w:eastAsiaTheme="minorEastAsia" w:cstheme="minorBidi"/>
          <w:noProof/>
          <w:sz w:val="22"/>
          <w:szCs w:val="22"/>
        </w:rPr>
        <w:tab/>
      </w:r>
      <w:r>
        <w:rPr>
          <w:noProof/>
        </w:rPr>
        <w:t>Net benefits to New South Wales — medium realisation scenario</w:t>
      </w:r>
      <w:r>
        <w:rPr>
          <w:noProof/>
        </w:rPr>
        <w:tab/>
      </w:r>
      <w:r>
        <w:rPr>
          <w:noProof/>
        </w:rPr>
        <w:fldChar w:fldCharType="begin"/>
      </w:r>
      <w:r>
        <w:rPr>
          <w:noProof/>
        </w:rPr>
        <w:instrText xml:space="preserve"> PAGEREF _Toc530748512 \h </w:instrText>
      </w:r>
      <w:r>
        <w:rPr>
          <w:noProof/>
        </w:rPr>
      </w:r>
      <w:r>
        <w:rPr>
          <w:noProof/>
        </w:rPr>
        <w:fldChar w:fldCharType="separate"/>
      </w:r>
      <w:r>
        <w:rPr>
          <w:noProof/>
        </w:rPr>
        <w:t>210</w:t>
      </w:r>
      <w:r>
        <w:rPr>
          <w:noProof/>
        </w:rPr>
        <w:fldChar w:fldCharType="end"/>
      </w:r>
    </w:p>
    <w:p w:rsidR="00B833F1" w:rsidRDefault="00B833F1">
      <w:pPr>
        <w:pStyle w:val="TableofFigures"/>
        <w:rPr>
          <w:rFonts w:eastAsiaTheme="minorEastAsia" w:cstheme="minorBidi"/>
          <w:noProof/>
          <w:sz w:val="22"/>
          <w:szCs w:val="22"/>
        </w:rPr>
      </w:pPr>
      <w:r>
        <w:rPr>
          <w:noProof/>
        </w:rPr>
        <w:t>I.3</w:t>
      </w:r>
      <w:r>
        <w:rPr>
          <w:rFonts w:eastAsiaTheme="minorEastAsia" w:cstheme="minorBidi"/>
          <w:noProof/>
          <w:sz w:val="22"/>
          <w:szCs w:val="22"/>
        </w:rPr>
        <w:tab/>
      </w:r>
      <w:r>
        <w:rPr>
          <w:noProof/>
        </w:rPr>
        <w:t>Net benefits to New South Wales — high realisation scenario</w:t>
      </w:r>
      <w:r>
        <w:rPr>
          <w:noProof/>
        </w:rPr>
        <w:tab/>
      </w:r>
      <w:r>
        <w:rPr>
          <w:noProof/>
        </w:rPr>
        <w:fldChar w:fldCharType="begin"/>
      </w:r>
      <w:r>
        <w:rPr>
          <w:noProof/>
        </w:rPr>
        <w:instrText xml:space="preserve"> PAGEREF _Toc530748513 \h </w:instrText>
      </w:r>
      <w:r>
        <w:rPr>
          <w:noProof/>
        </w:rPr>
      </w:r>
      <w:r>
        <w:rPr>
          <w:noProof/>
        </w:rPr>
        <w:fldChar w:fldCharType="separate"/>
      </w:r>
      <w:r>
        <w:rPr>
          <w:noProof/>
        </w:rPr>
        <w:t>212</w:t>
      </w:r>
      <w:r>
        <w:rPr>
          <w:noProof/>
        </w:rPr>
        <w:fldChar w:fldCharType="end"/>
      </w:r>
    </w:p>
    <w:p w:rsidR="00B833F1" w:rsidRDefault="00B833F1">
      <w:pPr>
        <w:pStyle w:val="TableofFigures"/>
        <w:rPr>
          <w:rFonts w:eastAsiaTheme="minorEastAsia" w:cstheme="minorBidi"/>
          <w:noProof/>
          <w:sz w:val="22"/>
          <w:szCs w:val="22"/>
        </w:rPr>
      </w:pPr>
      <w:r>
        <w:rPr>
          <w:noProof/>
        </w:rPr>
        <w:t>I.4</w:t>
      </w:r>
      <w:r>
        <w:rPr>
          <w:rFonts w:eastAsiaTheme="minorEastAsia" w:cstheme="minorBidi"/>
          <w:noProof/>
          <w:sz w:val="22"/>
          <w:szCs w:val="22"/>
        </w:rPr>
        <w:tab/>
      </w:r>
      <w:r>
        <w:rPr>
          <w:noProof/>
        </w:rPr>
        <w:t>Net benefits to Victoria — low realisation scenario</w:t>
      </w:r>
      <w:r>
        <w:rPr>
          <w:noProof/>
        </w:rPr>
        <w:tab/>
      </w:r>
      <w:r>
        <w:rPr>
          <w:noProof/>
        </w:rPr>
        <w:fldChar w:fldCharType="begin"/>
      </w:r>
      <w:r>
        <w:rPr>
          <w:noProof/>
        </w:rPr>
        <w:instrText xml:space="preserve"> PAGEREF _Toc530748514 \h </w:instrText>
      </w:r>
      <w:r>
        <w:rPr>
          <w:noProof/>
        </w:rPr>
      </w:r>
      <w:r>
        <w:rPr>
          <w:noProof/>
        </w:rPr>
        <w:fldChar w:fldCharType="separate"/>
      </w:r>
      <w:r>
        <w:rPr>
          <w:noProof/>
        </w:rPr>
        <w:t>213</w:t>
      </w:r>
      <w:r>
        <w:rPr>
          <w:noProof/>
        </w:rPr>
        <w:fldChar w:fldCharType="end"/>
      </w:r>
    </w:p>
    <w:p w:rsidR="00B833F1" w:rsidRDefault="00B833F1">
      <w:pPr>
        <w:pStyle w:val="TableofFigures"/>
        <w:rPr>
          <w:rFonts w:eastAsiaTheme="minorEastAsia" w:cstheme="minorBidi"/>
          <w:noProof/>
          <w:sz w:val="22"/>
          <w:szCs w:val="22"/>
        </w:rPr>
      </w:pPr>
      <w:r>
        <w:rPr>
          <w:noProof/>
        </w:rPr>
        <w:t>I.5</w:t>
      </w:r>
      <w:r>
        <w:rPr>
          <w:rFonts w:eastAsiaTheme="minorEastAsia" w:cstheme="minorBidi"/>
          <w:noProof/>
          <w:sz w:val="22"/>
          <w:szCs w:val="22"/>
        </w:rPr>
        <w:tab/>
      </w:r>
      <w:r>
        <w:rPr>
          <w:noProof/>
        </w:rPr>
        <w:t>Net benefits to Victoria — medium realisation scenario</w:t>
      </w:r>
      <w:r>
        <w:rPr>
          <w:noProof/>
        </w:rPr>
        <w:tab/>
      </w:r>
      <w:r>
        <w:rPr>
          <w:noProof/>
        </w:rPr>
        <w:fldChar w:fldCharType="begin"/>
      </w:r>
      <w:r>
        <w:rPr>
          <w:noProof/>
        </w:rPr>
        <w:instrText xml:space="preserve"> PAGEREF _Toc530748515 \h </w:instrText>
      </w:r>
      <w:r>
        <w:rPr>
          <w:noProof/>
        </w:rPr>
      </w:r>
      <w:r>
        <w:rPr>
          <w:noProof/>
        </w:rPr>
        <w:fldChar w:fldCharType="separate"/>
      </w:r>
      <w:r>
        <w:rPr>
          <w:noProof/>
        </w:rPr>
        <w:t>214</w:t>
      </w:r>
      <w:r>
        <w:rPr>
          <w:noProof/>
        </w:rPr>
        <w:fldChar w:fldCharType="end"/>
      </w:r>
    </w:p>
    <w:p w:rsidR="00B833F1" w:rsidRDefault="00B833F1">
      <w:pPr>
        <w:pStyle w:val="TableofFigures"/>
        <w:rPr>
          <w:rFonts w:eastAsiaTheme="minorEastAsia" w:cstheme="minorBidi"/>
          <w:noProof/>
          <w:sz w:val="22"/>
          <w:szCs w:val="22"/>
        </w:rPr>
      </w:pPr>
      <w:r>
        <w:rPr>
          <w:noProof/>
        </w:rPr>
        <w:t>I.6</w:t>
      </w:r>
      <w:r>
        <w:rPr>
          <w:rFonts w:eastAsiaTheme="minorEastAsia" w:cstheme="minorBidi"/>
          <w:noProof/>
          <w:sz w:val="22"/>
          <w:szCs w:val="22"/>
        </w:rPr>
        <w:tab/>
      </w:r>
      <w:r>
        <w:rPr>
          <w:noProof/>
        </w:rPr>
        <w:t>Net benefits to Victoria — high realisation scenario</w:t>
      </w:r>
      <w:r>
        <w:rPr>
          <w:noProof/>
        </w:rPr>
        <w:tab/>
      </w:r>
      <w:r>
        <w:rPr>
          <w:noProof/>
        </w:rPr>
        <w:fldChar w:fldCharType="begin"/>
      </w:r>
      <w:r>
        <w:rPr>
          <w:noProof/>
        </w:rPr>
        <w:instrText xml:space="preserve"> PAGEREF _Toc530748516 \h </w:instrText>
      </w:r>
      <w:r>
        <w:rPr>
          <w:noProof/>
        </w:rPr>
      </w:r>
      <w:r>
        <w:rPr>
          <w:noProof/>
        </w:rPr>
        <w:fldChar w:fldCharType="separate"/>
      </w:r>
      <w:r>
        <w:rPr>
          <w:noProof/>
        </w:rPr>
        <w:t>216</w:t>
      </w:r>
      <w:r>
        <w:rPr>
          <w:noProof/>
        </w:rPr>
        <w:fldChar w:fldCharType="end"/>
      </w:r>
    </w:p>
    <w:p w:rsidR="00B833F1" w:rsidRDefault="00B833F1">
      <w:pPr>
        <w:pStyle w:val="TableofFigures"/>
        <w:rPr>
          <w:rFonts w:eastAsiaTheme="minorEastAsia" w:cstheme="minorBidi"/>
          <w:noProof/>
          <w:sz w:val="22"/>
          <w:szCs w:val="22"/>
        </w:rPr>
      </w:pPr>
      <w:r>
        <w:rPr>
          <w:noProof/>
        </w:rPr>
        <w:t>I.7</w:t>
      </w:r>
      <w:r>
        <w:rPr>
          <w:rFonts w:eastAsiaTheme="minorEastAsia" w:cstheme="minorBidi"/>
          <w:noProof/>
          <w:sz w:val="22"/>
          <w:szCs w:val="22"/>
        </w:rPr>
        <w:tab/>
      </w:r>
      <w:r>
        <w:rPr>
          <w:noProof/>
        </w:rPr>
        <w:t>Net benefits to Queensland — low realisation scenario</w:t>
      </w:r>
      <w:r>
        <w:rPr>
          <w:noProof/>
        </w:rPr>
        <w:tab/>
      </w:r>
      <w:r>
        <w:rPr>
          <w:noProof/>
        </w:rPr>
        <w:fldChar w:fldCharType="begin"/>
      </w:r>
      <w:r>
        <w:rPr>
          <w:noProof/>
        </w:rPr>
        <w:instrText xml:space="preserve"> PAGEREF _Toc530748517 \h </w:instrText>
      </w:r>
      <w:r>
        <w:rPr>
          <w:noProof/>
        </w:rPr>
      </w:r>
      <w:r>
        <w:rPr>
          <w:noProof/>
        </w:rPr>
        <w:fldChar w:fldCharType="separate"/>
      </w:r>
      <w:r>
        <w:rPr>
          <w:noProof/>
        </w:rPr>
        <w:t>217</w:t>
      </w:r>
      <w:r>
        <w:rPr>
          <w:noProof/>
        </w:rPr>
        <w:fldChar w:fldCharType="end"/>
      </w:r>
    </w:p>
    <w:p w:rsidR="00B833F1" w:rsidRDefault="00B833F1">
      <w:pPr>
        <w:pStyle w:val="TableofFigures"/>
        <w:rPr>
          <w:rFonts w:eastAsiaTheme="minorEastAsia" w:cstheme="minorBidi"/>
          <w:noProof/>
          <w:sz w:val="22"/>
          <w:szCs w:val="22"/>
        </w:rPr>
      </w:pPr>
      <w:r>
        <w:rPr>
          <w:noProof/>
        </w:rPr>
        <w:t>I.8</w:t>
      </w:r>
      <w:r>
        <w:rPr>
          <w:rFonts w:eastAsiaTheme="minorEastAsia" w:cstheme="minorBidi"/>
          <w:noProof/>
          <w:sz w:val="22"/>
          <w:szCs w:val="22"/>
        </w:rPr>
        <w:tab/>
      </w:r>
      <w:r>
        <w:rPr>
          <w:noProof/>
        </w:rPr>
        <w:t>Net benefits to Queensland — medium realisation scenario</w:t>
      </w:r>
      <w:r>
        <w:rPr>
          <w:noProof/>
        </w:rPr>
        <w:tab/>
      </w:r>
      <w:r>
        <w:rPr>
          <w:noProof/>
        </w:rPr>
        <w:fldChar w:fldCharType="begin"/>
      </w:r>
      <w:r>
        <w:rPr>
          <w:noProof/>
        </w:rPr>
        <w:instrText xml:space="preserve"> PAGEREF _Toc530748518 \h </w:instrText>
      </w:r>
      <w:r>
        <w:rPr>
          <w:noProof/>
        </w:rPr>
      </w:r>
      <w:r>
        <w:rPr>
          <w:noProof/>
        </w:rPr>
        <w:fldChar w:fldCharType="separate"/>
      </w:r>
      <w:r>
        <w:rPr>
          <w:noProof/>
        </w:rPr>
        <w:t>218</w:t>
      </w:r>
      <w:r>
        <w:rPr>
          <w:noProof/>
        </w:rPr>
        <w:fldChar w:fldCharType="end"/>
      </w:r>
    </w:p>
    <w:p w:rsidR="00B833F1" w:rsidRDefault="00B833F1">
      <w:pPr>
        <w:pStyle w:val="TableofFigures"/>
        <w:rPr>
          <w:rFonts w:eastAsiaTheme="minorEastAsia" w:cstheme="minorBidi"/>
          <w:noProof/>
          <w:sz w:val="22"/>
          <w:szCs w:val="22"/>
        </w:rPr>
      </w:pPr>
      <w:r>
        <w:rPr>
          <w:noProof/>
        </w:rPr>
        <w:t>I.9</w:t>
      </w:r>
      <w:r>
        <w:rPr>
          <w:rFonts w:eastAsiaTheme="minorEastAsia" w:cstheme="minorBidi"/>
          <w:noProof/>
          <w:sz w:val="22"/>
          <w:szCs w:val="22"/>
        </w:rPr>
        <w:tab/>
      </w:r>
      <w:r>
        <w:rPr>
          <w:noProof/>
        </w:rPr>
        <w:t>Net benefits to Queensland — high realisation scenario</w:t>
      </w:r>
      <w:r>
        <w:rPr>
          <w:noProof/>
        </w:rPr>
        <w:tab/>
      </w:r>
      <w:r>
        <w:rPr>
          <w:noProof/>
        </w:rPr>
        <w:fldChar w:fldCharType="begin"/>
      </w:r>
      <w:r>
        <w:rPr>
          <w:noProof/>
        </w:rPr>
        <w:instrText xml:space="preserve"> PAGEREF _Toc530748519 \h </w:instrText>
      </w:r>
      <w:r>
        <w:rPr>
          <w:noProof/>
        </w:rPr>
      </w:r>
      <w:r>
        <w:rPr>
          <w:noProof/>
        </w:rPr>
        <w:fldChar w:fldCharType="separate"/>
      </w:r>
      <w:r>
        <w:rPr>
          <w:noProof/>
        </w:rPr>
        <w:t>220</w:t>
      </w:r>
      <w:r>
        <w:rPr>
          <w:noProof/>
        </w:rPr>
        <w:fldChar w:fldCharType="end"/>
      </w:r>
    </w:p>
    <w:p w:rsidR="00B833F1" w:rsidRDefault="00B833F1">
      <w:pPr>
        <w:pStyle w:val="TableofFigures"/>
        <w:rPr>
          <w:rFonts w:eastAsiaTheme="minorEastAsia" w:cstheme="minorBidi"/>
          <w:noProof/>
          <w:sz w:val="22"/>
          <w:szCs w:val="22"/>
        </w:rPr>
      </w:pPr>
      <w:r>
        <w:rPr>
          <w:noProof/>
        </w:rPr>
        <w:t>I.10</w:t>
      </w:r>
      <w:r>
        <w:rPr>
          <w:rFonts w:eastAsiaTheme="minorEastAsia" w:cstheme="minorBidi"/>
          <w:noProof/>
          <w:sz w:val="22"/>
          <w:szCs w:val="22"/>
        </w:rPr>
        <w:tab/>
      </w:r>
      <w:r>
        <w:rPr>
          <w:noProof/>
        </w:rPr>
        <w:t>Net benefits to South Australia — low realisation scenario</w:t>
      </w:r>
      <w:r>
        <w:rPr>
          <w:noProof/>
        </w:rPr>
        <w:tab/>
      </w:r>
      <w:r>
        <w:rPr>
          <w:noProof/>
        </w:rPr>
        <w:fldChar w:fldCharType="begin"/>
      </w:r>
      <w:r>
        <w:rPr>
          <w:noProof/>
        </w:rPr>
        <w:instrText xml:space="preserve"> PAGEREF _Toc530748520 \h </w:instrText>
      </w:r>
      <w:r>
        <w:rPr>
          <w:noProof/>
        </w:rPr>
      </w:r>
      <w:r>
        <w:rPr>
          <w:noProof/>
        </w:rPr>
        <w:fldChar w:fldCharType="separate"/>
      </w:r>
      <w:r>
        <w:rPr>
          <w:noProof/>
        </w:rPr>
        <w:t>221</w:t>
      </w:r>
      <w:r>
        <w:rPr>
          <w:noProof/>
        </w:rPr>
        <w:fldChar w:fldCharType="end"/>
      </w:r>
    </w:p>
    <w:p w:rsidR="00B833F1" w:rsidRDefault="00B833F1">
      <w:pPr>
        <w:pStyle w:val="TableofFigures"/>
        <w:rPr>
          <w:rFonts w:eastAsiaTheme="minorEastAsia" w:cstheme="minorBidi"/>
          <w:noProof/>
          <w:sz w:val="22"/>
          <w:szCs w:val="22"/>
        </w:rPr>
      </w:pPr>
      <w:r>
        <w:rPr>
          <w:noProof/>
        </w:rPr>
        <w:t>I.11</w:t>
      </w:r>
      <w:r>
        <w:rPr>
          <w:rFonts w:eastAsiaTheme="minorEastAsia" w:cstheme="minorBidi"/>
          <w:noProof/>
          <w:sz w:val="22"/>
          <w:szCs w:val="22"/>
        </w:rPr>
        <w:tab/>
      </w:r>
      <w:r>
        <w:rPr>
          <w:noProof/>
        </w:rPr>
        <w:t>Net benefits to South Australia — medium realisation scenario</w:t>
      </w:r>
      <w:r>
        <w:rPr>
          <w:noProof/>
        </w:rPr>
        <w:tab/>
      </w:r>
      <w:r>
        <w:rPr>
          <w:noProof/>
        </w:rPr>
        <w:fldChar w:fldCharType="begin"/>
      </w:r>
      <w:r>
        <w:rPr>
          <w:noProof/>
        </w:rPr>
        <w:instrText xml:space="preserve"> PAGEREF _Toc530748521 \h </w:instrText>
      </w:r>
      <w:r>
        <w:rPr>
          <w:noProof/>
        </w:rPr>
      </w:r>
      <w:r>
        <w:rPr>
          <w:noProof/>
        </w:rPr>
        <w:fldChar w:fldCharType="separate"/>
      </w:r>
      <w:r>
        <w:rPr>
          <w:noProof/>
        </w:rPr>
        <w:t>222</w:t>
      </w:r>
      <w:r>
        <w:rPr>
          <w:noProof/>
        </w:rPr>
        <w:fldChar w:fldCharType="end"/>
      </w:r>
    </w:p>
    <w:p w:rsidR="00B833F1" w:rsidRDefault="00B833F1">
      <w:pPr>
        <w:pStyle w:val="TableofFigures"/>
        <w:rPr>
          <w:rFonts w:eastAsiaTheme="minorEastAsia" w:cstheme="minorBidi"/>
          <w:noProof/>
          <w:sz w:val="22"/>
          <w:szCs w:val="22"/>
        </w:rPr>
      </w:pPr>
      <w:r>
        <w:rPr>
          <w:noProof/>
        </w:rPr>
        <w:t>I.12</w:t>
      </w:r>
      <w:r>
        <w:rPr>
          <w:rFonts w:eastAsiaTheme="minorEastAsia" w:cstheme="minorBidi"/>
          <w:noProof/>
          <w:sz w:val="22"/>
          <w:szCs w:val="22"/>
        </w:rPr>
        <w:tab/>
      </w:r>
      <w:r>
        <w:rPr>
          <w:noProof/>
        </w:rPr>
        <w:t>Net benefits to South Australia — high realisation scenario</w:t>
      </w:r>
      <w:r>
        <w:rPr>
          <w:noProof/>
        </w:rPr>
        <w:tab/>
      </w:r>
      <w:r>
        <w:rPr>
          <w:noProof/>
        </w:rPr>
        <w:fldChar w:fldCharType="begin"/>
      </w:r>
      <w:r>
        <w:rPr>
          <w:noProof/>
        </w:rPr>
        <w:instrText xml:space="preserve"> PAGEREF _Toc530748522 \h </w:instrText>
      </w:r>
      <w:r>
        <w:rPr>
          <w:noProof/>
        </w:rPr>
      </w:r>
      <w:r>
        <w:rPr>
          <w:noProof/>
        </w:rPr>
        <w:fldChar w:fldCharType="separate"/>
      </w:r>
      <w:r>
        <w:rPr>
          <w:noProof/>
        </w:rPr>
        <w:t>224</w:t>
      </w:r>
      <w:r>
        <w:rPr>
          <w:noProof/>
        </w:rPr>
        <w:fldChar w:fldCharType="end"/>
      </w:r>
    </w:p>
    <w:p w:rsidR="00B833F1" w:rsidRDefault="00B833F1">
      <w:pPr>
        <w:pStyle w:val="TableofFigures"/>
        <w:rPr>
          <w:rFonts w:eastAsiaTheme="minorEastAsia" w:cstheme="minorBidi"/>
          <w:noProof/>
          <w:sz w:val="22"/>
          <w:szCs w:val="22"/>
        </w:rPr>
      </w:pPr>
      <w:r>
        <w:rPr>
          <w:noProof/>
        </w:rPr>
        <w:t>I.13</w:t>
      </w:r>
      <w:r>
        <w:rPr>
          <w:rFonts w:eastAsiaTheme="minorEastAsia" w:cstheme="minorBidi"/>
          <w:noProof/>
          <w:sz w:val="22"/>
          <w:szCs w:val="22"/>
        </w:rPr>
        <w:tab/>
      </w:r>
      <w:r>
        <w:rPr>
          <w:noProof/>
        </w:rPr>
        <w:t>Net benefits to Western Australia — low realisation scenario</w:t>
      </w:r>
      <w:r>
        <w:rPr>
          <w:noProof/>
        </w:rPr>
        <w:tab/>
      </w:r>
      <w:r>
        <w:rPr>
          <w:noProof/>
        </w:rPr>
        <w:fldChar w:fldCharType="begin"/>
      </w:r>
      <w:r>
        <w:rPr>
          <w:noProof/>
        </w:rPr>
        <w:instrText xml:space="preserve"> PAGEREF _Toc530748523 \h </w:instrText>
      </w:r>
      <w:r>
        <w:rPr>
          <w:noProof/>
        </w:rPr>
      </w:r>
      <w:r>
        <w:rPr>
          <w:noProof/>
        </w:rPr>
        <w:fldChar w:fldCharType="separate"/>
      </w:r>
      <w:r>
        <w:rPr>
          <w:noProof/>
        </w:rPr>
        <w:t>225</w:t>
      </w:r>
      <w:r>
        <w:rPr>
          <w:noProof/>
        </w:rPr>
        <w:fldChar w:fldCharType="end"/>
      </w:r>
    </w:p>
    <w:p w:rsidR="00B833F1" w:rsidRDefault="00B833F1">
      <w:pPr>
        <w:pStyle w:val="TableofFigures"/>
        <w:rPr>
          <w:rFonts w:eastAsiaTheme="minorEastAsia" w:cstheme="minorBidi"/>
          <w:noProof/>
          <w:sz w:val="22"/>
          <w:szCs w:val="22"/>
        </w:rPr>
      </w:pPr>
      <w:r>
        <w:rPr>
          <w:noProof/>
        </w:rPr>
        <w:t>I.14</w:t>
      </w:r>
      <w:r>
        <w:rPr>
          <w:rFonts w:eastAsiaTheme="minorEastAsia" w:cstheme="minorBidi"/>
          <w:noProof/>
          <w:sz w:val="22"/>
          <w:szCs w:val="22"/>
        </w:rPr>
        <w:tab/>
      </w:r>
      <w:r>
        <w:rPr>
          <w:noProof/>
        </w:rPr>
        <w:t>Net benefits to Western Australia — medium realisation scenario</w:t>
      </w:r>
      <w:r>
        <w:rPr>
          <w:noProof/>
        </w:rPr>
        <w:tab/>
      </w:r>
      <w:r>
        <w:rPr>
          <w:noProof/>
        </w:rPr>
        <w:fldChar w:fldCharType="begin"/>
      </w:r>
      <w:r>
        <w:rPr>
          <w:noProof/>
        </w:rPr>
        <w:instrText xml:space="preserve"> PAGEREF _Toc530748524 \h </w:instrText>
      </w:r>
      <w:r>
        <w:rPr>
          <w:noProof/>
        </w:rPr>
      </w:r>
      <w:r>
        <w:rPr>
          <w:noProof/>
        </w:rPr>
        <w:fldChar w:fldCharType="separate"/>
      </w:r>
      <w:r>
        <w:rPr>
          <w:noProof/>
        </w:rPr>
        <w:t>226</w:t>
      </w:r>
      <w:r>
        <w:rPr>
          <w:noProof/>
        </w:rPr>
        <w:fldChar w:fldCharType="end"/>
      </w:r>
    </w:p>
    <w:p w:rsidR="00B833F1" w:rsidRDefault="00B833F1">
      <w:pPr>
        <w:pStyle w:val="TableofFigures"/>
        <w:rPr>
          <w:rFonts w:eastAsiaTheme="minorEastAsia" w:cstheme="minorBidi"/>
          <w:noProof/>
          <w:sz w:val="22"/>
          <w:szCs w:val="22"/>
        </w:rPr>
      </w:pPr>
      <w:r>
        <w:rPr>
          <w:noProof/>
        </w:rPr>
        <w:t>I.15</w:t>
      </w:r>
      <w:r>
        <w:rPr>
          <w:rFonts w:eastAsiaTheme="minorEastAsia" w:cstheme="minorBidi"/>
          <w:noProof/>
          <w:sz w:val="22"/>
          <w:szCs w:val="22"/>
        </w:rPr>
        <w:tab/>
      </w:r>
      <w:r>
        <w:rPr>
          <w:noProof/>
        </w:rPr>
        <w:t>Net benefits to Western Australia — high realisation scenario</w:t>
      </w:r>
      <w:r>
        <w:rPr>
          <w:noProof/>
        </w:rPr>
        <w:tab/>
      </w:r>
      <w:r>
        <w:rPr>
          <w:noProof/>
        </w:rPr>
        <w:fldChar w:fldCharType="begin"/>
      </w:r>
      <w:r>
        <w:rPr>
          <w:noProof/>
        </w:rPr>
        <w:instrText xml:space="preserve"> PAGEREF _Toc530748525 \h </w:instrText>
      </w:r>
      <w:r>
        <w:rPr>
          <w:noProof/>
        </w:rPr>
      </w:r>
      <w:r>
        <w:rPr>
          <w:noProof/>
        </w:rPr>
        <w:fldChar w:fldCharType="separate"/>
      </w:r>
      <w:r>
        <w:rPr>
          <w:noProof/>
        </w:rPr>
        <w:t>228</w:t>
      </w:r>
      <w:r>
        <w:rPr>
          <w:noProof/>
        </w:rPr>
        <w:fldChar w:fldCharType="end"/>
      </w:r>
    </w:p>
    <w:p w:rsidR="00B833F1" w:rsidRDefault="00B833F1">
      <w:pPr>
        <w:pStyle w:val="TableofFigures"/>
        <w:rPr>
          <w:rFonts w:eastAsiaTheme="minorEastAsia" w:cstheme="minorBidi"/>
          <w:noProof/>
          <w:sz w:val="22"/>
          <w:szCs w:val="22"/>
        </w:rPr>
      </w:pPr>
      <w:r>
        <w:rPr>
          <w:noProof/>
        </w:rPr>
        <w:t>I.16</w:t>
      </w:r>
      <w:r>
        <w:rPr>
          <w:rFonts w:eastAsiaTheme="minorEastAsia" w:cstheme="minorBidi"/>
          <w:noProof/>
          <w:sz w:val="22"/>
          <w:szCs w:val="22"/>
        </w:rPr>
        <w:tab/>
      </w:r>
      <w:r>
        <w:rPr>
          <w:noProof/>
        </w:rPr>
        <w:t>Net benefits to Tasmania — low realisation scenario</w:t>
      </w:r>
      <w:r>
        <w:rPr>
          <w:noProof/>
        </w:rPr>
        <w:tab/>
      </w:r>
      <w:r>
        <w:rPr>
          <w:noProof/>
        </w:rPr>
        <w:fldChar w:fldCharType="begin"/>
      </w:r>
      <w:r>
        <w:rPr>
          <w:noProof/>
        </w:rPr>
        <w:instrText xml:space="preserve"> PAGEREF _Toc530748526 \h </w:instrText>
      </w:r>
      <w:r>
        <w:rPr>
          <w:noProof/>
        </w:rPr>
      </w:r>
      <w:r>
        <w:rPr>
          <w:noProof/>
        </w:rPr>
        <w:fldChar w:fldCharType="separate"/>
      </w:r>
      <w:r>
        <w:rPr>
          <w:noProof/>
        </w:rPr>
        <w:t>229</w:t>
      </w:r>
      <w:r>
        <w:rPr>
          <w:noProof/>
        </w:rPr>
        <w:fldChar w:fldCharType="end"/>
      </w:r>
    </w:p>
    <w:p w:rsidR="00B833F1" w:rsidRDefault="00B833F1">
      <w:pPr>
        <w:pStyle w:val="TableofFigures"/>
        <w:rPr>
          <w:rFonts w:eastAsiaTheme="minorEastAsia" w:cstheme="minorBidi"/>
          <w:noProof/>
          <w:sz w:val="22"/>
          <w:szCs w:val="22"/>
        </w:rPr>
      </w:pPr>
      <w:r>
        <w:rPr>
          <w:noProof/>
        </w:rPr>
        <w:t>I.17</w:t>
      </w:r>
      <w:r>
        <w:rPr>
          <w:rFonts w:eastAsiaTheme="minorEastAsia" w:cstheme="minorBidi"/>
          <w:noProof/>
          <w:sz w:val="22"/>
          <w:szCs w:val="22"/>
        </w:rPr>
        <w:tab/>
      </w:r>
      <w:r>
        <w:rPr>
          <w:noProof/>
        </w:rPr>
        <w:t>Net benefits to Tasmania — medium realisation scenario</w:t>
      </w:r>
      <w:r>
        <w:rPr>
          <w:noProof/>
        </w:rPr>
        <w:tab/>
      </w:r>
      <w:r>
        <w:rPr>
          <w:noProof/>
        </w:rPr>
        <w:fldChar w:fldCharType="begin"/>
      </w:r>
      <w:r>
        <w:rPr>
          <w:noProof/>
        </w:rPr>
        <w:instrText xml:space="preserve"> PAGEREF _Toc530748527 \h </w:instrText>
      </w:r>
      <w:r>
        <w:rPr>
          <w:noProof/>
        </w:rPr>
      </w:r>
      <w:r>
        <w:rPr>
          <w:noProof/>
        </w:rPr>
        <w:fldChar w:fldCharType="separate"/>
      </w:r>
      <w:r>
        <w:rPr>
          <w:noProof/>
        </w:rPr>
        <w:t>230</w:t>
      </w:r>
      <w:r>
        <w:rPr>
          <w:noProof/>
        </w:rPr>
        <w:fldChar w:fldCharType="end"/>
      </w:r>
    </w:p>
    <w:p w:rsidR="00B833F1" w:rsidRDefault="00B833F1">
      <w:pPr>
        <w:pStyle w:val="TableofFigures"/>
        <w:rPr>
          <w:rFonts w:eastAsiaTheme="minorEastAsia" w:cstheme="minorBidi"/>
          <w:noProof/>
          <w:sz w:val="22"/>
          <w:szCs w:val="22"/>
        </w:rPr>
      </w:pPr>
      <w:r>
        <w:rPr>
          <w:noProof/>
        </w:rPr>
        <w:t>I.18</w:t>
      </w:r>
      <w:r>
        <w:rPr>
          <w:rFonts w:eastAsiaTheme="minorEastAsia" w:cstheme="minorBidi"/>
          <w:noProof/>
          <w:sz w:val="22"/>
          <w:szCs w:val="22"/>
        </w:rPr>
        <w:tab/>
      </w:r>
      <w:r>
        <w:rPr>
          <w:noProof/>
        </w:rPr>
        <w:t>Net benefits to Tasmania — high realisation scenario</w:t>
      </w:r>
      <w:r>
        <w:rPr>
          <w:noProof/>
        </w:rPr>
        <w:tab/>
      </w:r>
      <w:r>
        <w:rPr>
          <w:noProof/>
        </w:rPr>
        <w:fldChar w:fldCharType="begin"/>
      </w:r>
      <w:r>
        <w:rPr>
          <w:noProof/>
        </w:rPr>
        <w:instrText xml:space="preserve"> PAGEREF _Toc530748528 \h </w:instrText>
      </w:r>
      <w:r>
        <w:rPr>
          <w:noProof/>
        </w:rPr>
      </w:r>
      <w:r>
        <w:rPr>
          <w:noProof/>
        </w:rPr>
        <w:fldChar w:fldCharType="separate"/>
      </w:r>
      <w:r>
        <w:rPr>
          <w:noProof/>
        </w:rPr>
        <w:t>232</w:t>
      </w:r>
      <w:r>
        <w:rPr>
          <w:noProof/>
        </w:rPr>
        <w:fldChar w:fldCharType="end"/>
      </w:r>
    </w:p>
    <w:p w:rsidR="00B833F1" w:rsidRDefault="00B833F1">
      <w:pPr>
        <w:pStyle w:val="TableofFigures"/>
        <w:rPr>
          <w:rFonts w:eastAsiaTheme="minorEastAsia" w:cstheme="minorBidi"/>
          <w:noProof/>
          <w:sz w:val="22"/>
          <w:szCs w:val="22"/>
        </w:rPr>
      </w:pPr>
      <w:r>
        <w:rPr>
          <w:noProof/>
        </w:rPr>
        <w:t>I.19</w:t>
      </w:r>
      <w:r>
        <w:rPr>
          <w:rFonts w:eastAsiaTheme="minorEastAsia" w:cstheme="minorBidi"/>
          <w:noProof/>
          <w:sz w:val="22"/>
          <w:szCs w:val="22"/>
        </w:rPr>
        <w:tab/>
      </w:r>
      <w:r>
        <w:rPr>
          <w:noProof/>
        </w:rPr>
        <w:t>Net benefits to Australian Capital Territory — low realisation scenario</w:t>
      </w:r>
      <w:r>
        <w:rPr>
          <w:noProof/>
        </w:rPr>
        <w:tab/>
      </w:r>
      <w:r>
        <w:rPr>
          <w:noProof/>
        </w:rPr>
        <w:fldChar w:fldCharType="begin"/>
      </w:r>
      <w:r>
        <w:rPr>
          <w:noProof/>
        </w:rPr>
        <w:instrText xml:space="preserve"> PAGEREF _Toc530748529 \h </w:instrText>
      </w:r>
      <w:r>
        <w:rPr>
          <w:noProof/>
        </w:rPr>
      </w:r>
      <w:r>
        <w:rPr>
          <w:noProof/>
        </w:rPr>
        <w:fldChar w:fldCharType="separate"/>
      </w:r>
      <w:r>
        <w:rPr>
          <w:noProof/>
        </w:rPr>
        <w:t>233</w:t>
      </w:r>
      <w:r>
        <w:rPr>
          <w:noProof/>
        </w:rPr>
        <w:fldChar w:fldCharType="end"/>
      </w:r>
    </w:p>
    <w:p w:rsidR="00B833F1" w:rsidRDefault="00B833F1">
      <w:pPr>
        <w:pStyle w:val="TableofFigures"/>
        <w:rPr>
          <w:rFonts w:eastAsiaTheme="minorEastAsia" w:cstheme="minorBidi"/>
          <w:noProof/>
          <w:sz w:val="22"/>
          <w:szCs w:val="22"/>
        </w:rPr>
      </w:pPr>
      <w:r>
        <w:rPr>
          <w:noProof/>
        </w:rPr>
        <w:t>I.20</w:t>
      </w:r>
      <w:r>
        <w:rPr>
          <w:rFonts w:eastAsiaTheme="minorEastAsia" w:cstheme="minorBidi"/>
          <w:noProof/>
          <w:sz w:val="22"/>
          <w:szCs w:val="22"/>
        </w:rPr>
        <w:tab/>
      </w:r>
      <w:r>
        <w:rPr>
          <w:noProof/>
        </w:rPr>
        <w:t>Net benefits to Australian Capital Territory — medium realisation scenario</w:t>
      </w:r>
      <w:r>
        <w:rPr>
          <w:noProof/>
        </w:rPr>
        <w:tab/>
      </w:r>
      <w:r>
        <w:rPr>
          <w:noProof/>
        </w:rPr>
        <w:fldChar w:fldCharType="begin"/>
      </w:r>
      <w:r>
        <w:rPr>
          <w:noProof/>
        </w:rPr>
        <w:instrText xml:space="preserve"> PAGEREF _Toc530748530 \h </w:instrText>
      </w:r>
      <w:r>
        <w:rPr>
          <w:noProof/>
        </w:rPr>
      </w:r>
      <w:r>
        <w:rPr>
          <w:noProof/>
        </w:rPr>
        <w:fldChar w:fldCharType="separate"/>
      </w:r>
      <w:r>
        <w:rPr>
          <w:noProof/>
        </w:rPr>
        <w:t>234</w:t>
      </w:r>
      <w:r>
        <w:rPr>
          <w:noProof/>
        </w:rPr>
        <w:fldChar w:fldCharType="end"/>
      </w:r>
    </w:p>
    <w:p w:rsidR="00B833F1" w:rsidRDefault="00B833F1">
      <w:pPr>
        <w:pStyle w:val="TableofFigures"/>
        <w:rPr>
          <w:rFonts w:eastAsiaTheme="minorEastAsia" w:cstheme="minorBidi"/>
          <w:noProof/>
          <w:sz w:val="22"/>
          <w:szCs w:val="22"/>
        </w:rPr>
      </w:pPr>
      <w:r>
        <w:rPr>
          <w:noProof/>
        </w:rPr>
        <w:t>I.21</w:t>
      </w:r>
      <w:r>
        <w:rPr>
          <w:rFonts w:eastAsiaTheme="minorEastAsia" w:cstheme="minorBidi"/>
          <w:noProof/>
          <w:sz w:val="22"/>
          <w:szCs w:val="22"/>
        </w:rPr>
        <w:tab/>
      </w:r>
      <w:r>
        <w:rPr>
          <w:noProof/>
        </w:rPr>
        <w:t>Net benefits to Australian Capital Territory — high realisation scenario</w:t>
      </w:r>
      <w:r>
        <w:rPr>
          <w:noProof/>
        </w:rPr>
        <w:tab/>
      </w:r>
      <w:r>
        <w:rPr>
          <w:noProof/>
        </w:rPr>
        <w:fldChar w:fldCharType="begin"/>
      </w:r>
      <w:r>
        <w:rPr>
          <w:noProof/>
        </w:rPr>
        <w:instrText xml:space="preserve"> PAGEREF _Toc530748531 \h </w:instrText>
      </w:r>
      <w:r>
        <w:rPr>
          <w:noProof/>
        </w:rPr>
      </w:r>
      <w:r>
        <w:rPr>
          <w:noProof/>
        </w:rPr>
        <w:fldChar w:fldCharType="separate"/>
      </w:r>
      <w:r>
        <w:rPr>
          <w:noProof/>
        </w:rPr>
        <w:t>236</w:t>
      </w:r>
      <w:r>
        <w:rPr>
          <w:noProof/>
        </w:rPr>
        <w:fldChar w:fldCharType="end"/>
      </w:r>
    </w:p>
    <w:p w:rsidR="00B833F1" w:rsidRDefault="00B833F1">
      <w:pPr>
        <w:pStyle w:val="TableofFigures"/>
        <w:rPr>
          <w:rFonts w:eastAsiaTheme="minorEastAsia" w:cstheme="minorBidi"/>
          <w:noProof/>
          <w:sz w:val="22"/>
          <w:szCs w:val="22"/>
        </w:rPr>
      </w:pPr>
      <w:r>
        <w:rPr>
          <w:noProof/>
        </w:rPr>
        <w:t>I.22</w:t>
      </w:r>
      <w:r>
        <w:rPr>
          <w:rFonts w:eastAsiaTheme="minorEastAsia" w:cstheme="minorBidi"/>
          <w:noProof/>
          <w:sz w:val="22"/>
          <w:szCs w:val="22"/>
        </w:rPr>
        <w:tab/>
      </w:r>
      <w:r>
        <w:rPr>
          <w:noProof/>
        </w:rPr>
        <w:t>Net benefits to Northern Territory — low realisation scenario</w:t>
      </w:r>
      <w:r>
        <w:rPr>
          <w:noProof/>
        </w:rPr>
        <w:tab/>
      </w:r>
      <w:r>
        <w:rPr>
          <w:noProof/>
        </w:rPr>
        <w:fldChar w:fldCharType="begin"/>
      </w:r>
      <w:r>
        <w:rPr>
          <w:noProof/>
        </w:rPr>
        <w:instrText xml:space="preserve"> PAGEREF _Toc530748532 \h </w:instrText>
      </w:r>
      <w:r>
        <w:rPr>
          <w:noProof/>
        </w:rPr>
      </w:r>
      <w:r>
        <w:rPr>
          <w:noProof/>
        </w:rPr>
        <w:fldChar w:fldCharType="separate"/>
      </w:r>
      <w:r>
        <w:rPr>
          <w:noProof/>
        </w:rPr>
        <w:t>237</w:t>
      </w:r>
      <w:r>
        <w:rPr>
          <w:noProof/>
        </w:rPr>
        <w:fldChar w:fldCharType="end"/>
      </w:r>
    </w:p>
    <w:p w:rsidR="00B833F1" w:rsidRDefault="00B833F1">
      <w:pPr>
        <w:pStyle w:val="TableofFigures"/>
        <w:rPr>
          <w:rFonts w:eastAsiaTheme="minorEastAsia" w:cstheme="minorBidi"/>
          <w:noProof/>
          <w:sz w:val="22"/>
          <w:szCs w:val="22"/>
        </w:rPr>
      </w:pPr>
      <w:r>
        <w:rPr>
          <w:noProof/>
        </w:rPr>
        <w:lastRenderedPageBreak/>
        <w:t>I.23</w:t>
      </w:r>
      <w:r>
        <w:rPr>
          <w:rFonts w:eastAsiaTheme="minorEastAsia" w:cstheme="minorBidi"/>
          <w:noProof/>
          <w:sz w:val="22"/>
          <w:szCs w:val="22"/>
        </w:rPr>
        <w:tab/>
      </w:r>
      <w:r>
        <w:rPr>
          <w:noProof/>
        </w:rPr>
        <w:t>Net benefits to Northern Territory — medium realisation scenario</w:t>
      </w:r>
      <w:r>
        <w:rPr>
          <w:noProof/>
        </w:rPr>
        <w:tab/>
      </w:r>
      <w:r>
        <w:rPr>
          <w:noProof/>
        </w:rPr>
        <w:fldChar w:fldCharType="begin"/>
      </w:r>
      <w:r>
        <w:rPr>
          <w:noProof/>
        </w:rPr>
        <w:instrText xml:space="preserve"> PAGEREF _Toc530748533 \h </w:instrText>
      </w:r>
      <w:r>
        <w:rPr>
          <w:noProof/>
        </w:rPr>
      </w:r>
      <w:r>
        <w:rPr>
          <w:noProof/>
        </w:rPr>
        <w:fldChar w:fldCharType="separate"/>
      </w:r>
      <w:r>
        <w:rPr>
          <w:noProof/>
        </w:rPr>
        <w:t>238</w:t>
      </w:r>
      <w:r>
        <w:rPr>
          <w:noProof/>
        </w:rPr>
        <w:fldChar w:fldCharType="end"/>
      </w:r>
    </w:p>
    <w:p w:rsidR="00B833F1" w:rsidRDefault="00B833F1">
      <w:pPr>
        <w:pStyle w:val="TableofFigures"/>
        <w:rPr>
          <w:rFonts w:eastAsiaTheme="minorEastAsia" w:cstheme="minorBidi"/>
          <w:noProof/>
          <w:sz w:val="22"/>
          <w:szCs w:val="22"/>
        </w:rPr>
      </w:pPr>
      <w:r>
        <w:rPr>
          <w:noProof/>
        </w:rPr>
        <w:t>I.24</w:t>
      </w:r>
      <w:r>
        <w:rPr>
          <w:rFonts w:eastAsiaTheme="minorEastAsia" w:cstheme="minorBidi"/>
          <w:noProof/>
          <w:sz w:val="22"/>
          <w:szCs w:val="22"/>
        </w:rPr>
        <w:tab/>
      </w:r>
      <w:r>
        <w:rPr>
          <w:noProof/>
        </w:rPr>
        <w:t>Net benefits to Northern Territory — high realisation scenario</w:t>
      </w:r>
      <w:r>
        <w:rPr>
          <w:noProof/>
        </w:rPr>
        <w:tab/>
      </w:r>
      <w:r>
        <w:rPr>
          <w:noProof/>
        </w:rPr>
        <w:fldChar w:fldCharType="begin"/>
      </w:r>
      <w:r>
        <w:rPr>
          <w:noProof/>
        </w:rPr>
        <w:instrText xml:space="preserve"> PAGEREF _Toc530748534 \h </w:instrText>
      </w:r>
      <w:r>
        <w:rPr>
          <w:noProof/>
        </w:rPr>
      </w:r>
      <w:r>
        <w:rPr>
          <w:noProof/>
        </w:rPr>
        <w:fldChar w:fldCharType="separate"/>
      </w:r>
      <w:r>
        <w:rPr>
          <w:noProof/>
        </w:rPr>
        <w:t>240</w:t>
      </w:r>
      <w:r>
        <w:rPr>
          <w:noProof/>
        </w:rPr>
        <w:fldChar w:fldCharType="end"/>
      </w:r>
    </w:p>
    <w:p w:rsidR="00650F3E" w:rsidRDefault="00926903" w:rsidP="004E7620">
      <w:pPr>
        <w:pStyle w:val="TableofFigures"/>
        <w:rPr>
          <w:b/>
          <w:bCs/>
          <w:noProof/>
          <w:lang w:val="en-US"/>
        </w:rPr>
      </w:pPr>
      <w:r>
        <w:rPr>
          <w:b/>
          <w:bCs/>
          <w:noProof/>
          <w:lang w:val="en-US"/>
        </w:rPr>
        <w:fldChar w:fldCharType="end"/>
      </w:r>
    </w:p>
    <w:p w:rsidR="00650F3E" w:rsidRPr="00650F3E" w:rsidRDefault="00650F3E" w:rsidP="00650F3E">
      <w:pPr>
        <w:spacing w:before="140"/>
        <w:rPr>
          <w:rFonts w:asciiTheme="minorHAnsi" w:eastAsia="Times New Roman" w:hAnsiTheme="minorHAnsi"/>
          <w:lang w:val="en-US"/>
        </w:rPr>
      </w:pPr>
    </w:p>
    <w:p w:rsidR="00650F3E" w:rsidRPr="00650F3E" w:rsidRDefault="00650F3E" w:rsidP="00650F3E">
      <w:pPr>
        <w:pStyle w:val="BodyText"/>
        <w:rPr>
          <w:lang w:val="en-US"/>
        </w:rPr>
      </w:pPr>
    </w:p>
    <w:p w:rsidR="00650F3E" w:rsidRDefault="00650F3E" w:rsidP="004E7620">
      <w:pPr>
        <w:pStyle w:val="Heading1"/>
        <w:numPr>
          <w:ilvl w:val="0"/>
          <w:numId w:val="0"/>
        </w:numPr>
        <w:sectPr w:rsidR="00650F3E" w:rsidSect="004E7620">
          <w:headerReference w:type="even" r:id="rId21"/>
          <w:headerReference w:type="default" r:id="rId22"/>
          <w:footerReference w:type="even" r:id="rId23"/>
          <w:footerReference w:type="default" r:id="rId24"/>
          <w:pgSz w:w="11906" w:h="16838" w:code="9"/>
          <w:pgMar w:top="2268" w:right="1701" w:bottom="1418" w:left="2268" w:header="680" w:footer="680" w:gutter="0"/>
          <w:pgNumType w:fmt="lowerRoman"/>
          <w:cols w:space="708"/>
          <w:docGrid w:linePitch="360"/>
        </w:sectPr>
      </w:pPr>
    </w:p>
    <w:p w:rsidR="00612FD3" w:rsidRDefault="00612FD3" w:rsidP="00612FD3">
      <w:pPr>
        <w:pStyle w:val="Heading1"/>
        <w:numPr>
          <w:ilvl w:val="0"/>
          <w:numId w:val="0"/>
        </w:numPr>
      </w:pPr>
      <w:bookmarkStart w:id="3" w:name="_Toc316916905"/>
      <w:bookmarkStart w:id="4" w:name="_Toc507523747"/>
      <w:bookmarkStart w:id="5" w:name="_Toc509220769"/>
      <w:bookmarkStart w:id="6" w:name="_Toc529869818"/>
      <w:bookmarkStart w:id="7" w:name="_Toc530748535"/>
      <w:bookmarkStart w:id="8" w:name="DeleteThisLine"/>
      <w:bookmarkStart w:id="9" w:name="_Toc505120591"/>
      <w:bookmarkEnd w:id="2"/>
      <w:r>
        <w:lastRenderedPageBreak/>
        <w:t>Abbreviations</w:t>
      </w:r>
      <w:bookmarkEnd w:id="3"/>
      <w:bookmarkEnd w:id="4"/>
      <w:bookmarkEnd w:id="5"/>
      <w:bookmarkEnd w:id="6"/>
      <w:bookmarkEnd w:id="7"/>
    </w:p>
    <w:p w:rsidR="00612FD3" w:rsidRDefault="00612FD3" w:rsidP="00612FD3">
      <w:pPr>
        <w:pStyle w:val="BodyText"/>
        <w:ind w:left="993" w:hanging="993"/>
      </w:pPr>
      <w:r>
        <w:t>ABCB</w:t>
      </w:r>
      <w:r>
        <w:tab/>
        <w:t>Australian Building Codes Board</w:t>
      </w:r>
    </w:p>
    <w:p w:rsidR="00612FD3" w:rsidRDefault="00612FD3" w:rsidP="00612FD3">
      <w:pPr>
        <w:pStyle w:val="BodyText"/>
        <w:ind w:left="993" w:hanging="993"/>
      </w:pPr>
      <w:r>
        <w:t>ACCC</w:t>
      </w:r>
      <w:r>
        <w:tab/>
        <w:t>Australian Competition and Consumer Commission</w:t>
      </w:r>
    </w:p>
    <w:p w:rsidR="00612FD3" w:rsidRDefault="00612FD3" w:rsidP="00612FD3">
      <w:pPr>
        <w:pStyle w:val="BodyText"/>
        <w:ind w:left="993" w:hanging="993"/>
      </w:pPr>
      <w:r>
        <w:t>AEMC</w:t>
      </w:r>
      <w:r>
        <w:tab/>
        <w:t>Australian Energy Market Commission</w:t>
      </w:r>
    </w:p>
    <w:p w:rsidR="00612FD3" w:rsidRDefault="00612FD3" w:rsidP="00612FD3">
      <w:pPr>
        <w:pStyle w:val="BodyText"/>
        <w:ind w:left="993" w:hanging="993"/>
      </w:pPr>
      <w:r>
        <w:t>AEMO</w:t>
      </w:r>
      <w:r>
        <w:tab/>
        <w:t>Australian Energy Market Operator</w:t>
      </w:r>
    </w:p>
    <w:p w:rsidR="00612FD3" w:rsidRDefault="00612FD3" w:rsidP="00612FD3">
      <w:pPr>
        <w:pStyle w:val="BodyText"/>
        <w:ind w:left="993" w:hanging="993"/>
      </w:pPr>
      <w:r>
        <w:t>AER</w:t>
      </w:r>
      <w:r>
        <w:tab/>
        <w:t>Australian Energy Regulator</w:t>
      </w:r>
    </w:p>
    <w:p w:rsidR="00612FD3" w:rsidRDefault="00612FD3" w:rsidP="00612FD3">
      <w:pPr>
        <w:pStyle w:val="BodyText"/>
        <w:ind w:left="993" w:hanging="993"/>
      </w:pPr>
      <w:r>
        <w:t>AIRAH</w:t>
      </w:r>
      <w:r>
        <w:tab/>
        <w:t>Australian Institute of Refrigeration, Air-conditioning and Heating</w:t>
      </w:r>
    </w:p>
    <w:p w:rsidR="00612FD3" w:rsidRDefault="00612FD3" w:rsidP="00612FD3">
      <w:pPr>
        <w:pStyle w:val="BodyText"/>
        <w:ind w:left="993" w:hanging="993"/>
      </w:pPr>
      <w:r>
        <w:t>ASHRAE</w:t>
      </w:r>
      <w:r>
        <w:tab/>
        <w:t>American Society of Heating, Refrigerating and Air-Conditioning Engineers</w:t>
      </w:r>
    </w:p>
    <w:p w:rsidR="00612FD3" w:rsidRDefault="00612FD3" w:rsidP="00612FD3">
      <w:pPr>
        <w:pStyle w:val="BodyText"/>
        <w:ind w:left="993" w:hanging="993"/>
      </w:pPr>
      <w:r>
        <w:t>BASIX</w:t>
      </w:r>
      <w:r>
        <w:tab/>
        <w:t>Building Sustainability Index</w:t>
      </w:r>
    </w:p>
    <w:p w:rsidR="00612FD3" w:rsidRDefault="00612FD3" w:rsidP="00612FD3">
      <w:pPr>
        <w:pStyle w:val="BodyText"/>
        <w:ind w:left="993" w:hanging="993"/>
      </w:pPr>
      <w:r>
        <w:t>BCA</w:t>
      </w:r>
      <w:r>
        <w:tab/>
        <w:t>Building Code of Australia. BCA includes the National Construction Code (NCC) Volume One (primarily applies to Class 2 to 9 buildings and structures) and Volume Two (primarily apples to Class 1 buildings and Class 10 structures)</w:t>
      </w:r>
    </w:p>
    <w:p w:rsidR="00612FD3" w:rsidRDefault="00612FD3" w:rsidP="00612FD3">
      <w:pPr>
        <w:pStyle w:val="BodyText"/>
        <w:ind w:left="993" w:hanging="993"/>
      </w:pPr>
      <w:r>
        <w:t>BCR</w:t>
      </w:r>
      <w:r>
        <w:tab/>
        <w:t>Benefit-cost ratio</w:t>
      </w:r>
    </w:p>
    <w:p w:rsidR="00612FD3" w:rsidRDefault="00612FD3" w:rsidP="00612FD3">
      <w:pPr>
        <w:pStyle w:val="BodyText"/>
        <w:ind w:left="993" w:hanging="993"/>
      </w:pPr>
      <w:r>
        <w:t>CBA</w:t>
      </w:r>
      <w:r>
        <w:tab/>
        <w:t>Cost benefit analysis</w:t>
      </w:r>
    </w:p>
    <w:p w:rsidR="00612FD3" w:rsidRDefault="00612FD3" w:rsidP="00612FD3">
      <w:pPr>
        <w:pStyle w:val="BodyText"/>
        <w:ind w:left="993" w:hanging="993"/>
      </w:pPr>
      <w:r>
        <w:t>CBD</w:t>
      </w:r>
      <w:r>
        <w:tab/>
        <w:t>Commercial Building Disclosure Program</w:t>
      </w:r>
    </w:p>
    <w:p w:rsidR="00612FD3" w:rsidRDefault="00612FD3" w:rsidP="00612FD3">
      <w:pPr>
        <w:pStyle w:val="BodyText"/>
        <w:ind w:left="993" w:hanging="993"/>
      </w:pPr>
      <w:r>
        <w:t>CIE</w:t>
      </w:r>
      <w:r>
        <w:tab/>
        <w:t>The Centre for International Economics</w:t>
      </w:r>
    </w:p>
    <w:p w:rsidR="00612FD3" w:rsidRDefault="00612FD3" w:rsidP="00612FD3">
      <w:pPr>
        <w:pStyle w:val="BodyText"/>
        <w:ind w:left="993" w:hanging="993"/>
      </w:pPr>
      <w:r>
        <w:t>CLF</w:t>
      </w:r>
      <w:r>
        <w:tab/>
        <w:t>Conservation load factor</w:t>
      </w:r>
    </w:p>
    <w:p w:rsidR="00612FD3" w:rsidRDefault="00612FD3" w:rsidP="00612FD3">
      <w:pPr>
        <w:pStyle w:val="BodyText"/>
        <w:ind w:left="993" w:hanging="993"/>
      </w:pPr>
      <w:r>
        <w:t>CO</w:t>
      </w:r>
      <w:r w:rsidRPr="0098221E">
        <w:rPr>
          <w:vertAlign w:val="subscript"/>
        </w:rPr>
        <w:t>2</w:t>
      </w:r>
      <w:r w:rsidRPr="004356B5">
        <w:t>-e</w:t>
      </w:r>
      <w:r>
        <w:tab/>
        <w:t>Carbon dioxide equivalent</w:t>
      </w:r>
    </w:p>
    <w:p w:rsidR="00612FD3" w:rsidRDefault="00612FD3" w:rsidP="00612FD3">
      <w:pPr>
        <w:pStyle w:val="BodyText"/>
        <w:ind w:left="993" w:hanging="993"/>
      </w:pPr>
      <w:r>
        <w:t>COAG</w:t>
      </w:r>
      <w:r>
        <w:tab/>
        <w:t>The Council of Australian Governments</w:t>
      </w:r>
    </w:p>
    <w:p w:rsidR="00612FD3" w:rsidRDefault="00612FD3" w:rsidP="00612FD3">
      <w:pPr>
        <w:pStyle w:val="BodyText"/>
        <w:ind w:left="993" w:hanging="993"/>
      </w:pPr>
      <w:r>
        <w:t>COP</w:t>
      </w:r>
      <w:r>
        <w:tab/>
        <w:t>Coefficient of performance</w:t>
      </w:r>
    </w:p>
    <w:p w:rsidR="00612FD3" w:rsidRDefault="00612FD3" w:rsidP="00612FD3">
      <w:pPr>
        <w:pStyle w:val="BodyText"/>
        <w:ind w:left="993" w:hanging="993"/>
      </w:pPr>
      <w:r>
        <w:t>CZ</w:t>
      </w:r>
      <w:r>
        <w:tab/>
      </w:r>
      <w:r w:rsidR="00E31EE8">
        <w:t>Climate Zone</w:t>
      </w:r>
    </w:p>
    <w:p w:rsidR="00612FD3" w:rsidRDefault="00612FD3" w:rsidP="00612FD3">
      <w:pPr>
        <w:pStyle w:val="BodyText"/>
        <w:ind w:left="993" w:hanging="993"/>
      </w:pPr>
      <w:r>
        <w:t>DEE</w:t>
      </w:r>
      <w:r>
        <w:tab/>
        <w:t>Department of the Environment and Energy</w:t>
      </w:r>
    </w:p>
    <w:p w:rsidR="00612FD3" w:rsidRDefault="00612FD3" w:rsidP="00612FD3">
      <w:pPr>
        <w:pStyle w:val="BodyText"/>
        <w:ind w:left="993" w:hanging="993"/>
      </w:pPr>
      <w:r>
        <w:t>DTS</w:t>
      </w:r>
      <w:r>
        <w:tab/>
        <w:t>Deemed-to-satisfy</w:t>
      </w:r>
    </w:p>
    <w:p w:rsidR="00612FD3" w:rsidRDefault="00612FD3" w:rsidP="00612FD3">
      <w:pPr>
        <w:pStyle w:val="BodyText"/>
        <w:ind w:left="993" w:hanging="993"/>
      </w:pPr>
      <w:r>
        <w:t>EA</w:t>
      </w:r>
      <w:r>
        <w:tab/>
        <w:t>Energy Action</w:t>
      </w:r>
    </w:p>
    <w:p w:rsidR="00612FD3" w:rsidRDefault="00612FD3" w:rsidP="00612FD3">
      <w:pPr>
        <w:pStyle w:val="BodyText"/>
        <w:ind w:left="993" w:hanging="993"/>
      </w:pPr>
      <w:r>
        <w:t>EUI</w:t>
      </w:r>
      <w:r>
        <w:tab/>
        <w:t>Energy use intensity</w:t>
      </w:r>
    </w:p>
    <w:p w:rsidR="00612FD3" w:rsidRDefault="00612FD3" w:rsidP="00612FD3">
      <w:pPr>
        <w:pStyle w:val="BodyText"/>
        <w:ind w:left="993" w:hanging="993"/>
      </w:pPr>
      <w:r>
        <w:t>GBCA</w:t>
      </w:r>
      <w:r>
        <w:tab/>
        <w:t>Green Building Council of Australia</w:t>
      </w:r>
    </w:p>
    <w:p w:rsidR="00612FD3" w:rsidRDefault="00612FD3" w:rsidP="00612FD3">
      <w:pPr>
        <w:pStyle w:val="BodyText"/>
        <w:ind w:left="993" w:hanging="993"/>
      </w:pPr>
      <w:r>
        <w:t>GHG</w:t>
      </w:r>
      <w:r>
        <w:tab/>
        <w:t>Greenhouse gas</w:t>
      </w:r>
    </w:p>
    <w:p w:rsidR="00612FD3" w:rsidRDefault="00612FD3" w:rsidP="00612FD3">
      <w:pPr>
        <w:pStyle w:val="BodyText"/>
        <w:ind w:left="993" w:hanging="993"/>
      </w:pPr>
      <w:r>
        <w:lastRenderedPageBreak/>
        <w:t>GST</w:t>
      </w:r>
      <w:r>
        <w:tab/>
        <w:t>Goods and services tax</w:t>
      </w:r>
    </w:p>
    <w:p w:rsidR="00612FD3" w:rsidRDefault="00612FD3" w:rsidP="00612FD3">
      <w:pPr>
        <w:pStyle w:val="BodyText"/>
        <w:ind w:left="993" w:hanging="993"/>
      </w:pPr>
      <w:r>
        <w:t>GVA</w:t>
      </w:r>
      <w:r>
        <w:tab/>
        <w:t>Gross value added</w:t>
      </w:r>
    </w:p>
    <w:p w:rsidR="00612FD3" w:rsidRDefault="00612FD3" w:rsidP="00612FD3">
      <w:pPr>
        <w:pStyle w:val="BodyText"/>
        <w:ind w:left="993" w:hanging="993"/>
      </w:pPr>
      <w:r>
        <w:t>HVAC</w:t>
      </w:r>
      <w:r>
        <w:tab/>
        <w:t>Heating, ventilation, and air conditioning</w:t>
      </w:r>
    </w:p>
    <w:p w:rsidR="00612FD3" w:rsidRDefault="00612FD3" w:rsidP="00612FD3">
      <w:pPr>
        <w:pStyle w:val="BodyText"/>
        <w:ind w:left="993" w:hanging="993"/>
      </w:pPr>
      <w:r>
        <w:t>IPD</w:t>
      </w:r>
      <w:r>
        <w:tab/>
        <w:t>Illumination power density, measured in watts per square metre (W/m</w:t>
      </w:r>
      <w:r>
        <w:rPr>
          <w:vertAlign w:val="superscript"/>
        </w:rPr>
        <w:t>2</w:t>
      </w:r>
      <w:r>
        <w:t>)</w:t>
      </w:r>
    </w:p>
    <w:p w:rsidR="00612FD3" w:rsidRDefault="00612FD3" w:rsidP="00612FD3">
      <w:pPr>
        <w:pStyle w:val="BodyText"/>
        <w:ind w:left="993" w:hanging="993"/>
      </w:pPr>
      <w:r>
        <w:t>LED</w:t>
      </w:r>
      <w:r>
        <w:tab/>
        <w:t>Light emitting diode, a semiconductor device that converts electricity into light</w:t>
      </w:r>
    </w:p>
    <w:p w:rsidR="00612FD3" w:rsidRDefault="00612FD3" w:rsidP="00612FD3">
      <w:pPr>
        <w:pStyle w:val="BodyText"/>
        <w:ind w:left="993" w:hanging="993"/>
      </w:pPr>
      <w:r>
        <w:t>LEED</w:t>
      </w:r>
      <w:r>
        <w:tab/>
        <w:t>Leadership in Energy and Environmental Design</w:t>
      </w:r>
    </w:p>
    <w:p w:rsidR="00612FD3" w:rsidRDefault="00612FD3" w:rsidP="00612FD3">
      <w:pPr>
        <w:pStyle w:val="BodyText"/>
        <w:ind w:left="993" w:hanging="993"/>
      </w:pPr>
      <w:r>
        <w:t>LRMC</w:t>
      </w:r>
      <w:r>
        <w:tab/>
        <w:t>Long run marginal cost</w:t>
      </w:r>
    </w:p>
    <w:p w:rsidR="00612FD3" w:rsidRDefault="00612FD3" w:rsidP="00612FD3">
      <w:pPr>
        <w:pStyle w:val="BodyText"/>
        <w:ind w:left="993" w:hanging="993"/>
      </w:pPr>
      <w:r>
        <w:t>MEPS</w:t>
      </w:r>
      <w:r>
        <w:tab/>
        <w:t>Minimum Energy Performance Standards</w:t>
      </w:r>
    </w:p>
    <w:p w:rsidR="00612FD3" w:rsidRDefault="00612FD3" w:rsidP="00612FD3">
      <w:pPr>
        <w:pStyle w:val="BodyText"/>
        <w:ind w:left="993" w:hanging="993"/>
      </w:pPr>
      <w:r>
        <w:t>NABERS</w:t>
      </w:r>
      <w:r>
        <w:tab/>
        <w:t>National Australian Built Environment Rating System</w:t>
      </w:r>
    </w:p>
    <w:p w:rsidR="00612FD3" w:rsidRDefault="00612FD3" w:rsidP="00612FD3">
      <w:pPr>
        <w:pStyle w:val="BodyText"/>
        <w:ind w:left="993" w:hanging="993"/>
      </w:pPr>
      <w:r>
        <w:t>NCC</w:t>
      </w:r>
      <w:r>
        <w:tab/>
        <w:t xml:space="preserve">National Construction Code. </w:t>
      </w:r>
      <w:r w:rsidRPr="00623E84">
        <w:t>The NCC is comprised of the Building Code of Australia (BCA), Volume One and Two; and the Plumbing Code of Australia (PCA), Volume Three.</w:t>
      </w:r>
    </w:p>
    <w:p w:rsidR="00612FD3" w:rsidRDefault="00612FD3" w:rsidP="00612FD3">
      <w:pPr>
        <w:pStyle w:val="BodyText"/>
        <w:ind w:left="993" w:hanging="993"/>
      </w:pPr>
      <w:r>
        <w:t>NEM</w:t>
      </w:r>
      <w:r>
        <w:tab/>
        <w:t>National Electricity Market</w:t>
      </w:r>
    </w:p>
    <w:p w:rsidR="00612FD3" w:rsidRDefault="00612FD3" w:rsidP="00612FD3">
      <w:pPr>
        <w:pStyle w:val="BodyText"/>
        <w:ind w:left="993" w:hanging="993"/>
      </w:pPr>
      <w:r>
        <w:t>NEPP</w:t>
      </w:r>
      <w:r>
        <w:tab/>
        <w:t>National Energy Productivity Plan</w:t>
      </w:r>
    </w:p>
    <w:p w:rsidR="00612FD3" w:rsidRDefault="00612FD3" w:rsidP="00612FD3">
      <w:pPr>
        <w:pStyle w:val="BodyText"/>
        <w:ind w:left="993" w:hanging="993"/>
      </w:pPr>
      <w:r>
        <w:t>NLA</w:t>
      </w:r>
      <w:r>
        <w:tab/>
        <w:t>Net lettable area</w:t>
      </w:r>
    </w:p>
    <w:p w:rsidR="00612FD3" w:rsidRDefault="00612FD3" w:rsidP="00612FD3">
      <w:pPr>
        <w:pStyle w:val="BodyText"/>
        <w:ind w:left="993" w:hanging="993"/>
      </w:pPr>
      <w:r>
        <w:t>NPV</w:t>
      </w:r>
      <w:r>
        <w:tab/>
        <w:t>Net present value</w:t>
      </w:r>
    </w:p>
    <w:p w:rsidR="00612FD3" w:rsidRDefault="00612FD3" w:rsidP="00612FD3">
      <w:pPr>
        <w:pStyle w:val="BodyText"/>
        <w:ind w:left="993" w:hanging="993"/>
      </w:pPr>
      <w:r>
        <w:t>OBPR</w:t>
      </w:r>
      <w:r>
        <w:tab/>
        <w:t>Office of Best Practice Regulation</w:t>
      </w:r>
    </w:p>
    <w:p w:rsidR="00612FD3" w:rsidRDefault="00612FD3" w:rsidP="00612FD3">
      <w:pPr>
        <w:pStyle w:val="BodyText"/>
        <w:ind w:left="993" w:hanging="993"/>
      </w:pPr>
      <w:r>
        <w:t>OCC</w:t>
      </w:r>
      <w:r>
        <w:tab/>
        <w:t>Opportunity cost of capital</w:t>
      </w:r>
    </w:p>
    <w:p w:rsidR="00612FD3" w:rsidRDefault="00612FD3" w:rsidP="00612FD3">
      <w:pPr>
        <w:pStyle w:val="BodyText"/>
        <w:ind w:left="993" w:hanging="993"/>
      </w:pPr>
      <w:r>
        <w:t>OEH</w:t>
      </w:r>
      <w:r>
        <w:tab/>
        <w:t>NSW Office of Environment and Heritage</w:t>
      </w:r>
    </w:p>
    <w:p w:rsidR="00612FD3" w:rsidRDefault="00612FD3" w:rsidP="00612FD3">
      <w:pPr>
        <w:pStyle w:val="BodyText"/>
        <w:ind w:left="993" w:hanging="993"/>
      </w:pPr>
      <w:r>
        <w:t>PC</w:t>
      </w:r>
      <w:r>
        <w:tab/>
        <w:t>Productivity Commission</w:t>
      </w:r>
    </w:p>
    <w:p w:rsidR="00612FD3" w:rsidRDefault="00612FD3" w:rsidP="00612FD3">
      <w:pPr>
        <w:pStyle w:val="BodyText"/>
        <w:ind w:left="993" w:hanging="993"/>
      </w:pPr>
      <w:r>
        <w:t>PAC</w:t>
      </w:r>
      <w:r>
        <w:tab/>
        <w:t>Packaged air-conditioning, including air-cooled (APAC) and water-cooled (WPAC)</w:t>
      </w:r>
    </w:p>
    <w:p w:rsidR="00612FD3" w:rsidRDefault="00612FD3" w:rsidP="00612FD3">
      <w:pPr>
        <w:pStyle w:val="BodyText"/>
        <w:ind w:left="993" w:hanging="993"/>
      </w:pPr>
      <w:r>
        <w:t>PMV</w:t>
      </w:r>
      <w:r>
        <w:tab/>
        <w:t>Predicted Mean Vote – a model using heat-balance equations and empirical studies about skin temperature to define human comfort</w:t>
      </w:r>
    </w:p>
    <w:p w:rsidR="00612FD3" w:rsidRDefault="00612FD3" w:rsidP="00612FD3">
      <w:pPr>
        <w:pStyle w:val="BodyText"/>
        <w:ind w:left="993" w:hanging="993"/>
      </w:pPr>
      <w:r>
        <w:t>RAR</w:t>
      </w:r>
      <w:r>
        <w:tab/>
        <w:t>Room aspect ratio. Total area of a room (A) divided by the product of height (floor to ceiling, H) and perimeter (C): A/(HxC)</w:t>
      </w:r>
    </w:p>
    <w:p w:rsidR="00612FD3" w:rsidRDefault="00612FD3" w:rsidP="00612FD3">
      <w:pPr>
        <w:pStyle w:val="BodyText"/>
        <w:ind w:left="993" w:hanging="993"/>
      </w:pPr>
      <w:r>
        <w:t>RET</w:t>
      </w:r>
      <w:r>
        <w:tab/>
        <w:t>Renewable Energy Target</w:t>
      </w:r>
    </w:p>
    <w:p w:rsidR="00612FD3" w:rsidRDefault="00612FD3" w:rsidP="00612FD3">
      <w:pPr>
        <w:pStyle w:val="BodyText"/>
        <w:ind w:left="993" w:hanging="993"/>
      </w:pPr>
      <w:r>
        <w:t>RIS</w:t>
      </w:r>
      <w:r>
        <w:tab/>
        <w:t>Regulation impact statement</w:t>
      </w:r>
    </w:p>
    <w:p w:rsidR="00612FD3" w:rsidRDefault="00612FD3" w:rsidP="00612FD3">
      <w:pPr>
        <w:pStyle w:val="BodyText"/>
        <w:ind w:left="993" w:hanging="993"/>
      </w:pPr>
      <w:r>
        <w:t>R-Value</w:t>
      </w:r>
      <w:r>
        <w:tab/>
        <w:t>The R-Value is a measure of thermal resistance, or ability of heat to transfer from hot to cold, through materials (such as insulation) and assemblies of materials (such as walls and floors). The higher the R-Value, the more a material prevents heat transfer.</w:t>
      </w:r>
    </w:p>
    <w:p w:rsidR="00612FD3" w:rsidRDefault="00612FD3" w:rsidP="00612FD3">
      <w:pPr>
        <w:pStyle w:val="BodyText"/>
        <w:ind w:left="993" w:hanging="993"/>
      </w:pPr>
      <w:r>
        <w:t>SA</w:t>
      </w:r>
      <w:r>
        <w:tab/>
        <w:t>Sensitivity analysis</w:t>
      </w:r>
    </w:p>
    <w:p w:rsidR="00612FD3" w:rsidRDefault="00612FD3" w:rsidP="00612FD3">
      <w:pPr>
        <w:pStyle w:val="BodyText"/>
        <w:ind w:left="993" w:hanging="993"/>
      </w:pPr>
      <w:r>
        <w:lastRenderedPageBreak/>
        <w:t>SCC</w:t>
      </w:r>
      <w:r>
        <w:tab/>
        <w:t>Social cost of carbon</w:t>
      </w:r>
    </w:p>
    <w:p w:rsidR="00612FD3" w:rsidRDefault="00612FD3" w:rsidP="00612FD3">
      <w:pPr>
        <w:pStyle w:val="BodyText"/>
        <w:ind w:left="993" w:hanging="993"/>
      </w:pPr>
      <w:r>
        <w:t>SHGC</w:t>
      </w:r>
      <w:r>
        <w:tab/>
        <w:t>Solar Heat Gain Coefficient – how readily heat from direct sunlight (solar radiation) flows through a window system. Value between 0 and 1. The lower a window’s SHGC, the less solar heat it transmits.</w:t>
      </w:r>
    </w:p>
    <w:p w:rsidR="00612FD3" w:rsidRDefault="00612FD3" w:rsidP="00612FD3">
      <w:pPr>
        <w:pStyle w:val="BodyText"/>
        <w:ind w:left="993" w:hanging="993"/>
      </w:pPr>
      <w:r>
        <w:t>SRMC</w:t>
      </w:r>
      <w:r>
        <w:tab/>
        <w:t>Short run marginal cost</w:t>
      </w:r>
    </w:p>
    <w:p w:rsidR="00612FD3" w:rsidRDefault="00612FD3" w:rsidP="00612FD3">
      <w:pPr>
        <w:pStyle w:val="BodyText"/>
        <w:ind w:left="993" w:hanging="993"/>
      </w:pPr>
      <w:r>
        <w:t>UNFCCC</w:t>
      </w:r>
      <w:r>
        <w:tab/>
        <w:t>United Nations Framework Convention on Climate Change</w:t>
      </w:r>
    </w:p>
    <w:p w:rsidR="00612FD3" w:rsidRDefault="00612FD3" w:rsidP="00612FD3">
      <w:pPr>
        <w:pStyle w:val="BodyText"/>
        <w:ind w:left="993" w:hanging="993"/>
      </w:pPr>
      <w:r>
        <w:t>USEPA</w:t>
      </w:r>
      <w:r>
        <w:tab/>
        <w:t>United States Environmental Protection Agency</w:t>
      </w:r>
    </w:p>
    <w:p w:rsidR="00612FD3" w:rsidRDefault="00612FD3" w:rsidP="00612FD3">
      <w:pPr>
        <w:pStyle w:val="BodyText"/>
        <w:ind w:left="993" w:hanging="993"/>
      </w:pPr>
      <w:r>
        <w:t>U-Value</w:t>
      </w:r>
      <w:r>
        <w:tab/>
        <w:t>The U-Value is the overall heat transfer coefficient that describes how well a building element conducts heat or the rate of transfer of heat (in watts) through one square metre of a structure divided by the difference in temperature across the structure.</w:t>
      </w:r>
    </w:p>
    <w:p w:rsidR="00612FD3" w:rsidRDefault="00612FD3" w:rsidP="00612FD3">
      <w:pPr>
        <w:pStyle w:val="BodyText"/>
        <w:ind w:left="993"/>
      </w:pPr>
      <w:r>
        <w:t>It measures how readily a window system conducts heat. It is a measure of the rate of non-solar heat loss or gain through it. The lower a U-Value, the better. U-Value is the reciprocal of R-Value.</w:t>
      </w:r>
    </w:p>
    <w:p w:rsidR="00612FD3" w:rsidRDefault="00612FD3" w:rsidP="00612FD3">
      <w:pPr>
        <w:pStyle w:val="BodyText"/>
        <w:ind w:left="993" w:hanging="993"/>
      </w:pPr>
      <w:r>
        <w:t>VM</w:t>
      </w:r>
      <w:r>
        <w:tab/>
        <w:t>Verification Method</w:t>
      </w:r>
    </w:p>
    <w:p w:rsidR="00612FD3" w:rsidRDefault="00612FD3" w:rsidP="00612FD3">
      <w:pPr>
        <w:pStyle w:val="BodyText"/>
        <w:ind w:left="993" w:hanging="993"/>
      </w:pPr>
      <w:r>
        <w:t>WACC</w:t>
      </w:r>
      <w:r>
        <w:tab/>
        <w:t>Weighted average cost of capital</w:t>
      </w:r>
    </w:p>
    <w:p w:rsidR="00612FD3" w:rsidRDefault="00612FD3" w:rsidP="00612FD3">
      <w:pPr>
        <w:pStyle w:val="BodyText"/>
        <w:ind w:left="993" w:hanging="993"/>
      </w:pPr>
      <w:r>
        <w:t>WWR</w:t>
      </w:r>
      <w:r>
        <w:tab/>
        <w:t>Window to wall ratio – calculated based on the window area divided by the total façade area exposed to conditioned air, which includes the plenum space in the same orientation. As a result, a WWR of 75 per cent corresponds to 100 per cent glazing to the occupied space and an opaque wall to the plenum space.</w:t>
      </w:r>
    </w:p>
    <w:p w:rsidR="00612FD3" w:rsidRDefault="00612FD3" w:rsidP="00612FD3">
      <w:pPr>
        <w:pStyle w:val="Abbreviation"/>
      </w:pPr>
    </w:p>
    <w:p w:rsidR="00612FD3" w:rsidRDefault="00612FD3" w:rsidP="00612FD3">
      <w:pPr>
        <w:pStyle w:val="Heading1NotNumbered"/>
      </w:pPr>
      <w:bookmarkStart w:id="10" w:name="_Toc507523748"/>
      <w:bookmarkStart w:id="11" w:name="_Toc509220770"/>
      <w:bookmarkStart w:id="12" w:name="_Toc529869819"/>
      <w:bookmarkStart w:id="13" w:name="_Toc530748536"/>
      <w:r>
        <w:lastRenderedPageBreak/>
        <w:t>Executive s</w:t>
      </w:r>
      <w:r w:rsidRPr="005A6134">
        <w:t>ummary</w:t>
      </w:r>
      <w:bookmarkEnd w:id="8"/>
      <w:bookmarkEnd w:id="9"/>
      <w:bookmarkEnd w:id="10"/>
      <w:bookmarkEnd w:id="11"/>
      <w:bookmarkEnd w:id="12"/>
      <w:bookmarkEnd w:id="13"/>
    </w:p>
    <w:p w:rsidR="00612FD3" w:rsidRDefault="00612FD3" w:rsidP="00612FD3">
      <w:pPr>
        <w:pStyle w:val="BodyText"/>
        <w:rPr>
          <w:lang w:bidi="fa-IR"/>
        </w:rPr>
      </w:pPr>
      <w:r>
        <w:t xml:space="preserve">The Australian Building Codes Board (ABCB) has been requested to consider </w:t>
      </w:r>
      <w:r w:rsidRPr="007B2BFA">
        <w:t xml:space="preserve">potential stringency changes to the energy efficiency provisions in </w:t>
      </w:r>
      <w:r>
        <w:t>relation to commercial buildings in the</w:t>
      </w:r>
      <w:r w:rsidRPr="007B2BFA">
        <w:t xml:space="preserve"> 2019 </w:t>
      </w:r>
      <w:r>
        <w:t>edition of the National Construction Code (NCC).</w:t>
      </w:r>
      <w:r>
        <w:rPr>
          <w:rStyle w:val="FootnoteReference"/>
        </w:rPr>
        <w:footnoteReference w:id="2"/>
      </w:r>
      <w:r>
        <w:t xml:space="preserve"> More specifically, the ABCB was tasked to develop updates to the energy efficiency provisions in the NCC that are economically feasible. The CIE interpret</w:t>
      </w:r>
      <w:r w:rsidR="00311B52">
        <w:t>s</w:t>
      </w:r>
      <w:r>
        <w:t xml:space="preserve"> the criteria of economically feasible as the total social benefits (including private benefits such as energy savings and public benefits such as reducing greenhouse gas emissions) being higher than the associated costs.</w:t>
      </w:r>
      <w:r w:rsidRPr="003F7A6F">
        <w:rPr>
          <w:lang w:bidi="fa-IR"/>
        </w:rPr>
        <w:t xml:space="preserve"> </w:t>
      </w:r>
      <w:r>
        <w:rPr>
          <w:lang w:bidi="fa-IR"/>
        </w:rPr>
        <w:t xml:space="preserve">The review of Section J of the NCC was proposed under Measure 31 of the </w:t>
      </w:r>
      <w:r w:rsidR="002E28FA">
        <w:rPr>
          <w:i/>
        </w:rPr>
        <w:t>National Energy Productivity Plan 2015-2030</w:t>
      </w:r>
      <w:r w:rsidR="002E28FA">
        <w:rPr>
          <w:rStyle w:val="FootnoteReference"/>
        </w:rPr>
        <w:footnoteReference w:id="3"/>
      </w:r>
      <w:r>
        <w:rPr>
          <w:lang w:bidi="fa-IR"/>
        </w:rPr>
        <w:t xml:space="preserve"> (NEPP) Work Plan.</w:t>
      </w:r>
    </w:p>
    <w:p w:rsidR="00612FD3" w:rsidRDefault="00612FD3" w:rsidP="00612FD3">
      <w:pPr>
        <w:pStyle w:val="BodyText"/>
      </w:pPr>
      <w:r>
        <w:t>Commercial buildings in the scope covered by this analysis are defined as common areas of Class 2 (residential buildings), Class 3 buildings (hotels and other commercial accommodation facilities), Class 5 buildings (offices), Class 6 (retail buildings such as shops, restaurants and cafés), Class 7 buildings (carparks and warehouses), Class 8 buildings (factor</w:t>
      </w:r>
      <w:r w:rsidR="00025FD2">
        <w:t>ies</w:t>
      </w:r>
      <w:r>
        <w:t>) and Class 9 buildings (health care, education, sporting facilities and aged care buildings).</w:t>
      </w:r>
      <w:r>
        <w:rPr>
          <w:rStyle w:val="FootnoteReference"/>
        </w:rPr>
        <w:footnoteReference w:id="4"/>
      </w:r>
      <w:r>
        <w:t xml:space="preserve"> </w:t>
      </w:r>
    </w:p>
    <w:p w:rsidR="00612FD3" w:rsidRDefault="00612FD3" w:rsidP="00612FD3">
      <w:pPr>
        <w:pStyle w:val="BodyText"/>
        <w:rPr>
          <w:lang w:bidi="fa-IR"/>
        </w:rPr>
      </w:pPr>
      <w:r>
        <w:rPr>
          <w:lang w:bidi="fa-IR"/>
        </w:rPr>
        <w:t>Increasing the stringency of the NCC could also contribute to Australia meeting its commitment to reduce greenhouse gas (GHG) emissions by 26 to 28 per cent below the 2005 level by 2030 under the Paris Climate Agreement.</w:t>
      </w:r>
    </w:p>
    <w:p w:rsidR="00612FD3" w:rsidRDefault="00612FD3" w:rsidP="00612FD3">
      <w:pPr>
        <w:pStyle w:val="BodyText"/>
        <w:rPr>
          <w:lang w:bidi="fa-IR"/>
        </w:rPr>
      </w:pPr>
      <w:r>
        <w:rPr>
          <w:lang w:bidi="fa-IR"/>
        </w:rPr>
        <w:t>Furthermore, the stringency of the energy efficiency requirements of Section J of the NCC has not been increased since 2010. Since that time:</w:t>
      </w:r>
    </w:p>
    <w:p w:rsidR="00612FD3" w:rsidRDefault="00612FD3" w:rsidP="00612FD3">
      <w:pPr>
        <w:pStyle w:val="ListBullet"/>
        <w:numPr>
          <w:ilvl w:val="0"/>
          <w:numId w:val="36"/>
        </w:numPr>
        <w:rPr>
          <w:lang w:bidi="fa-IR"/>
        </w:rPr>
      </w:pPr>
      <w:r>
        <w:rPr>
          <w:lang w:bidi="fa-IR"/>
        </w:rPr>
        <w:t>energy prices have increased significantly, while the cost of some energy efficient technologies has declined; and</w:t>
      </w:r>
    </w:p>
    <w:p w:rsidR="00612FD3" w:rsidRDefault="00612FD3" w:rsidP="00612FD3">
      <w:pPr>
        <w:pStyle w:val="ListBullet"/>
        <w:numPr>
          <w:ilvl w:val="0"/>
          <w:numId w:val="36"/>
        </w:numPr>
        <w:rPr>
          <w:lang w:bidi="fa-IR"/>
        </w:rPr>
      </w:pPr>
      <w:r>
        <w:rPr>
          <w:lang w:bidi="fa-IR"/>
        </w:rPr>
        <w:t>various modelling has shown there may be scope for significant cost</w:t>
      </w:r>
      <w:r>
        <w:rPr>
          <w:lang w:bidi="fa-IR"/>
        </w:rPr>
        <w:noBreakHyphen/>
        <w:t>effective energy efficiency improvements in commercial buildings.</w:t>
      </w:r>
    </w:p>
    <w:p w:rsidR="00612FD3" w:rsidRPr="002D4F28" w:rsidRDefault="00612FD3" w:rsidP="00612FD3">
      <w:pPr>
        <w:pStyle w:val="Heading2"/>
        <w:numPr>
          <w:ilvl w:val="1"/>
          <w:numId w:val="5"/>
        </w:numPr>
        <w:rPr>
          <w:lang w:bidi="fa-IR"/>
        </w:rPr>
      </w:pPr>
      <w:bookmarkStart w:id="14" w:name="_Toc505120592"/>
      <w:bookmarkStart w:id="15" w:name="_Toc507523749"/>
      <w:bookmarkStart w:id="16" w:name="_Toc509220771"/>
      <w:bookmarkStart w:id="17" w:name="_Toc529869820"/>
      <w:bookmarkStart w:id="18" w:name="_Toc530748537"/>
      <w:r>
        <w:rPr>
          <w:lang w:bidi="fa-IR"/>
        </w:rPr>
        <w:lastRenderedPageBreak/>
        <w:t>Statement of the problem</w:t>
      </w:r>
      <w:bookmarkEnd w:id="14"/>
      <w:bookmarkEnd w:id="15"/>
      <w:bookmarkEnd w:id="16"/>
      <w:bookmarkEnd w:id="17"/>
      <w:bookmarkEnd w:id="18"/>
    </w:p>
    <w:p w:rsidR="00612FD3" w:rsidRDefault="00612FD3" w:rsidP="00612FD3">
      <w:pPr>
        <w:pStyle w:val="BodyText"/>
        <w:rPr>
          <w:lang w:bidi="fa-IR"/>
        </w:rPr>
      </w:pPr>
      <w:r>
        <w:t>The rationale for minimum energy efficiency standards is based on the proposition that industry would not make socially optimal energy efficiency decisions in commercial buildings without government intervention (this is often referred to as the ‘energy efficiency gap’). That is, there are energy efficiency opportunities where the benefits to the community (including public benefits) outweigh the associated costs that are brought up by the change in regulation.</w:t>
      </w:r>
    </w:p>
    <w:p w:rsidR="00612FD3" w:rsidRDefault="00612FD3" w:rsidP="00612FD3">
      <w:pPr>
        <w:pStyle w:val="BodyText"/>
        <w:rPr>
          <w:lang w:bidi="fa-IR"/>
        </w:rPr>
      </w:pPr>
      <w:r>
        <w:rPr>
          <w:lang w:bidi="fa-IR"/>
        </w:rPr>
        <w:t>A key market failure contributing to the ‘energy efficiency gap’ is that the costs to the community associated with GHG emissions are not factored into energy prices under current policy settings. This provides an incentive to over</w:t>
      </w:r>
      <w:r>
        <w:rPr>
          <w:lang w:bidi="fa-IR"/>
        </w:rPr>
        <w:noBreakHyphen/>
        <w:t>consume energy and under</w:t>
      </w:r>
      <w:r>
        <w:rPr>
          <w:lang w:bidi="fa-IR"/>
        </w:rPr>
        <w:noBreakHyphen/>
        <w:t>invest in energy efficiency.</w:t>
      </w:r>
    </w:p>
    <w:p w:rsidR="00612FD3" w:rsidRDefault="00612FD3" w:rsidP="00612FD3">
      <w:pPr>
        <w:pStyle w:val="BodyText"/>
        <w:rPr>
          <w:lang w:bidi="fa-IR"/>
        </w:rPr>
      </w:pPr>
      <w:r>
        <w:rPr>
          <w:lang w:bidi="fa-IR"/>
        </w:rPr>
        <w:t xml:space="preserve">In addition, there may be other market failures </w:t>
      </w:r>
      <w:r w:rsidR="003A0222">
        <w:rPr>
          <w:lang w:bidi="fa-IR"/>
        </w:rPr>
        <w:t xml:space="preserve">or behavioural failures/anomalies </w:t>
      </w:r>
      <w:r>
        <w:rPr>
          <w:lang w:bidi="fa-IR"/>
        </w:rPr>
        <w:t xml:space="preserve">that prevent industry from making privately optimal energy efficiency decisions (this is referred to as the ‘energy efficiency paradox’), although direct evidence is limited. Nevertheless, plausible market failures </w:t>
      </w:r>
      <w:r w:rsidR="003A0222">
        <w:rPr>
          <w:lang w:bidi="fa-IR"/>
        </w:rPr>
        <w:t xml:space="preserve">or behavioural failures/anomalies </w:t>
      </w:r>
      <w:r>
        <w:rPr>
          <w:lang w:bidi="fa-IR"/>
        </w:rPr>
        <w:t>that contribute to the ‘energy efficiency paradox’ include the following:</w:t>
      </w:r>
    </w:p>
    <w:p w:rsidR="00612FD3" w:rsidRDefault="00612FD3" w:rsidP="00612FD3">
      <w:pPr>
        <w:pStyle w:val="ListBullet"/>
        <w:numPr>
          <w:ilvl w:val="0"/>
          <w:numId w:val="36"/>
        </w:numPr>
        <w:rPr>
          <w:lang w:bidi="fa-IR"/>
        </w:rPr>
      </w:pPr>
      <w:r>
        <w:rPr>
          <w:lang w:bidi="fa-IR"/>
        </w:rPr>
        <w:t>Bounded rationality/heuristic decision-making — energy efficiency is highly technical and in the face of complexity, some decision-makers could revert to mental short</w:t>
      </w:r>
      <w:r>
        <w:rPr>
          <w:lang w:bidi="fa-IR"/>
        </w:rPr>
        <w:noBreakHyphen/>
        <w:t>cuts (heuristics) when making decisions</w:t>
      </w:r>
      <w:r w:rsidR="003A0222">
        <w:rPr>
          <w:lang w:bidi="fa-IR"/>
        </w:rPr>
        <w:t>, such as</w:t>
      </w:r>
      <w:r w:rsidR="00025FD2">
        <w:rPr>
          <w:lang w:bidi="fa-IR"/>
        </w:rPr>
        <w:t xml:space="preserve"> simply</w:t>
      </w:r>
      <w:r w:rsidR="003A0222">
        <w:rPr>
          <w:lang w:bidi="fa-IR"/>
        </w:rPr>
        <w:t xml:space="preserve"> building to the code requirements</w:t>
      </w:r>
      <w:r>
        <w:rPr>
          <w:lang w:bidi="fa-IR"/>
        </w:rPr>
        <w:t>.</w:t>
      </w:r>
    </w:p>
    <w:p w:rsidR="00612FD3" w:rsidRDefault="00612FD3" w:rsidP="00612FD3">
      <w:pPr>
        <w:pStyle w:val="ListBullet"/>
        <w:numPr>
          <w:ilvl w:val="0"/>
          <w:numId w:val="36"/>
        </w:numPr>
        <w:rPr>
          <w:lang w:bidi="fa-IR"/>
        </w:rPr>
      </w:pPr>
      <w:r>
        <w:rPr>
          <w:lang w:bidi="fa-IR"/>
        </w:rPr>
        <w:t>Split incentives/information asymmetries — where building owners/managers are responsible for energy efficiency decisions, but energy bills are passed onto tenants, there may be limited incentive to invest in improved energy efficiency. While the Commercial Building Disclosure (CBD) Program addresses this market failur</w:t>
      </w:r>
      <w:r w:rsidR="00B71B78">
        <w:rPr>
          <w:lang w:bidi="fa-IR"/>
        </w:rPr>
        <w:t xml:space="preserve">e for larger office buildings, </w:t>
      </w:r>
      <w:r w:rsidR="00AC699F">
        <w:rPr>
          <w:lang w:bidi="fa-IR"/>
        </w:rPr>
        <w:t>it</w:t>
      </w:r>
      <w:r>
        <w:rPr>
          <w:lang w:bidi="fa-IR"/>
        </w:rPr>
        <w:t xml:space="preserve"> could potentially manifest </w:t>
      </w:r>
      <w:r w:rsidR="00BF472D">
        <w:rPr>
          <w:lang w:bidi="fa-IR"/>
        </w:rPr>
        <w:t xml:space="preserve">in other commercial buildings particularly </w:t>
      </w:r>
      <w:r>
        <w:rPr>
          <w:lang w:bidi="fa-IR"/>
        </w:rPr>
        <w:t>smaller office buildings and other leased premises, such as retail buildings.</w:t>
      </w:r>
    </w:p>
    <w:p w:rsidR="00612FD3" w:rsidRDefault="00612FD3" w:rsidP="00612FD3">
      <w:pPr>
        <w:pStyle w:val="BodyText"/>
        <w:rPr>
          <w:lang w:bidi="fa-IR"/>
        </w:rPr>
      </w:pPr>
      <w:r>
        <w:rPr>
          <w:lang w:bidi="fa-IR"/>
        </w:rPr>
        <w:t>This suggests there is potentially increased scope for government intervention to achieve a ‘win</w:t>
      </w:r>
      <w:r>
        <w:rPr>
          <w:lang w:bidi="fa-IR"/>
        </w:rPr>
        <w:noBreakHyphen/>
        <w:t>win’ outcome, where there are net private benefits in addition to reduced GHG emissions.</w:t>
      </w:r>
    </w:p>
    <w:p w:rsidR="00612FD3" w:rsidRDefault="00612FD3" w:rsidP="00612FD3">
      <w:pPr>
        <w:pStyle w:val="Heading2"/>
        <w:numPr>
          <w:ilvl w:val="1"/>
          <w:numId w:val="5"/>
        </w:numPr>
        <w:rPr>
          <w:lang w:bidi="fa-IR"/>
        </w:rPr>
      </w:pPr>
      <w:bookmarkStart w:id="19" w:name="_Toc509220772"/>
      <w:bookmarkStart w:id="20" w:name="_Toc529869821"/>
      <w:bookmarkStart w:id="21" w:name="_Toc530748538"/>
      <w:r>
        <w:rPr>
          <w:lang w:bidi="fa-IR"/>
        </w:rPr>
        <w:t>Objective and options</w:t>
      </w:r>
      <w:bookmarkEnd w:id="19"/>
      <w:bookmarkEnd w:id="20"/>
      <w:bookmarkEnd w:id="21"/>
    </w:p>
    <w:p w:rsidR="00612FD3" w:rsidRDefault="00612FD3" w:rsidP="00612FD3">
      <w:pPr>
        <w:pStyle w:val="BodyText"/>
      </w:pPr>
      <w:r>
        <w:t>COAG Best Practice Guidelines (2007) require that a Regulation Impact Statement (RIS) identify a range of viable options to address the problem, including, as appropriate, non</w:t>
      </w:r>
      <w:r>
        <w:noBreakHyphen/>
        <w:t>regulatory, self</w:t>
      </w:r>
      <w:r>
        <w:noBreakHyphen/>
        <w:t>regulatory and co</w:t>
      </w:r>
      <w:r>
        <w:noBreakHyphen/>
        <w:t>regulatory options.</w:t>
      </w:r>
      <w:r>
        <w:rPr>
          <w:rStyle w:val="FootnoteReference"/>
        </w:rPr>
        <w:footnoteReference w:id="5"/>
      </w:r>
      <w:r>
        <w:t xml:space="preserve"> In the context of a RIS examining proposed changes to the NCC, it is important to consider alternative options</w:t>
      </w:r>
      <w:r w:rsidR="00AC699F">
        <w:t>,</w:t>
      </w:r>
      <w:r>
        <w:t xml:space="preserve"> to not only establish that the proposed changes to the NCC deliver a net benefit to the community, but also that changing the NCC is the best approach to achieving the government’s objectives (i.e. the approach that delivers the highest net benefits).</w:t>
      </w:r>
    </w:p>
    <w:p w:rsidR="00612FD3" w:rsidRDefault="00612FD3" w:rsidP="00612FD3">
      <w:pPr>
        <w:pStyle w:val="BodyText"/>
      </w:pPr>
      <w:r>
        <w:t>The objectives of the NCC</w:t>
      </w:r>
      <w:r w:rsidR="00025FD2">
        <w:t xml:space="preserve"> energy efficiency provisions</w:t>
      </w:r>
      <w:r>
        <w:t xml:space="preserve"> and the stated objectives of the NEPP are broad and could encompass a wide range of measures, including measures </w:t>
      </w:r>
      <w:r>
        <w:lastRenderedPageBreak/>
        <w:t xml:space="preserve">unrelated to commercial buildings. </w:t>
      </w:r>
      <w:r w:rsidR="00AC699F">
        <w:t>However, this analysis</w:t>
      </w:r>
      <w:r>
        <w:t xml:space="preserve"> narrow</w:t>
      </w:r>
      <w:r w:rsidR="00AC699F">
        <w:t>s</w:t>
      </w:r>
      <w:r>
        <w:t xml:space="preserve"> the focus to </w:t>
      </w:r>
      <w:r w:rsidR="00A958F2">
        <w:t xml:space="preserve">proposals </w:t>
      </w:r>
      <w:r>
        <w:t>that improve the energy efficiency of commercial buildings.</w:t>
      </w:r>
    </w:p>
    <w:p w:rsidR="00612FD3" w:rsidRDefault="00612FD3" w:rsidP="00612FD3">
      <w:pPr>
        <w:pStyle w:val="BodyText"/>
      </w:pPr>
      <w:r>
        <w:t>Furthermore, other options that could contribute to better energy efficiency outcomes in a more ‘light</w:t>
      </w:r>
      <w:r>
        <w:noBreakHyphen/>
        <w:t>handed’ way include:</w:t>
      </w:r>
    </w:p>
    <w:p w:rsidR="00612FD3" w:rsidRDefault="00612FD3" w:rsidP="00612FD3">
      <w:pPr>
        <w:pStyle w:val="ListBullet"/>
        <w:numPr>
          <w:ilvl w:val="0"/>
          <w:numId w:val="36"/>
        </w:numPr>
      </w:pPr>
      <w:r>
        <w:t>expansion of the current Commercial Building Disclosure (CBD) Program to other buildings; and</w:t>
      </w:r>
    </w:p>
    <w:p w:rsidR="00612FD3" w:rsidRDefault="00612FD3" w:rsidP="00612FD3">
      <w:pPr>
        <w:pStyle w:val="ListBullet"/>
        <w:numPr>
          <w:ilvl w:val="0"/>
          <w:numId w:val="36"/>
        </w:numPr>
      </w:pPr>
      <w:r>
        <w:t>expansion of the energy efficiency rating scheme NABERS to cover other building types.</w:t>
      </w:r>
    </w:p>
    <w:p w:rsidR="00612FD3" w:rsidRDefault="00612FD3" w:rsidP="00612FD3">
      <w:pPr>
        <w:pStyle w:val="BodyText"/>
      </w:pPr>
      <w:r>
        <w:t xml:space="preserve">However, these alternative options are being considered separately under Measure 9 of the </w:t>
      </w:r>
      <w:r w:rsidR="002E28FA">
        <w:t>NE</w:t>
      </w:r>
      <w:r w:rsidR="00A45595">
        <w:t>P</w:t>
      </w:r>
      <w:r w:rsidR="002E28FA">
        <w:t>P</w:t>
      </w:r>
      <w:r>
        <w:t>. The expansion of the CBD program as a compulsory government regulation change requires a separate RIS.</w:t>
      </w:r>
    </w:p>
    <w:p w:rsidR="00612FD3" w:rsidRDefault="00612FD3" w:rsidP="00612FD3">
      <w:pPr>
        <w:pStyle w:val="BodyText"/>
        <w:rPr>
          <w:lang w:bidi="fa-IR"/>
        </w:rPr>
      </w:pPr>
      <w:r>
        <w:rPr>
          <w:lang w:bidi="fa-IR"/>
        </w:rPr>
        <w:t>The options considered under this RIS therefore include:</w:t>
      </w:r>
    </w:p>
    <w:p w:rsidR="00612FD3" w:rsidRDefault="00612FD3" w:rsidP="00612FD3">
      <w:pPr>
        <w:pStyle w:val="ListNumber"/>
        <w:numPr>
          <w:ilvl w:val="0"/>
          <w:numId w:val="12"/>
        </w:numPr>
        <w:rPr>
          <w:lang w:bidi="fa-IR"/>
        </w:rPr>
      </w:pPr>
      <w:r>
        <w:rPr>
          <w:lang w:bidi="fa-IR"/>
        </w:rPr>
        <w:t>The status quo</w:t>
      </w:r>
    </w:p>
    <w:p w:rsidR="00612FD3" w:rsidRDefault="00612FD3" w:rsidP="00612FD3">
      <w:pPr>
        <w:pStyle w:val="ListNumber"/>
        <w:numPr>
          <w:ilvl w:val="0"/>
          <w:numId w:val="12"/>
        </w:numPr>
        <w:rPr>
          <w:lang w:bidi="fa-IR"/>
        </w:rPr>
      </w:pPr>
      <w:r>
        <w:rPr>
          <w:lang w:bidi="fa-IR"/>
        </w:rPr>
        <w:t>The proposed amendments to the NCC</w:t>
      </w:r>
      <w:r w:rsidR="00025FD2">
        <w:rPr>
          <w:lang w:bidi="fa-IR"/>
        </w:rPr>
        <w:t xml:space="preserve"> energy efficiency provisions for commercial buildings</w:t>
      </w:r>
      <w:r w:rsidR="00EB5964">
        <w:rPr>
          <w:lang w:bidi="fa-IR"/>
        </w:rPr>
        <w:t xml:space="preserve"> developed by ABCB and its energy efficiency consultant Energy Action (EA)</w:t>
      </w:r>
    </w:p>
    <w:p w:rsidR="00612FD3" w:rsidRDefault="00612FD3" w:rsidP="00612FD3">
      <w:pPr>
        <w:pStyle w:val="ListNumber"/>
        <w:numPr>
          <w:ilvl w:val="0"/>
          <w:numId w:val="12"/>
        </w:numPr>
        <w:rPr>
          <w:lang w:bidi="fa-IR"/>
        </w:rPr>
      </w:pPr>
      <w:r>
        <w:rPr>
          <w:lang w:bidi="fa-IR"/>
        </w:rPr>
        <w:t>Collating the work undertaken by the ABCB in developing the amendments to the NCC into a handbook for adoption by industry on a voluntary basis.</w:t>
      </w:r>
    </w:p>
    <w:p w:rsidR="00612FD3" w:rsidRDefault="00612FD3" w:rsidP="00612FD3">
      <w:pPr>
        <w:pStyle w:val="Heading2"/>
        <w:numPr>
          <w:ilvl w:val="1"/>
          <w:numId w:val="5"/>
        </w:numPr>
        <w:rPr>
          <w:lang w:bidi="fa-IR"/>
        </w:rPr>
      </w:pPr>
      <w:bookmarkStart w:id="22" w:name="_Toc509220773"/>
      <w:bookmarkStart w:id="23" w:name="_Toc529869822"/>
      <w:bookmarkStart w:id="24" w:name="_Toc530748539"/>
      <w:r>
        <w:rPr>
          <w:lang w:bidi="fa-IR"/>
        </w:rPr>
        <w:t>Approach to the impact and cost-benefit analyses</w:t>
      </w:r>
      <w:bookmarkEnd w:id="22"/>
      <w:bookmarkEnd w:id="23"/>
      <w:bookmarkEnd w:id="24"/>
    </w:p>
    <w:p w:rsidR="00612FD3" w:rsidRDefault="00612FD3" w:rsidP="00612FD3">
      <w:pPr>
        <w:pStyle w:val="BodyText"/>
        <w:rPr>
          <w:lang w:bidi="fa-IR"/>
        </w:rPr>
      </w:pPr>
      <w:r>
        <w:rPr>
          <w:lang w:bidi="fa-IR"/>
        </w:rPr>
        <w:t>The analyses are conducted through a multi-step approach including:</w:t>
      </w:r>
    </w:p>
    <w:p w:rsidR="00612FD3" w:rsidRDefault="00612FD3" w:rsidP="00612FD3">
      <w:pPr>
        <w:pStyle w:val="ListBullet"/>
        <w:numPr>
          <w:ilvl w:val="0"/>
          <w:numId w:val="36"/>
        </w:numPr>
        <w:rPr>
          <w:lang w:bidi="fa-IR"/>
        </w:rPr>
      </w:pPr>
      <w:r>
        <w:rPr>
          <w:lang w:bidi="fa-IR"/>
        </w:rPr>
        <w:t>early consultations with stakeholders from industry and government agencies to gather relevant views on the proposed amendments and information necessary to inform the cost-benefit analysis (CBA);</w:t>
      </w:r>
    </w:p>
    <w:p w:rsidR="00612FD3" w:rsidRDefault="00612FD3" w:rsidP="00612FD3">
      <w:pPr>
        <w:pStyle w:val="ListBullet"/>
        <w:numPr>
          <w:ilvl w:val="0"/>
          <w:numId w:val="36"/>
        </w:numPr>
        <w:rPr>
          <w:lang w:bidi="fa-IR"/>
        </w:rPr>
      </w:pPr>
      <w:r>
        <w:rPr>
          <w:lang w:bidi="fa-IR"/>
        </w:rPr>
        <w:t>review of energy modelling conducted by EA to identify key issues affecting the results and to incorporate EA modelling results into</w:t>
      </w:r>
      <w:r w:rsidR="00025FD2">
        <w:rPr>
          <w:lang w:bidi="fa-IR"/>
        </w:rPr>
        <w:t xml:space="preserve"> the</w:t>
      </w:r>
      <w:r>
        <w:rPr>
          <w:lang w:bidi="fa-IR"/>
        </w:rPr>
        <w:t xml:space="preserve"> CBA in a more meaningful manner</w:t>
      </w:r>
      <w:r w:rsidR="0084177E">
        <w:rPr>
          <w:lang w:bidi="fa-IR"/>
        </w:rPr>
        <w:t>;</w:t>
      </w:r>
    </w:p>
    <w:p w:rsidR="00612FD3" w:rsidRDefault="00612FD3" w:rsidP="00612FD3">
      <w:pPr>
        <w:pStyle w:val="ListBullet"/>
        <w:numPr>
          <w:ilvl w:val="0"/>
          <w:numId w:val="36"/>
        </w:numPr>
        <w:rPr>
          <w:lang w:bidi="fa-IR"/>
        </w:rPr>
      </w:pPr>
      <w:r>
        <w:rPr>
          <w:lang w:bidi="fa-IR"/>
        </w:rPr>
        <w:t>gathering and reviewing of information from other sources to better understand the status quo of commercial buildings</w:t>
      </w:r>
      <w:r w:rsidR="00AC699F">
        <w:rPr>
          <w:lang w:bidi="fa-IR"/>
        </w:rPr>
        <w:t>,</w:t>
      </w:r>
      <w:r>
        <w:rPr>
          <w:lang w:bidi="fa-IR"/>
        </w:rPr>
        <w:t xml:space="preserve"> so as to establish a better baseline for the CBA</w:t>
      </w:r>
      <w:r w:rsidR="0084177E">
        <w:rPr>
          <w:lang w:bidi="fa-IR"/>
        </w:rPr>
        <w:t>;</w:t>
      </w:r>
    </w:p>
    <w:p w:rsidR="00612FD3" w:rsidRDefault="00612FD3" w:rsidP="00612FD3">
      <w:pPr>
        <w:pStyle w:val="ListBullet"/>
        <w:numPr>
          <w:ilvl w:val="0"/>
          <w:numId w:val="36"/>
        </w:numPr>
        <w:rPr>
          <w:lang w:bidi="fa-IR"/>
        </w:rPr>
      </w:pPr>
      <w:r>
        <w:rPr>
          <w:lang w:bidi="fa-IR"/>
        </w:rPr>
        <w:t>preparing a Consultation RIS report for formal consultation</w:t>
      </w:r>
      <w:r w:rsidR="0084177E">
        <w:rPr>
          <w:lang w:bidi="fa-IR"/>
        </w:rPr>
        <w:t>;</w:t>
      </w:r>
    </w:p>
    <w:p w:rsidR="00612FD3" w:rsidRDefault="00612FD3" w:rsidP="00612FD3">
      <w:pPr>
        <w:pStyle w:val="ListBullet"/>
        <w:numPr>
          <w:ilvl w:val="0"/>
          <w:numId w:val="36"/>
        </w:numPr>
        <w:rPr>
          <w:lang w:bidi="fa-IR"/>
        </w:rPr>
      </w:pPr>
      <w:r>
        <w:rPr>
          <w:lang w:bidi="fa-IR"/>
        </w:rPr>
        <w:t xml:space="preserve">revising energy modelling in response to the submissions in the </w:t>
      </w:r>
      <w:r w:rsidR="00BB30D0">
        <w:rPr>
          <w:lang w:bidi="fa-IR"/>
        </w:rPr>
        <w:t>consultation</w:t>
      </w:r>
      <w:r w:rsidR="0084177E">
        <w:rPr>
          <w:lang w:bidi="fa-IR"/>
        </w:rPr>
        <w:t>;</w:t>
      </w:r>
      <w:r>
        <w:rPr>
          <w:lang w:bidi="fa-IR"/>
        </w:rPr>
        <w:t xml:space="preserve"> and </w:t>
      </w:r>
    </w:p>
    <w:p w:rsidR="00612FD3" w:rsidRPr="00997D0A" w:rsidRDefault="00612FD3" w:rsidP="00612FD3">
      <w:pPr>
        <w:pStyle w:val="ListBullet"/>
        <w:numPr>
          <w:ilvl w:val="0"/>
          <w:numId w:val="36"/>
        </w:numPr>
        <w:rPr>
          <w:lang w:bidi="fa-IR"/>
        </w:rPr>
      </w:pPr>
      <w:r>
        <w:rPr>
          <w:lang w:bidi="fa-IR"/>
        </w:rPr>
        <w:t>updating the impact and cost-benefit analysis according to findings in the new energy modelling and case studies.</w:t>
      </w:r>
    </w:p>
    <w:p w:rsidR="003F17B1" w:rsidRDefault="00612FD3" w:rsidP="00612FD3">
      <w:pPr>
        <w:pStyle w:val="BodyText"/>
        <w:rPr>
          <w:lang w:bidi="fa-IR"/>
        </w:rPr>
      </w:pPr>
      <w:r>
        <w:rPr>
          <w:lang w:bidi="fa-IR"/>
        </w:rPr>
        <w:t xml:space="preserve">The CBA estimates are largely based on </w:t>
      </w:r>
      <w:r w:rsidR="003F28DD">
        <w:rPr>
          <w:lang w:bidi="fa-IR"/>
        </w:rPr>
        <w:t>EA</w:t>
      </w:r>
      <w:r>
        <w:rPr>
          <w:lang w:bidi="fa-IR"/>
        </w:rPr>
        <w:t>’s</w:t>
      </w:r>
      <w:r>
        <w:rPr>
          <w:rStyle w:val="FootnoteReference"/>
          <w:lang w:bidi="fa-IR"/>
        </w:rPr>
        <w:footnoteReference w:id="6"/>
      </w:r>
      <w:r>
        <w:rPr>
          <w:lang w:bidi="fa-IR"/>
        </w:rPr>
        <w:t xml:space="preserve"> core modelling of </w:t>
      </w:r>
      <w:r w:rsidR="003F17B1">
        <w:rPr>
          <w:lang w:bidi="fa-IR"/>
        </w:rPr>
        <w:t>five</w:t>
      </w:r>
      <w:r>
        <w:rPr>
          <w:lang w:bidi="fa-IR"/>
        </w:rPr>
        <w:t xml:space="preserve"> building </w:t>
      </w:r>
      <w:r w:rsidR="003F17B1">
        <w:rPr>
          <w:lang w:bidi="fa-IR"/>
        </w:rPr>
        <w:t>archetypes</w:t>
      </w:r>
      <w:r>
        <w:rPr>
          <w:lang w:bidi="fa-IR"/>
        </w:rPr>
        <w:t xml:space="preserve">, </w:t>
      </w:r>
      <w:r w:rsidR="003F17B1">
        <w:rPr>
          <w:lang w:bidi="fa-IR"/>
        </w:rPr>
        <w:t xml:space="preserve">representing: a </w:t>
      </w:r>
      <w:r>
        <w:rPr>
          <w:lang w:bidi="fa-IR"/>
        </w:rPr>
        <w:t>hotel</w:t>
      </w:r>
      <w:r w:rsidR="00CE4CF6">
        <w:rPr>
          <w:lang w:bidi="fa-IR"/>
        </w:rPr>
        <w:t xml:space="preserve"> </w:t>
      </w:r>
      <w:r w:rsidR="003F17B1">
        <w:rPr>
          <w:lang w:bidi="fa-IR"/>
        </w:rPr>
        <w:t>(3A</w:t>
      </w:r>
      <w:r>
        <w:rPr>
          <w:lang w:bidi="fa-IR"/>
        </w:rPr>
        <w:t xml:space="preserve">), </w:t>
      </w:r>
      <w:r w:rsidR="003F17B1">
        <w:rPr>
          <w:lang w:bidi="fa-IR"/>
        </w:rPr>
        <w:t xml:space="preserve">an </w:t>
      </w:r>
      <w:r>
        <w:rPr>
          <w:lang w:bidi="fa-IR"/>
        </w:rPr>
        <w:t>office</w:t>
      </w:r>
      <w:r w:rsidR="003F17B1">
        <w:rPr>
          <w:lang w:bidi="fa-IR"/>
        </w:rPr>
        <w:t xml:space="preserve"> building (5A</w:t>
      </w:r>
      <w:r>
        <w:rPr>
          <w:lang w:bidi="fa-IR"/>
        </w:rPr>
        <w:t xml:space="preserve">), </w:t>
      </w:r>
      <w:r w:rsidR="003F17B1">
        <w:rPr>
          <w:lang w:bidi="fa-IR"/>
        </w:rPr>
        <w:t>a retail building (</w:t>
      </w:r>
      <w:r>
        <w:rPr>
          <w:lang w:bidi="fa-IR"/>
        </w:rPr>
        <w:t>6B</w:t>
      </w:r>
      <w:r w:rsidR="003F17B1">
        <w:rPr>
          <w:lang w:bidi="fa-IR"/>
        </w:rPr>
        <w:t xml:space="preserve">), a </w:t>
      </w:r>
      <w:r w:rsidR="003F17B1">
        <w:rPr>
          <w:lang w:bidi="fa-IR"/>
        </w:rPr>
        <w:lastRenderedPageBreak/>
        <w:t>healthcare building (</w:t>
      </w:r>
      <w:r>
        <w:rPr>
          <w:lang w:bidi="fa-IR"/>
        </w:rPr>
        <w:t>9aC)</w:t>
      </w:r>
      <w:r w:rsidR="003F17B1">
        <w:rPr>
          <w:lang w:bidi="fa-IR"/>
        </w:rPr>
        <w:t xml:space="preserve"> and a school (9bH).</w:t>
      </w:r>
      <w:r>
        <w:rPr>
          <w:lang w:bidi="fa-IR"/>
        </w:rPr>
        <w:t xml:space="preserve"> </w:t>
      </w:r>
      <w:r w:rsidR="003F17B1">
        <w:rPr>
          <w:lang w:bidi="fa-IR"/>
        </w:rPr>
        <w:t>The general approach to the modelling has been refined since the Consultation RIS, with some key methodological features as follows.</w:t>
      </w:r>
    </w:p>
    <w:p w:rsidR="009C524F" w:rsidRDefault="003F17B1" w:rsidP="009C524F">
      <w:pPr>
        <w:pStyle w:val="ListBullet"/>
        <w:rPr>
          <w:lang w:bidi="fa-IR"/>
        </w:rPr>
      </w:pPr>
      <w:r>
        <w:rPr>
          <w:lang w:bidi="fa-IR"/>
        </w:rPr>
        <w:t>The modelling for the Consultation RIS suggested that the window</w:t>
      </w:r>
      <w:r>
        <w:rPr>
          <w:lang w:bidi="fa-IR"/>
        </w:rPr>
        <w:noBreakHyphen/>
        <w:t>to</w:t>
      </w:r>
      <w:r>
        <w:rPr>
          <w:lang w:bidi="fa-IR"/>
        </w:rPr>
        <w:noBreakHyphen/>
        <w:t xml:space="preserve">wall ratio (WWR) was likely to be a key factor </w:t>
      </w:r>
      <w:r w:rsidR="009C524F">
        <w:rPr>
          <w:lang w:bidi="fa-IR"/>
        </w:rPr>
        <w:t xml:space="preserve">influencing the results. The assumptions around the WWR have been revised significantly, so that the baseline more closely reflects current practice and the </w:t>
      </w:r>
      <w:r w:rsidR="004C0741">
        <w:rPr>
          <w:lang w:bidi="fa-IR"/>
        </w:rPr>
        <w:t>impacts of the proposed changes to the code</w:t>
      </w:r>
      <w:r w:rsidR="0084177E">
        <w:rPr>
          <w:lang w:bidi="fa-IR"/>
        </w:rPr>
        <w:t xml:space="preserve"> reflect</w:t>
      </w:r>
      <w:r w:rsidR="009C524F">
        <w:rPr>
          <w:lang w:bidi="fa-IR"/>
        </w:rPr>
        <w:t xml:space="preserve"> a more plausible response to the revised code requirements.</w:t>
      </w:r>
    </w:p>
    <w:p w:rsidR="009C524F" w:rsidRDefault="009C524F" w:rsidP="009C524F">
      <w:pPr>
        <w:pStyle w:val="ListBullet2"/>
        <w:rPr>
          <w:lang w:bidi="fa-IR"/>
        </w:rPr>
      </w:pPr>
      <w:r>
        <w:rPr>
          <w:lang w:bidi="fa-IR"/>
        </w:rPr>
        <w:t>In the Consultation RIS, the assumptions in relation to WWRs were as follows</w:t>
      </w:r>
      <w:r w:rsidR="00AC699F">
        <w:rPr>
          <w:lang w:bidi="fa-IR"/>
        </w:rPr>
        <w:t>:</w:t>
      </w:r>
    </w:p>
    <w:p w:rsidR="003F17B1" w:rsidRDefault="009C524F" w:rsidP="004C0741">
      <w:pPr>
        <w:pStyle w:val="ListBullet3"/>
        <w:rPr>
          <w:lang w:bidi="fa-IR"/>
        </w:rPr>
      </w:pPr>
      <w:r>
        <w:rPr>
          <w:lang w:bidi="fa-IR"/>
        </w:rPr>
        <w:t>The approach to setting the baseline WWRs was based on the highest achievable for each façade under the existing code.</w:t>
      </w:r>
    </w:p>
    <w:p w:rsidR="009C524F" w:rsidRDefault="00806565" w:rsidP="004C0741">
      <w:pPr>
        <w:pStyle w:val="ListBullet3"/>
        <w:rPr>
          <w:lang w:bidi="fa-IR"/>
        </w:rPr>
      </w:pPr>
      <w:r>
        <w:rPr>
          <w:lang w:bidi="fa-IR"/>
        </w:rPr>
        <w:t>For most building archetypes, i</w:t>
      </w:r>
      <w:r w:rsidR="009C524F">
        <w:rPr>
          <w:lang w:bidi="fa-IR"/>
        </w:rPr>
        <w:t xml:space="preserve">ndustry were assumed to respond to </w:t>
      </w:r>
      <w:r>
        <w:rPr>
          <w:lang w:bidi="fa-IR"/>
        </w:rPr>
        <w:t>the new approach to glazing reflected in the proposed code by reducing WWRs to either 30 per cent or 45 per cent, which allow</w:t>
      </w:r>
      <w:r w:rsidR="004C0741">
        <w:rPr>
          <w:lang w:bidi="fa-IR"/>
        </w:rPr>
        <w:t>ed improved energy performance at lower cost.</w:t>
      </w:r>
    </w:p>
    <w:p w:rsidR="004C0741" w:rsidRDefault="004C0741" w:rsidP="009C524F">
      <w:pPr>
        <w:pStyle w:val="ListBullet2"/>
        <w:rPr>
          <w:lang w:bidi="fa-IR"/>
        </w:rPr>
      </w:pPr>
      <w:r>
        <w:rPr>
          <w:lang w:bidi="fa-IR"/>
        </w:rPr>
        <w:t>In the Consultation RIS we argued that there were likely to be costs involved in reducing the window size (such as reduced amenity and/or lower rental rates) that were difficult to quantify. Stakeholder submissions also argued that it was unlikely that industry would reduce WWRs to any significant extent.</w:t>
      </w:r>
    </w:p>
    <w:p w:rsidR="00506818" w:rsidRDefault="00506818" w:rsidP="00506818">
      <w:pPr>
        <w:pStyle w:val="ListBullet3"/>
        <w:rPr>
          <w:lang w:bidi="fa-IR"/>
        </w:rPr>
      </w:pPr>
      <w:r>
        <w:rPr>
          <w:lang w:bidi="fa-IR"/>
        </w:rPr>
        <w:t xml:space="preserve">In the revised modelling the baseline WWRs broadly reflect the average across each building type, as indicated by an </w:t>
      </w:r>
      <w:r w:rsidR="003F28DD">
        <w:rPr>
          <w:lang w:bidi="fa-IR"/>
        </w:rPr>
        <w:t>EA</w:t>
      </w:r>
      <w:r>
        <w:rPr>
          <w:lang w:bidi="fa-IR"/>
        </w:rPr>
        <w:t xml:space="preserve"> survey.</w:t>
      </w:r>
    </w:p>
    <w:p w:rsidR="00506818" w:rsidRDefault="00506818" w:rsidP="00506818">
      <w:pPr>
        <w:pStyle w:val="ListBullet3"/>
        <w:rPr>
          <w:lang w:bidi="fa-IR"/>
        </w:rPr>
      </w:pPr>
      <w:r>
        <w:rPr>
          <w:lang w:bidi="fa-IR"/>
        </w:rPr>
        <w:t xml:space="preserve">Under the revised </w:t>
      </w:r>
      <w:r w:rsidR="00301A86">
        <w:rPr>
          <w:lang w:bidi="fa-IR"/>
        </w:rPr>
        <w:t>models</w:t>
      </w:r>
      <w:r>
        <w:rPr>
          <w:lang w:bidi="fa-IR"/>
        </w:rPr>
        <w:t>, the WWR was held constant.</w:t>
      </w:r>
    </w:p>
    <w:p w:rsidR="003F17B1" w:rsidRDefault="004C0741" w:rsidP="004C0741">
      <w:pPr>
        <w:pStyle w:val="ListBullet"/>
        <w:rPr>
          <w:lang w:bidi="fa-IR"/>
        </w:rPr>
      </w:pPr>
      <w:r>
        <w:rPr>
          <w:lang w:bidi="fa-IR"/>
        </w:rPr>
        <w:t xml:space="preserve">The approach to </w:t>
      </w:r>
      <w:r w:rsidR="00D5392D">
        <w:rPr>
          <w:lang w:bidi="fa-IR"/>
        </w:rPr>
        <w:t xml:space="preserve">glazing selection in the revised modelling was based on the lowest cost compliant option under the existing code (i.e. the baseline) </w:t>
      </w:r>
      <w:r w:rsidR="00D17715">
        <w:rPr>
          <w:lang w:bidi="fa-IR"/>
        </w:rPr>
        <w:t xml:space="preserve">and under the proposed code across all building archetypes. By contrast, the modelling for the Consultation RIS was based on the glazing option that was closest to the </w:t>
      </w:r>
      <w:r w:rsidR="00750394">
        <w:rPr>
          <w:lang w:bidi="fa-IR"/>
        </w:rPr>
        <w:t xml:space="preserve">proposed stringency </w:t>
      </w:r>
      <w:r w:rsidR="00D17715">
        <w:rPr>
          <w:lang w:bidi="fa-IR"/>
        </w:rPr>
        <w:t>for some buildings</w:t>
      </w:r>
      <w:r w:rsidR="00750394">
        <w:rPr>
          <w:lang w:bidi="fa-IR"/>
        </w:rPr>
        <w:t xml:space="preserve"> </w:t>
      </w:r>
      <w:r w:rsidR="006C0010">
        <w:rPr>
          <w:lang w:bidi="fa-IR"/>
        </w:rPr>
        <w:t>(</w:t>
      </w:r>
      <w:r w:rsidR="00750394">
        <w:rPr>
          <w:lang w:bidi="fa-IR"/>
        </w:rPr>
        <w:t xml:space="preserve">e.g. </w:t>
      </w:r>
      <w:r w:rsidR="00F45E08">
        <w:rPr>
          <w:lang w:bidi="fa-IR"/>
        </w:rPr>
        <w:t>it was</w:t>
      </w:r>
      <w:r w:rsidR="006C0010">
        <w:rPr>
          <w:lang w:bidi="fa-IR"/>
        </w:rPr>
        <w:t xml:space="preserve"> possib</w:t>
      </w:r>
      <w:r w:rsidR="00F45E08">
        <w:rPr>
          <w:lang w:bidi="fa-IR"/>
        </w:rPr>
        <w:t>le</w:t>
      </w:r>
      <w:r w:rsidR="006C0010">
        <w:rPr>
          <w:lang w:bidi="fa-IR"/>
        </w:rPr>
        <w:t xml:space="preserve"> that </w:t>
      </w:r>
      <w:r w:rsidR="00750394">
        <w:rPr>
          <w:lang w:bidi="fa-IR"/>
        </w:rPr>
        <w:t>some lower performing and higher cost product</w:t>
      </w:r>
      <w:r w:rsidR="006C0010">
        <w:rPr>
          <w:lang w:bidi="fa-IR"/>
        </w:rPr>
        <w:t xml:space="preserve"> or higher performing and lower cost product</w:t>
      </w:r>
      <w:r w:rsidR="00750394">
        <w:rPr>
          <w:lang w:bidi="fa-IR"/>
        </w:rPr>
        <w:t xml:space="preserve"> may have been </w:t>
      </w:r>
      <w:r w:rsidR="00E6622A">
        <w:rPr>
          <w:lang w:bidi="fa-IR"/>
        </w:rPr>
        <w:t>available</w:t>
      </w:r>
      <w:r w:rsidR="006C0010">
        <w:rPr>
          <w:lang w:bidi="fa-IR"/>
        </w:rPr>
        <w:t>)</w:t>
      </w:r>
      <w:r w:rsidR="00D17715">
        <w:rPr>
          <w:lang w:bidi="fa-IR"/>
        </w:rPr>
        <w:t>.</w:t>
      </w:r>
    </w:p>
    <w:p w:rsidR="00612FD3" w:rsidRDefault="009C524F" w:rsidP="00612FD3">
      <w:pPr>
        <w:pStyle w:val="ListBullet"/>
        <w:numPr>
          <w:ilvl w:val="0"/>
          <w:numId w:val="36"/>
        </w:numPr>
        <w:rPr>
          <w:lang w:bidi="fa-IR"/>
        </w:rPr>
      </w:pPr>
      <w:r>
        <w:rPr>
          <w:lang w:bidi="fa-IR"/>
        </w:rPr>
        <w:t>As in the Consultation RIS, o</w:t>
      </w:r>
      <w:r w:rsidR="00612FD3">
        <w:rPr>
          <w:lang w:bidi="fa-IR"/>
        </w:rPr>
        <w:t>ur baseline assumes voluntary uptake of LED lighting in commercial buildings, consistent with industry expectations.</w:t>
      </w:r>
    </w:p>
    <w:p w:rsidR="00E86D4A" w:rsidRDefault="00E86D4A" w:rsidP="00612FD3">
      <w:pPr>
        <w:pStyle w:val="ListBullet"/>
        <w:numPr>
          <w:ilvl w:val="0"/>
          <w:numId w:val="36"/>
        </w:numPr>
        <w:rPr>
          <w:lang w:bidi="fa-IR"/>
        </w:rPr>
      </w:pPr>
      <w:r>
        <w:rPr>
          <w:lang w:bidi="fa-IR"/>
        </w:rPr>
        <w:t>Insulation material cost assumptions were updated</w:t>
      </w:r>
      <w:r w:rsidR="008B0049">
        <w:rPr>
          <w:lang w:bidi="fa-IR"/>
        </w:rPr>
        <w:t>,</w:t>
      </w:r>
      <w:r>
        <w:rPr>
          <w:lang w:bidi="fa-IR"/>
        </w:rPr>
        <w:t xml:space="preserve"> replacing the need for sensitivity testing.  </w:t>
      </w:r>
    </w:p>
    <w:p w:rsidR="00612FD3" w:rsidRDefault="00612FD3" w:rsidP="00612FD3">
      <w:pPr>
        <w:pStyle w:val="ListBullet"/>
        <w:numPr>
          <w:ilvl w:val="0"/>
          <w:numId w:val="36"/>
        </w:numPr>
      </w:pPr>
      <w:r>
        <w:t xml:space="preserve">The available (albeit limited) evidence suggests that the relationship between simulated and actual energy consumption is relatively weak and that as low as only around half of predicted energy savings may be realised in practice. The potential for engineering estimates to overstate the energy savings from improved energy efficiency is a modelling issue raised in international literature. </w:t>
      </w:r>
      <w:r w:rsidR="00D17715">
        <w:t>As in the Consultation RIS, w</w:t>
      </w:r>
      <w:r>
        <w:t>e report benefit estimates under three alternative scenarios</w:t>
      </w:r>
      <w:r w:rsidR="00A9127D">
        <w:t xml:space="preserve">, with most submissions to the Consultation RIS suggesting low to medium realisation </w:t>
      </w:r>
      <w:r w:rsidR="00025FD2">
        <w:t>is</w:t>
      </w:r>
      <w:r w:rsidR="00A9127D">
        <w:t xml:space="preserve"> a more likely scenario.</w:t>
      </w:r>
    </w:p>
    <w:p w:rsidR="00612FD3" w:rsidRDefault="00612FD3" w:rsidP="00612FD3">
      <w:pPr>
        <w:pStyle w:val="ListBullet2"/>
        <w:numPr>
          <w:ilvl w:val="1"/>
          <w:numId w:val="36"/>
        </w:numPr>
      </w:pPr>
      <w:r>
        <w:lastRenderedPageBreak/>
        <w:t>Under the first (low) scenario, we assume that 49 per cent of modelled energy savings are achieved in practice. This is consistent with the relationship between modelled and actual GHG emission savings implied by the Green Star data.</w:t>
      </w:r>
      <w:r w:rsidR="00025FD2">
        <w:rPr>
          <w:rStyle w:val="FootnoteReference"/>
        </w:rPr>
        <w:footnoteReference w:id="7"/>
      </w:r>
    </w:p>
    <w:p w:rsidR="00612FD3" w:rsidRDefault="00612FD3" w:rsidP="00612FD3">
      <w:pPr>
        <w:pStyle w:val="ListBullet2"/>
        <w:numPr>
          <w:ilvl w:val="1"/>
          <w:numId w:val="36"/>
        </w:numPr>
      </w:pPr>
      <w:r>
        <w:t>Under the second (medium) scenario, we assume that 75 per cent of modelled energy savings are achieved in practice. This is consistent with the relationship between modelled and actual GHG emissions implied by the Green Star data when the five outliers have been excluded.</w:t>
      </w:r>
    </w:p>
    <w:p w:rsidR="00612FD3" w:rsidRDefault="00612FD3" w:rsidP="00612FD3">
      <w:pPr>
        <w:pStyle w:val="ListBullet2"/>
        <w:numPr>
          <w:ilvl w:val="1"/>
          <w:numId w:val="36"/>
        </w:numPr>
      </w:pPr>
      <w:r>
        <w:t>Under the third (high) scenario, modelled energy savings are assumed to be achieved fully in practice.</w:t>
      </w:r>
    </w:p>
    <w:p w:rsidR="00612FD3" w:rsidRDefault="00612FD3" w:rsidP="00612FD3">
      <w:pPr>
        <w:pStyle w:val="ListBullet"/>
        <w:numPr>
          <w:ilvl w:val="0"/>
          <w:numId w:val="36"/>
        </w:numPr>
        <w:rPr>
          <w:lang w:bidi="fa-IR"/>
        </w:rPr>
      </w:pPr>
      <w:r>
        <w:rPr>
          <w:lang w:bidi="fa-IR"/>
        </w:rPr>
        <w:t xml:space="preserve">Compliance cost estimates are largely based on </w:t>
      </w:r>
      <w:r w:rsidR="003F28DD">
        <w:rPr>
          <w:lang w:bidi="fa-IR"/>
        </w:rPr>
        <w:t>EA</w:t>
      </w:r>
      <w:r>
        <w:rPr>
          <w:lang w:bidi="fa-IR"/>
        </w:rPr>
        <w:t xml:space="preserve"> modelling. This modelling suggests that construction costs may fall due to changes in the methodology of setting the stringency, in particular for wall and glazing. By contrast, cost</w:t>
      </w:r>
      <w:r w:rsidR="00025FD2">
        <w:rPr>
          <w:lang w:bidi="fa-IR"/>
        </w:rPr>
        <w:t>s</w:t>
      </w:r>
      <w:r>
        <w:rPr>
          <w:lang w:bidi="fa-IR"/>
        </w:rPr>
        <w:t xml:space="preserve"> for services will in general increase due to change in stringency. In some cases, the fall in facades costs </w:t>
      </w:r>
      <w:r w:rsidR="008B0049">
        <w:rPr>
          <w:lang w:bidi="fa-IR"/>
        </w:rPr>
        <w:t>out</w:t>
      </w:r>
      <w:r>
        <w:rPr>
          <w:lang w:bidi="fa-IR"/>
        </w:rPr>
        <w:t>weights the rise in services costs, leading to fall in total construction costs.</w:t>
      </w:r>
      <w:r w:rsidDel="0029581E">
        <w:rPr>
          <w:lang w:bidi="fa-IR"/>
        </w:rPr>
        <w:t xml:space="preserve"> </w:t>
      </w:r>
    </w:p>
    <w:p w:rsidR="00363874" w:rsidRDefault="00363874" w:rsidP="00612FD3">
      <w:pPr>
        <w:pStyle w:val="BodyText"/>
        <w:rPr>
          <w:lang w:bidi="fa-IR"/>
        </w:rPr>
      </w:pPr>
      <w:r>
        <w:rPr>
          <w:lang w:bidi="fa-IR"/>
        </w:rPr>
        <w:t>In addition to the core modelling, additional modelling was</w:t>
      </w:r>
      <w:r w:rsidR="00361797">
        <w:rPr>
          <w:lang w:bidi="fa-IR"/>
        </w:rPr>
        <w:t xml:space="preserve"> undertaken as follows.</w:t>
      </w:r>
    </w:p>
    <w:p w:rsidR="00361797" w:rsidRDefault="00361797" w:rsidP="00361797">
      <w:pPr>
        <w:pStyle w:val="ListBullet"/>
        <w:rPr>
          <w:lang w:bidi="fa-IR"/>
        </w:rPr>
      </w:pPr>
      <w:r>
        <w:rPr>
          <w:lang w:bidi="fa-IR"/>
        </w:rPr>
        <w:t>To address concerns about compliance costs for premium office buildings, which tend to be more extensively glazed than other commercial buildings</w:t>
      </w:r>
      <w:r w:rsidR="00300DE5">
        <w:rPr>
          <w:lang w:bidi="fa-IR"/>
        </w:rPr>
        <w:t>, an office building was modelled with higher WWRs.</w:t>
      </w:r>
    </w:p>
    <w:p w:rsidR="00300DE5" w:rsidRDefault="00A75BBA" w:rsidP="00361797">
      <w:pPr>
        <w:pStyle w:val="ListBullet"/>
        <w:rPr>
          <w:lang w:bidi="fa-IR"/>
        </w:rPr>
      </w:pPr>
      <w:r>
        <w:rPr>
          <w:lang w:bidi="fa-IR"/>
        </w:rPr>
        <w:t xml:space="preserve">Stakeholders also requested further disaggregation across the different elements of the </w:t>
      </w:r>
      <w:r w:rsidR="008B0049">
        <w:rPr>
          <w:lang w:bidi="fa-IR"/>
        </w:rPr>
        <w:t>Deemed-to-Satisfy (</w:t>
      </w:r>
      <w:r>
        <w:rPr>
          <w:lang w:bidi="fa-IR"/>
        </w:rPr>
        <w:t>DTS</w:t>
      </w:r>
      <w:r w:rsidR="008B0049">
        <w:rPr>
          <w:lang w:bidi="fa-IR"/>
        </w:rPr>
        <w:t>)</w:t>
      </w:r>
      <w:r>
        <w:rPr>
          <w:lang w:bidi="fa-IR"/>
        </w:rPr>
        <w:t xml:space="preserve"> provisions. </w:t>
      </w:r>
      <w:r w:rsidR="003F28DD">
        <w:rPr>
          <w:lang w:bidi="fa-IR"/>
        </w:rPr>
        <w:t>EA</w:t>
      </w:r>
      <w:r>
        <w:rPr>
          <w:lang w:bidi="fa-IR"/>
        </w:rPr>
        <w:t xml:space="preserve"> therefore completed additional simulations, which allowed a decomposition of energy savings and costs between services and the façade to provide additional insights.</w:t>
      </w:r>
    </w:p>
    <w:p w:rsidR="00612FD3" w:rsidRDefault="00612FD3" w:rsidP="00612FD3">
      <w:pPr>
        <w:pStyle w:val="BodyText"/>
        <w:rPr>
          <w:lang w:bidi="fa-IR"/>
        </w:rPr>
      </w:pPr>
      <w:r>
        <w:rPr>
          <w:lang w:bidi="fa-IR"/>
        </w:rPr>
        <w:t xml:space="preserve">Building level benefits (including mainly energy savings, greenhouse gas emissions and savings in administrative costs) and costs (including mainly the change in construction costs) are then converted to unit benefits and unit costs per square metre of net lettable area (NLA) for each building class in every </w:t>
      </w:r>
      <w:r w:rsidR="00E31EE8">
        <w:rPr>
          <w:lang w:bidi="fa-IR"/>
        </w:rPr>
        <w:t>Climate Zone</w:t>
      </w:r>
      <w:r>
        <w:rPr>
          <w:lang w:bidi="fa-IR"/>
        </w:rPr>
        <w:t xml:space="preserve">. These unit benefits and costs are then applied to </w:t>
      </w:r>
      <w:r w:rsidR="00025FD2">
        <w:rPr>
          <w:lang w:bidi="fa-IR"/>
        </w:rPr>
        <w:t xml:space="preserve">the </w:t>
      </w:r>
      <w:r>
        <w:rPr>
          <w:lang w:bidi="fa-IR"/>
        </w:rPr>
        <w:t>projected area of new commercial building by building class and jurisdiction/</w:t>
      </w:r>
      <w:r w:rsidR="00E31EE8">
        <w:rPr>
          <w:lang w:bidi="fa-IR"/>
        </w:rPr>
        <w:t>Climate Zone</w:t>
      </w:r>
      <w:r>
        <w:rPr>
          <w:lang w:bidi="fa-IR"/>
        </w:rPr>
        <w:t xml:space="preserve"> to estimate total benefits and costs for each building class in each state or territory. National benefits and costs are an aggregation of benefits and costs across building class and jurisdiction.</w:t>
      </w:r>
    </w:p>
    <w:p w:rsidR="00612FD3" w:rsidRPr="004F0022" w:rsidRDefault="00612FD3" w:rsidP="00612FD3">
      <w:pPr>
        <w:pStyle w:val="BodyText"/>
        <w:rPr>
          <w:lang w:bidi="fa-IR"/>
        </w:rPr>
      </w:pPr>
      <w:r w:rsidRPr="002B3C0A">
        <w:rPr>
          <w:lang w:bidi="fa-IR"/>
        </w:rPr>
        <w:t>Finally</w:t>
      </w:r>
      <w:r w:rsidR="001F6F0E">
        <w:rPr>
          <w:lang w:bidi="fa-IR"/>
        </w:rPr>
        <w:t>,</w:t>
      </w:r>
      <w:r w:rsidRPr="002B3C0A">
        <w:rPr>
          <w:lang w:bidi="fa-IR"/>
        </w:rPr>
        <w:t xml:space="preserve"> sensitivity analyses are conducted to test how sensitive the results are to key factors such as compliance costs, energy prices, the social cost of carbon and discount rates.</w:t>
      </w:r>
    </w:p>
    <w:p w:rsidR="00612FD3" w:rsidRDefault="00612FD3" w:rsidP="00612FD3">
      <w:pPr>
        <w:pStyle w:val="Heading2"/>
        <w:numPr>
          <w:ilvl w:val="1"/>
          <w:numId w:val="5"/>
        </w:numPr>
        <w:rPr>
          <w:lang w:bidi="fa-IR"/>
        </w:rPr>
      </w:pPr>
      <w:bookmarkStart w:id="25" w:name="_Toc509220774"/>
      <w:bookmarkStart w:id="26" w:name="_Toc529869823"/>
      <w:bookmarkStart w:id="27" w:name="_Toc530748540"/>
      <w:r>
        <w:rPr>
          <w:lang w:bidi="fa-IR"/>
        </w:rPr>
        <w:t>Estimated impacts</w:t>
      </w:r>
      <w:bookmarkEnd w:id="25"/>
      <w:bookmarkEnd w:id="26"/>
      <w:bookmarkEnd w:id="27"/>
    </w:p>
    <w:p w:rsidR="00991E08" w:rsidRDefault="00612FD3" w:rsidP="00612FD3">
      <w:pPr>
        <w:pStyle w:val="BodyText"/>
      </w:pPr>
      <w:r>
        <w:rPr>
          <w:lang w:bidi="fa-IR"/>
        </w:rPr>
        <w:t>Costs and benefits are estimated in Net Present Value (NPV) terms over the 40</w:t>
      </w:r>
      <w:r w:rsidR="00EB5964">
        <w:rPr>
          <w:lang w:bidi="fa-IR"/>
        </w:rPr>
        <w:noBreakHyphen/>
      </w:r>
      <w:r>
        <w:rPr>
          <w:lang w:bidi="fa-IR"/>
        </w:rPr>
        <w:t>year life of buildings constructed during a ten</w:t>
      </w:r>
      <w:r w:rsidR="002D2613">
        <w:rPr>
          <w:lang w:bidi="fa-IR"/>
        </w:rPr>
        <w:noBreakHyphen/>
      </w:r>
      <w:r>
        <w:rPr>
          <w:lang w:bidi="fa-IR"/>
        </w:rPr>
        <w:t xml:space="preserve">year regulatory period, using a discount rate of 7 per cent. </w:t>
      </w:r>
      <w:r>
        <w:t xml:space="preserve">The CBA results under each of the </w:t>
      </w:r>
      <w:r w:rsidR="0040126F">
        <w:t>realisation</w:t>
      </w:r>
      <w:r>
        <w:t xml:space="preserve"> scenarios described above are shown in table</w:t>
      </w:r>
      <w:r w:rsidR="0040126F">
        <w:t> </w:t>
      </w:r>
      <w:r w:rsidR="00CE55B1">
        <w:rPr>
          <w:noProof/>
        </w:rPr>
        <w:fldChar w:fldCharType="begin"/>
      </w:r>
      <w:r w:rsidR="00CE55B1">
        <w:rPr>
          <w:noProof/>
        </w:rPr>
        <w:instrText xml:space="preserve"> REF _Caption3529 </w:instrText>
      </w:r>
      <w:r w:rsidR="00CE55B1">
        <w:rPr>
          <w:noProof/>
        </w:rPr>
        <w:fldChar w:fldCharType="separate"/>
      </w:r>
      <w:r w:rsidR="006B79B8">
        <w:rPr>
          <w:noProof/>
        </w:rPr>
        <w:t>1</w:t>
      </w:r>
      <w:r w:rsidR="00CE55B1">
        <w:rPr>
          <w:noProof/>
        </w:rPr>
        <w:fldChar w:fldCharType="end"/>
      </w:r>
      <w:r>
        <w:t>.</w:t>
      </w:r>
    </w:p>
    <w:p w:rsidR="002D2613" w:rsidRDefault="002D2613" w:rsidP="00442369">
      <w:pPr>
        <w:pStyle w:val="ListBullet"/>
      </w:pPr>
      <w:r>
        <w:lastRenderedPageBreak/>
        <w:t>Under the low realisation scenario</w:t>
      </w:r>
      <w:r w:rsidR="00640294">
        <w:t xml:space="preserve"> (where only </w:t>
      </w:r>
      <w:r w:rsidR="00E31EE8">
        <w:t>49</w:t>
      </w:r>
      <w:r w:rsidR="00640294">
        <w:t> per cent of modelled energy savings are achieved)</w:t>
      </w:r>
      <w:r>
        <w:t>:</w:t>
      </w:r>
    </w:p>
    <w:p w:rsidR="002D2613" w:rsidRDefault="00640294" w:rsidP="00442369">
      <w:pPr>
        <w:pStyle w:val="ListBullet2"/>
      </w:pPr>
      <w:r>
        <w:t>t</w:t>
      </w:r>
      <w:r w:rsidR="002D2613">
        <w:t>he proposed changes to the NCC are estimated to deliver a net benefit to the community of around $769 million</w:t>
      </w:r>
    </w:p>
    <w:p w:rsidR="002D2613" w:rsidRDefault="002D2613" w:rsidP="00442369">
      <w:pPr>
        <w:pStyle w:val="ListBullet2"/>
      </w:pPr>
      <w:r>
        <w:t>addition</w:t>
      </w:r>
      <w:r w:rsidR="00640294">
        <w:t xml:space="preserve">al </w:t>
      </w:r>
      <w:r>
        <w:t>global benefits from reduced greenhouse gas (GHG) emissions</w:t>
      </w:r>
      <w:r w:rsidR="00640294">
        <w:t xml:space="preserve"> are estimated at around $369 million</w:t>
      </w:r>
      <w:r>
        <w:t>.</w:t>
      </w:r>
    </w:p>
    <w:p w:rsidR="002D2613" w:rsidRDefault="002D2613" w:rsidP="00442369">
      <w:pPr>
        <w:pStyle w:val="ListBullet"/>
      </w:pPr>
      <w:r>
        <w:t>Under the medium realisation scenario</w:t>
      </w:r>
      <w:r w:rsidR="00640294">
        <w:t xml:space="preserve"> (where 75 per cent of modelled energy savings are achieved)</w:t>
      </w:r>
      <w:r>
        <w:t>:</w:t>
      </w:r>
    </w:p>
    <w:p w:rsidR="002D2613" w:rsidRDefault="00640294" w:rsidP="00442369">
      <w:pPr>
        <w:pStyle w:val="ListBullet2"/>
      </w:pPr>
      <w:r>
        <w:t>t</w:t>
      </w:r>
      <w:r w:rsidR="002D2613">
        <w:t>he proposed changes to the NCC are estimated to deliver a net benefit to the community of around $1.42 billion</w:t>
      </w:r>
    </w:p>
    <w:p w:rsidR="00640294" w:rsidRDefault="00640294" w:rsidP="00442369">
      <w:pPr>
        <w:pStyle w:val="ListBullet2"/>
      </w:pPr>
      <w:r>
        <w:t>additional global benefits from reduced GHG emissions are estimated at around $553 million.</w:t>
      </w:r>
    </w:p>
    <w:p w:rsidR="00640294" w:rsidRDefault="00640294" w:rsidP="00442369">
      <w:pPr>
        <w:pStyle w:val="ListBullet"/>
      </w:pPr>
      <w:r>
        <w:t>Under the high realisation scenario (where the full modelled energy savings are achieved):</w:t>
      </w:r>
    </w:p>
    <w:p w:rsidR="00640294" w:rsidRDefault="00640294" w:rsidP="00442369">
      <w:pPr>
        <w:pStyle w:val="ListBullet2"/>
      </w:pPr>
      <w:r>
        <w:t>the proposed changes to the NCC are estimated to deliver a net benefit to the community of around $2.1 billion</w:t>
      </w:r>
    </w:p>
    <w:p w:rsidR="00640294" w:rsidRDefault="00640294" w:rsidP="00442369">
      <w:pPr>
        <w:pStyle w:val="ListBullet2"/>
      </w:pPr>
      <w:r>
        <w:t>additional global benefits from reduced GHG emissions are estimated at around $738 million.</w:t>
      </w:r>
    </w:p>
    <w:p w:rsidR="006133DD" w:rsidRDefault="00991E08" w:rsidP="00612FD3">
      <w:pPr>
        <w:pStyle w:val="BodyText"/>
      </w:pPr>
      <w:r>
        <w:t xml:space="preserve">The proposed changes to the NCC are estimated to deliver significant net benefits </w:t>
      </w:r>
      <w:r w:rsidR="00640294">
        <w:t xml:space="preserve">even </w:t>
      </w:r>
      <w:r>
        <w:t xml:space="preserve">under the </w:t>
      </w:r>
      <w:r w:rsidR="00640294">
        <w:t xml:space="preserve">(possibly more plausible) </w:t>
      </w:r>
      <w:r>
        <w:t>low</w:t>
      </w:r>
      <w:r w:rsidR="00640294">
        <w:t xml:space="preserve"> and</w:t>
      </w:r>
      <w:r>
        <w:t xml:space="preserve"> medium scenarios.</w:t>
      </w:r>
      <w:r w:rsidR="001F6F0E">
        <w:t xml:space="preserve"> Furthermore, the proposed changes are estimated to deliver net </w:t>
      </w:r>
      <w:r w:rsidR="00640294">
        <w:t xml:space="preserve">benefits </w:t>
      </w:r>
      <w:r w:rsidR="001F6F0E">
        <w:t>in</w:t>
      </w:r>
      <w:r w:rsidR="009157A3">
        <w:t xml:space="preserve"> every </w:t>
      </w:r>
      <w:r w:rsidR="00025FD2">
        <w:t>jurisdiction</w:t>
      </w:r>
      <w:r w:rsidR="009157A3">
        <w:t xml:space="preserve"> under all scenarios.</w:t>
      </w:r>
    </w:p>
    <w:p w:rsidR="00991E08" w:rsidRDefault="003F28DD" w:rsidP="00612FD3">
      <w:pPr>
        <w:pStyle w:val="BodyText"/>
      </w:pPr>
      <w:r>
        <w:t>EA</w:t>
      </w:r>
      <w:r w:rsidR="006133DD">
        <w:t>’s modelling suggests that significant energy efficiency improvement can be made in commercial buildings at a relatively modest additional cost. The modest increase in construction costs is largely an impact of improvement in the methodology of setting the stringency. For example, EA</w:t>
      </w:r>
      <w:r w:rsidR="00C61460">
        <w:t>’s</w:t>
      </w:r>
      <w:r w:rsidR="006133DD">
        <w:t xml:space="preserve"> study found that solar heat gain coefficient (SHGC) is a more important parameter for window performance than </w:t>
      </w:r>
      <w:r w:rsidR="006F1C6A">
        <w:t>U-Value</w:t>
      </w:r>
      <w:r w:rsidR="00C10F39">
        <w:t>,</w:t>
      </w:r>
      <w:r w:rsidR="006133DD">
        <w:t xml:space="preserve"> while the</w:t>
      </w:r>
      <w:r w:rsidR="00C10F39">
        <w:t xml:space="preserve"> cost of</w:t>
      </w:r>
      <w:r w:rsidR="006133DD">
        <w:t xml:space="preserve"> window products in the market appear</w:t>
      </w:r>
      <w:r w:rsidR="00C10F39">
        <w:t>s</w:t>
      </w:r>
      <w:r w:rsidR="006133DD">
        <w:t xml:space="preserve"> to be highly related to </w:t>
      </w:r>
      <w:r w:rsidR="006F1C6A">
        <w:t>U-Value</w:t>
      </w:r>
      <w:r w:rsidR="006133DD">
        <w:t xml:space="preserve"> rather than SHGC. By changing the focus of the code from </w:t>
      </w:r>
      <w:r w:rsidR="006F1C6A">
        <w:t>U-Value</w:t>
      </w:r>
      <w:r w:rsidR="006133DD">
        <w:t xml:space="preserve"> to SHGC, the proposed change in specifying the stringency for glazing enables cost saving by choosing a window with better SHGC and relatively poorer </w:t>
      </w:r>
      <w:r w:rsidR="006F1C6A">
        <w:t>U-Value</w:t>
      </w:r>
      <w:r w:rsidR="006133DD">
        <w:t xml:space="preserve">. Furthermore, stringency is proposed to </w:t>
      </w:r>
      <w:r w:rsidR="00025FD2">
        <w:t xml:space="preserve">be </w:t>
      </w:r>
      <w:r w:rsidR="006133DD">
        <w:t xml:space="preserve">set for whole façade rather than separately for wall and glazing as in the current </w:t>
      </w:r>
      <w:r w:rsidR="00025FD2">
        <w:t>c</w:t>
      </w:r>
      <w:r w:rsidR="006133DD">
        <w:t>ode. In this way, substitution between glazing and insulation is possible and could further reduce construction cost.</w:t>
      </w:r>
    </w:p>
    <w:p w:rsidR="0040126F" w:rsidRDefault="0040126F" w:rsidP="0040126F">
      <w:pPr>
        <w:pStyle w:val="Caption"/>
        <w:spacing w:before="240"/>
      </w:pPr>
      <w:r w:rsidRPr="00251244">
        <w:fldChar w:fldCharType="begin"/>
      </w:r>
      <w:r w:rsidRPr="00251244">
        <w:instrText xml:space="preserve"> IF 1 = 1 "</w:instrText>
      </w:r>
      <w:r w:rsidRPr="00251244">
        <w:fldChar w:fldCharType="begin"/>
      </w:r>
      <w:r w:rsidRPr="00251244">
        <w:instrText xml:space="preserve"> IF </w:instrText>
      </w:r>
      <w:r>
        <w:rPr>
          <w:noProof/>
        </w:rPr>
        <w:fldChar w:fldCharType="begin"/>
      </w:r>
      <w:r>
        <w:rPr>
          <w:noProof/>
        </w:rPr>
        <w:instrText xml:space="preserve"> STYLEREF "Heading 6" \l \n </w:instrText>
      </w:r>
      <w:r>
        <w:rPr>
          <w:noProof/>
        </w:rPr>
        <w:fldChar w:fldCharType="separate"/>
      </w:r>
      <w:r w:rsidR="006B79B8">
        <w:rPr>
          <w:noProof/>
        </w:rPr>
        <w:instrText>0</w:instrText>
      </w:r>
      <w:r>
        <w:rPr>
          <w:noProof/>
        </w:rPr>
        <w:fldChar w:fldCharType="end"/>
      </w:r>
      <w:r w:rsidRPr="00251244">
        <w:instrText xml:space="preserve"> = 0 "</w:instrText>
      </w:r>
      <w:r w:rsidRPr="00251244">
        <w:fldChar w:fldCharType="begin"/>
      </w:r>
      <w:r w:rsidRPr="00251244">
        <w:instrText xml:space="preserve"> IF </w:instrText>
      </w:r>
      <w:r>
        <w:rPr>
          <w:noProof/>
        </w:rPr>
        <w:fldChar w:fldCharType="begin"/>
      </w:r>
      <w:r>
        <w:rPr>
          <w:noProof/>
        </w:rPr>
        <w:instrText xml:space="preserve"> STYLEREF "Heading 1" \l \n </w:instrText>
      </w:r>
      <w:r>
        <w:rPr>
          <w:noProof/>
        </w:rPr>
        <w:fldChar w:fldCharType="separate"/>
      </w:r>
      <w:r w:rsidR="006B79B8">
        <w:rPr>
          <w:noProof/>
        </w:rPr>
        <w:instrText>0</w:instrText>
      </w:r>
      <w:r>
        <w:rPr>
          <w:noProof/>
        </w:rPr>
        <w:fldChar w:fldCharType="end"/>
      </w:r>
      <w:r w:rsidRPr="00251244">
        <w:instrText xml:space="preserve"> = 0 "" "</w:instrText>
      </w:r>
      <w:r>
        <w:rPr>
          <w:noProof/>
        </w:rPr>
        <w:fldChar w:fldCharType="begin"/>
      </w:r>
      <w:r>
        <w:rPr>
          <w:noProof/>
        </w:rPr>
        <w:instrText xml:space="preserve"> STYLEREF "Heading 1" \l \n </w:instrText>
      </w:r>
      <w:r>
        <w:rPr>
          <w:noProof/>
        </w:rPr>
        <w:fldChar w:fldCharType="separate"/>
      </w:r>
      <w:r>
        <w:rPr>
          <w:noProof/>
        </w:rPr>
        <w:instrText>8</w:instrText>
      </w:r>
      <w:r>
        <w:rPr>
          <w:noProof/>
        </w:rPr>
        <w:fldChar w:fldCharType="end"/>
      </w:r>
      <w:r w:rsidRPr="00251244">
        <w:instrText xml:space="preserve">." </w:instrText>
      </w:r>
      <w:r w:rsidRPr="00251244">
        <w:fldChar w:fldCharType="end"/>
      </w:r>
      <w:r w:rsidRPr="00251244">
        <w:instrText>" "</w:instrText>
      </w:r>
      <w:r w:rsidR="001F6F43">
        <w:fldChar w:fldCharType="begin"/>
      </w:r>
      <w:r w:rsidR="001F6F43">
        <w:instrText xml:space="preserve"> STYLEREF "Heading 6" \l \n </w:instrText>
      </w:r>
      <w:r w:rsidR="001F6F43">
        <w:fldChar w:fldCharType="separate"/>
      </w:r>
      <w:r w:rsidRPr="00251244">
        <w:instrText>B</w:instrText>
      </w:r>
      <w:r w:rsidR="001F6F43">
        <w:fldChar w:fldCharType="end"/>
      </w:r>
      <w:r w:rsidRPr="00251244">
        <w:instrText xml:space="preserve">." </w:instrText>
      </w:r>
      <w:r w:rsidRPr="00251244">
        <w:fldChar w:fldCharType="end"/>
      </w:r>
      <w:r w:rsidRPr="00251244">
        <w:fldChar w:fldCharType="begin"/>
      </w:r>
      <w:r w:rsidRPr="00251244">
        <w:instrText xml:space="preserve"> SEQ Item \* ARABIC \s </w:instrText>
      </w:r>
      <w:r w:rsidRPr="00251244">
        <w:fldChar w:fldCharType="begin"/>
      </w:r>
      <w:r w:rsidRPr="00251244">
        <w:instrText xml:space="preserve"> IF </w:instrText>
      </w:r>
      <w:r>
        <w:rPr>
          <w:noProof/>
        </w:rPr>
        <w:fldChar w:fldCharType="begin"/>
      </w:r>
      <w:r>
        <w:rPr>
          <w:noProof/>
        </w:rPr>
        <w:instrText xml:space="preserve"> STYLEREF "Heading 6" \l \n </w:instrText>
      </w:r>
      <w:r>
        <w:rPr>
          <w:noProof/>
        </w:rPr>
        <w:fldChar w:fldCharType="separate"/>
      </w:r>
      <w:r w:rsidR="006B79B8">
        <w:rPr>
          <w:noProof/>
        </w:rPr>
        <w:instrText>0</w:instrText>
      </w:r>
      <w:r>
        <w:rPr>
          <w:noProof/>
        </w:rPr>
        <w:fldChar w:fldCharType="end"/>
      </w:r>
      <w:r w:rsidRPr="00251244">
        <w:instrText xml:space="preserve"> = 0 "</w:instrText>
      </w:r>
      <w:r w:rsidRPr="00251244">
        <w:fldChar w:fldCharType="begin"/>
      </w:r>
      <w:r w:rsidRPr="00251244">
        <w:instrText xml:space="preserve"> IF </w:instrText>
      </w:r>
      <w:r>
        <w:rPr>
          <w:noProof/>
        </w:rPr>
        <w:fldChar w:fldCharType="begin"/>
      </w:r>
      <w:r>
        <w:rPr>
          <w:noProof/>
        </w:rPr>
        <w:instrText xml:space="preserve"> STYLEREF "Heading 1" \l \n </w:instrText>
      </w:r>
      <w:r>
        <w:rPr>
          <w:noProof/>
        </w:rPr>
        <w:fldChar w:fldCharType="separate"/>
      </w:r>
      <w:r w:rsidR="006B79B8">
        <w:rPr>
          <w:noProof/>
        </w:rPr>
        <w:instrText>0</w:instrText>
      </w:r>
      <w:r>
        <w:rPr>
          <w:noProof/>
        </w:rPr>
        <w:fldChar w:fldCharType="end"/>
      </w:r>
      <w:r w:rsidRPr="00251244">
        <w:instrText xml:space="preserve"> = 0 "" "1" </w:instrText>
      </w:r>
      <w:r w:rsidRPr="00251244">
        <w:fldChar w:fldCharType="end"/>
      </w:r>
      <w:r w:rsidRPr="00251244">
        <w:instrText xml:space="preserve">" "6" </w:instrText>
      </w:r>
      <w:r w:rsidRPr="00251244">
        <w:fldChar w:fldCharType="end"/>
      </w:r>
      <w:r w:rsidRPr="00251244">
        <w:instrText xml:space="preserve"> </w:instrText>
      </w:r>
      <w:r w:rsidRPr="00251244">
        <w:fldChar w:fldCharType="separate"/>
      </w:r>
      <w:r w:rsidR="00EA42ED">
        <w:rPr>
          <w:noProof/>
        </w:rPr>
        <w:instrText>1</w:instrText>
      </w:r>
      <w:r w:rsidRPr="00251244">
        <w:fldChar w:fldCharType="end"/>
      </w:r>
      <w:r w:rsidRPr="00251244">
        <w:instrText xml:space="preserve">" "" </w:instrText>
      </w:r>
      <w:r w:rsidRPr="00251244">
        <w:fldChar w:fldCharType="separate"/>
      </w:r>
      <w:bookmarkStart w:id="28" w:name="_Caption3529"/>
      <w:bookmarkStart w:id="29" w:name="_Caption3542"/>
      <w:bookmarkStart w:id="30" w:name="_Toc529869892"/>
      <w:bookmarkStart w:id="31" w:name="_Toc530748388"/>
      <w:r w:rsidR="00EA42ED">
        <w:rPr>
          <w:noProof/>
        </w:rPr>
        <w:t>1</w:t>
      </w:r>
      <w:bookmarkEnd w:id="28"/>
      <w:bookmarkEnd w:id="29"/>
      <w:r w:rsidRPr="00251244">
        <w:fldChar w:fldCharType="end"/>
      </w:r>
      <w:r w:rsidRPr="00251244">
        <w:tab/>
        <w:t>Net benefit/costs of proposed changes to the NCC</w:t>
      </w:r>
      <w:bookmarkEnd w:id="30"/>
      <w:bookmarkEnd w:id="31"/>
    </w:p>
    <w:tbl>
      <w:tblPr>
        <w:tblW w:w="8080" w:type="dxa"/>
        <w:tblLayout w:type="fixed"/>
        <w:tblLook w:val="0000" w:firstRow="0" w:lastRow="0" w:firstColumn="0" w:lastColumn="0" w:noHBand="0" w:noVBand="0"/>
        <w:tblCaption w:val="Table 1: Net benefit/cost of proposed changes to the NCC"/>
        <w:tblDescription w:val="This table provides a breakdown of the costs and benefits of the proposed changes to the energy efficiency provisions of the NCC. Total net benefits range from $770 million to $2 billion in Net Present Value terms."/>
      </w:tblPr>
      <w:tblGrid>
        <w:gridCol w:w="1616"/>
        <w:gridCol w:w="709"/>
        <w:gridCol w:w="709"/>
        <w:gridCol w:w="709"/>
        <w:gridCol w:w="709"/>
        <w:gridCol w:w="709"/>
        <w:gridCol w:w="709"/>
        <w:gridCol w:w="709"/>
        <w:gridCol w:w="709"/>
        <w:gridCol w:w="792"/>
      </w:tblGrid>
      <w:tr w:rsidR="0040126F" w:rsidTr="005D417E">
        <w:trPr>
          <w:trHeight w:val="230"/>
          <w:tblHeader/>
        </w:trPr>
        <w:tc>
          <w:tcPr>
            <w:tcW w:w="1616" w:type="dxa"/>
            <w:shd w:val="clear" w:color="auto" w:fill="6F6652"/>
            <w:tcMar>
              <w:left w:w="57" w:type="dxa"/>
              <w:right w:w="57" w:type="dxa"/>
            </w:tcMar>
          </w:tcPr>
          <w:p w:rsidR="0040126F" w:rsidRDefault="0040126F" w:rsidP="005D417E">
            <w:pPr>
              <w:pStyle w:val="TableDataColumnHeading"/>
              <w:jc w:val="left"/>
              <w:rPr>
                <w:lang w:val="en-GB"/>
              </w:rPr>
            </w:pPr>
          </w:p>
        </w:tc>
        <w:tc>
          <w:tcPr>
            <w:tcW w:w="709" w:type="dxa"/>
            <w:shd w:val="clear" w:color="auto" w:fill="6F6652"/>
            <w:tcMar>
              <w:left w:w="57" w:type="dxa"/>
              <w:right w:w="57" w:type="dxa"/>
            </w:tcMar>
          </w:tcPr>
          <w:p w:rsidR="0040126F" w:rsidRDefault="0040126F" w:rsidP="005D417E">
            <w:pPr>
              <w:pStyle w:val="TableDataColumnHeading"/>
              <w:rPr>
                <w:lang w:val="en-GB"/>
              </w:rPr>
            </w:pPr>
            <w:r>
              <w:rPr>
                <w:lang w:val="en-GB"/>
              </w:rPr>
              <w:t>NSW</w:t>
            </w:r>
          </w:p>
        </w:tc>
        <w:tc>
          <w:tcPr>
            <w:tcW w:w="709" w:type="dxa"/>
            <w:shd w:val="clear" w:color="auto" w:fill="6F6652"/>
            <w:tcMar>
              <w:left w:w="57" w:type="dxa"/>
              <w:right w:w="57" w:type="dxa"/>
            </w:tcMar>
          </w:tcPr>
          <w:p w:rsidR="0040126F" w:rsidRDefault="0040126F" w:rsidP="005D417E">
            <w:pPr>
              <w:pStyle w:val="TableDataColumnHeading"/>
              <w:rPr>
                <w:lang w:val="en-GB"/>
              </w:rPr>
            </w:pPr>
            <w:r>
              <w:rPr>
                <w:lang w:val="en-GB"/>
              </w:rPr>
              <w:t>Vic</w:t>
            </w:r>
          </w:p>
        </w:tc>
        <w:tc>
          <w:tcPr>
            <w:tcW w:w="709" w:type="dxa"/>
            <w:shd w:val="clear" w:color="auto" w:fill="6F6652"/>
            <w:tcMar>
              <w:left w:w="57" w:type="dxa"/>
              <w:right w:w="57" w:type="dxa"/>
            </w:tcMar>
          </w:tcPr>
          <w:p w:rsidR="0040126F" w:rsidRDefault="0040126F" w:rsidP="005D417E">
            <w:pPr>
              <w:pStyle w:val="TableDataColumnHeading"/>
              <w:rPr>
                <w:lang w:val="en-GB"/>
              </w:rPr>
            </w:pPr>
            <w:r>
              <w:rPr>
                <w:lang w:val="en-GB"/>
              </w:rPr>
              <w:t>Qld</w:t>
            </w:r>
          </w:p>
        </w:tc>
        <w:tc>
          <w:tcPr>
            <w:tcW w:w="709" w:type="dxa"/>
            <w:shd w:val="clear" w:color="auto" w:fill="6F6652"/>
            <w:tcMar>
              <w:left w:w="57" w:type="dxa"/>
              <w:right w:w="57" w:type="dxa"/>
            </w:tcMar>
          </w:tcPr>
          <w:p w:rsidR="0040126F" w:rsidRDefault="0040126F" w:rsidP="005D417E">
            <w:pPr>
              <w:pStyle w:val="TableDataColumnHeading"/>
              <w:rPr>
                <w:lang w:val="en-GB"/>
              </w:rPr>
            </w:pPr>
            <w:r>
              <w:rPr>
                <w:lang w:val="en-GB"/>
              </w:rPr>
              <w:t>SA</w:t>
            </w:r>
          </w:p>
        </w:tc>
        <w:tc>
          <w:tcPr>
            <w:tcW w:w="709" w:type="dxa"/>
            <w:shd w:val="clear" w:color="auto" w:fill="6F6652"/>
            <w:tcMar>
              <w:left w:w="57" w:type="dxa"/>
              <w:right w:w="57" w:type="dxa"/>
            </w:tcMar>
          </w:tcPr>
          <w:p w:rsidR="0040126F" w:rsidRDefault="0040126F" w:rsidP="005D417E">
            <w:pPr>
              <w:pStyle w:val="TableDataColumnHeading"/>
              <w:rPr>
                <w:lang w:val="en-GB"/>
              </w:rPr>
            </w:pPr>
            <w:r>
              <w:rPr>
                <w:lang w:val="en-GB"/>
              </w:rPr>
              <w:t>WA</w:t>
            </w:r>
          </w:p>
        </w:tc>
        <w:tc>
          <w:tcPr>
            <w:tcW w:w="709" w:type="dxa"/>
            <w:shd w:val="clear" w:color="auto" w:fill="6F6652"/>
            <w:tcMar>
              <w:left w:w="57" w:type="dxa"/>
              <w:right w:w="57" w:type="dxa"/>
            </w:tcMar>
          </w:tcPr>
          <w:p w:rsidR="0040126F" w:rsidRDefault="0040126F" w:rsidP="005D417E">
            <w:pPr>
              <w:pStyle w:val="TableDataColumnHeading"/>
              <w:rPr>
                <w:lang w:val="en-GB"/>
              </w:rPr>
            </w:pPr>
            <w:r>
              <w:rPr>
                <w:lang w:val="en-GB"/>
              </w:rPr>
              <w:t>Tas</w:t>
            </w:r>
          </w:p>
        </w:tc>
        <w:tc>
          <w:tcPr>
            <w:tcW w:w="709" w:type="dxa"/>
            <w:shd w:val="clear" w:color="auto" w:fill="6F6652"/>
            <w:tcMar>
              <w:left w:w="57" w:type="dxa"/>
              <w:right w:w="57" w:type="dxa"/>
            </w:tcMar>
          </w:tcPr>
          <w:p w:rsidR="0040126F" w:rsidRDefault="0040126F" w:rsidP="005D417E">
            <w:pPr>
              <w:pStyle w:val="TableDataColumnHeading"/>
              <w:rPr>
                <w:lang w:val="en-GB"/>
              </w:rPr>
            </w:pPr>
            <w:r>
              <w:rPr>
                <w:lang w:val="en-GB"/>
              </w:rPr>
              <w:t>ACT</w:t>
            </w:r>
          </w:p>
        </w:tc>
        <w:tc>
          <w:tcPr>
            <w:tcW w:w="709" w:type="dxa"/>
            <w:shd w:val="clear" w:color="auto" w:fill="6F6652"/>
            <w:tcMar>
              <w:left w:w="57" w:type="dxa"/>
              <w:right w:w="57" w:type="dxa"/>
            </w:tcMar>
          </w:tcPr>
          <w:p w:rsidR="0040126F" w:rsidRDefault="0040126F" w:rsidP="005D417E">
            <w:pPr>
              <w:pStyle w:val="TableDataColumnHeading"/>
              <w:rPr>
                <w:lang w:val="en-GB"/>
              </w:rPr>
            </w:pPr>
            <w:r>
              <w:rPr>
                <w:lang w:val="en-GB"/>
              </w:rPr>
              <w:t>NT</w:t>
            </w:r>
          </w:p>
        </w:tc>
        <w:tc>
          <w:tcPr>
            <w:tcW w:w="792" w:type="dxa"/>
            <w:shd w:val="clear" w:color="auto" w:fill="6F6652"/>
            <w:tcMar>
              <w:left w:w="57" w:type="dxa"/>
              <w:right w:w="57" w:type="dxa"/>
            </w:tcMar>
          </w:tcPr>
          <w:p w:rsidR="0040126F" w:rsidRDefault="0040126F" w:rsidP="005D417E">
            <w:pPr>
              <w:pStyle w:val="TableDataColumnHeading"/>
              <w:rPr>
                <w:lang w:val="en-GB"/>
              </w:rPr>
            </w:pPr>
            <w:r>
              <w:rPr>
                <w:lang w:val="en-GB"/>
              </w:rPr>
              <w:t>Total</w:t>
            </w:r>
          </w:p>
        </w:tc>
      </w:tr>
      <w:tr w:rsidR="0040126F" w:rsidTr="005D417E">
        <w:trPr>
          <w:trHeight w:val="230"/>
          <w:tblHeader/>
        </w:trPr>
        <w:tc>
          <w:tcPr>
            <w:tcW w:w="1616" w:type="dxa"/>
            <w:tcBorders>
              <w:bottom w:val="single" w:sz="8" w:space="0" w:color="FFFFFF" w:themeColor="background1"/>
            </w:tcBorders>
            <w:shd w:val="clear" w:color="auto" w:fill="auto"/>
            <w:tcMar>
              <w:left w:w="57" w:type="dxa"/>
              <w:right w:w="57" w:type="dxa"/>
            </w:tcMar>
          </w:tcPr>
          <w:p w:rsidR="0040126F" w:rsidRDefault="0040126F" w:rsidP="005D417E">
            <w:pPr>
              <w:pStyle w:val="TableUnit"/>
              <w:jc w:val="left"/>
              <w:rPr>
                <w:lang w:val="en-GB"/>
              </w:rPr>
            </w:pPr>
          </w:p>
        </w:tc>
        <w:tc>
          <w:tcPr>
            <w:tcW w:w="709" w:type="dxa"/>
            <w:tcBorders>
              <w:bottom w:val="single" w:sz="8" w:space="0" w:color="FFFFFF" w:themeColor="background1"/>
            </w:tcBorders>
            <w:shd w:val="clear" w:color="auto" w:fill="auto"/>
            <w:tcMar>
              <w:left w:w="57" w:type="dxa"/>
              <w:right w:w="57" w:type="dxa"/>
            </w:tcMar>
          </w:tcPr>
          <w:p w:rsidR="0040126F" w:rsidRDefault="0040126F" w:rsidP="005D417E">
            <w:pPr>
              <w:pStyle w:val="TableUnit"/>
              <w:rPr>
                <w:lang w:val="en-GB"/>
              </w:rPr>
            </w:pPr>
            <w:r>
              <w:rPr>
                <w:lang w:val="en-GB"/>
              </w:rPr>
              <w:t>$ million</w:t>
            </w:r>
          </w:p>
        </w:tc>
        <w:tc>
          <w:tcPr>
            <w:tcW w:w="709" w:type="dxa"/>
            <w:tcBorders>
              <w:bottom w:val="single" w:sz="8" w:space="0" w:color="FFFFFF" w:themeColor="background1"/>
            </w:tcBorders>
            <w:shd w:val="clear" w:color="auto" w:fill="auto"/>
            <w:tcMar>
              <w:left w:w="57" w:type="dxa"/>
              <w:right w:w="57" w:type="dxa"/>
            </w:tcMar>
          </w:tcPr>
          <w:p w:rsidR="0040126F" w:rsidRDefault="0040126F" w:rsidP="005D417E">
            <w:pPr>
              <w:pStyle w:val="TableUnit"/>
              <w:rPr>
                <w:lang w:val="en-GB"/>
              </w:rPr>
            </w:pPr>
            <w:r>
              <w:rPr>
                <w:lang w:val="en-GB"/>
              </w:rPr>
              <w:t>$ million</w:t>
            </w:r>
          </w:p>
        </w:tc>
        <w:tc>
          <w:tcPr>
            <w:tcW w:w="709" w:type="dxa"/>
            <w:tcBorders>
              <w:bottom w:val="single" w:sz="8" w:space="0" w:color="FFFFFF" w:themeColor="background1"/>
            </w:tcBorders>
            <w:shd w:val="clear" w:color="auto" w:fill="auto"/>
            <w:tcMar>
              <w:left w:w="57" w:type="dxa"/>
              <w:right w:w="57" w:type="dxa"/>
            </w:tcMar>
          </w:tcPr>
          <w:p w:rsidR="0040126F" w:rsidRDefault="0040126F" w:rsidP="005D417E">
            <w:pPr>
              <w:pStyle w:val="TableUnit"/>
              <w:rPr>
                <w:lang w:val="en-GB"/>
              </w:rPr>
            </w:pPr>
            <w:r>
              <w:rPr>
                <w:lang w:val="en-GB"/>
              </w:rPr>
              <w:t>$ million</w:t>
            </w:r>
          </w:p>
        </w:tc>
        <w:tc>
          <w:tcPr>
            <w:tcW w:w="709" w:type="dxa"/>
            <w:tcBorders>
              <w:bottom w:val="single" w:sz="8" w:space="0" w:color="FFFFFF" w:themeColor="background1"/>
            </w:tcBorders>
            <w:shd w:val="clear" w:color="auto" w:fill="auto"/>
            <w:tcMar>
              <w:left w:w="57" w:type="dxa"/>
              <w:right w:w="57" w:type="dxa"/>
            </w:tcMar>
          </w:tcPr>
          <w:p w:rsidR="0040126F" w:rsidRDefault="0040126F" w:rsidP="005D417E">
            <w:pPr>
              <w:pStyle w:val="TableUnit"/>
              <w:rPr>
                <w:lang w:val="en-GB"/>
              </w:rPr>
            </w:pPr>
            <w:r>
              <w:rPr>
                <w:lang w:val="en-GB"/>
              </w:rPr>
              <w:t>$ million</w:t>
            </w:r>
          </w:p>
        </w:tc>
        <w:tc>
          <w:tcPr>
            <w:tcW w:w="709" w:type="dxa"/>
            <w:tcBorders>
              <w:bottom w:val="single" w:sz="8" w:space="0" w:color="FFFFFF" w:themeColor="background1"/>
            </w:tcBorders>
            <w:shd w:val="clear" w:color="auto" w:fill="auto"/>
            <w:tcMar>
              <w:left w:w="57" w:type="dxa"/>
              <w:right w:w="57" w:type="dxa"/>
            </w:tcMar>
          </w:tcPr>
          <w:p w:rsidR="0040126F" w:rsidRDefault="0040126F" w:rsidP="005D417E">
            <w:pPr>
              <w:pStyle w:val="TableUnit"/>
              <w:rPr>
                <w:lang w:val="en-GB"/>
              </w:rPr>
            </w:pPr>
            <w:r>
              <w:rPr>
                <w:lang w:val="en-GB"/>
              </w:rPr>
              <w:t>$ million</w:t>
            </w:r>
          </w:p>
        </w:tc>
        <w:tc>
          <w:tcPr>
            <w:tcW w:w="709" w:type="dxa"/>
            <w:tcBorders>
              <w:bottom w:val="single" w:sz="8" w:space="0" w:color="FFFFFF" w:themeColor="background1"/>
            </w:tcBorders>
            <w:shd w:val="clear" w:color="auto" w:fill="auto"/>
            <w:tcMar>
              <w:left w:w="57" w:type="dxa"/>
              <w:right w:w="57" w:type="dxa"/>
            </w:tcMar>
          </w:tcPr>
          <w:p w:rsidR="0040126F" w:rsidRDefault="0040126F" w:rsidP="005D417E">
            <w:pPr>
              <w:pStyle w:val="TableUnit"/>
              <w:rPr>
                <w:lang w:val="en-GB"/>
              </w:rPr>
            </w:pPr>
            <w:r>
              <w:rPr>
                <w:lang w:val="en-GB"/>
              </w:rPr>
              <w:t>$ million</w:t>
            </w:r>
          </w:p>
        </w:tc>
        <w:tc>
          <w:tcPr>
            <w:tcW w:w="709" w:type="dxa"/>
            <w:tcBorders>
              <w:bottom w:val="single" w:sz="8" w:space="0" w:color="FFFFFF" w:themeColor="background1"/>
            </w:tcBorders>
            <w:shd w:val="clear" w:color="auto" w:fill="auto"/>
            <w:tcMar>
              <w:left w:w="57" w:type="dxa"/>
              <w:right w:w="57" w:type="dxa"/>
            </w:tcMar>
          </w:tcPr>
          <w:p w:rsidR="0040126F" w:rsidRDefault="0040126F" w:rsidP="005D417E">
            <w:pPr>
              <w:pStyle w:val="TableUnit"/>
              <w:rPr>
                <w:lang w:val="en-GB"/>
              </w:rPr>
            </w:pPr>
            <w:r>
              <w:rPr>
                <w:lang w:val="en-GB"/>
              </w:rPr>
              <w:t>$ million</w:t>
            </w:r>
          </w:p>
        </w:tc>
        <w:tc>
          <w:tcPr>
            <w:tcW w:w="709" w:type="dxa"/>
            <w:tcBorders>
              <w:bottom w:val="single" w:sz="8" w:space="0" w:color="FFFFFF" w:themeColor="background1"/>
            </w:tcBorders>
            <w:shd w:val="clear" w:color="auto" w:fill="auto"/>
            <w:tcMar>
              <w:left w:w="57" w:type="dxa"/>
              <w:right w:w="57" w:type="dxa"/>
            </w:tcMar>
          </w:tcPr>
          <w:p w:rsidR="0040126F" w:rsidRDefault="0040126F" w:rsidP="005D417E">
            <w:pPr>
              <w:pStyle w:val="TableUnit"/>
              <w:rPr>
                <w:lang w:val="en-GB"/>
              </w:rPr>
            </w:pPr>
            <w:r>
              <w:rPr>
                <w:lang w:val="en-GB"/>
              </w:rPr>
              <w:t>$ million</w:t>
            </w:r>
          </w:p>
        </w:tc>
        <w:tc>
          <w:tcPr>
            <w:tcW w:w="792" w:type="dxa"/>
            <w:tcBorders>
              <w:bottom w:val="single" w:sz="8" w:space="0" w:color="FFFFFF" w:themeColor="background1"/>
            </w:tcBorders>
            <w:shd w:val="clear" w:color="auto" w:fill="auto"/>
            <w:tcMar>
              <w:left w:w="57" w:type="dxa"/>
              <w:right w:w="57" w:type="dxa"/>
            </w:tcMar>
          </w:tcPr>
          <w:p w:rsidR="0040126F" w:rsidRDefault="0040126F" w:rsidP="005D417E">
            <w:pPr>
              <w:pStyle w:val="TableUnit"/>
              <w:rPr>
                <w:lang w:val="en-GB"/>
              </w:rPr>
            </w:pPr>
            <w:r>
              <w:rPr>
                <w:lang w:val="en-GB"/>
              </w:rPr>
              <w:t>$ million</w:t>
            </w:r>
          </w:p>
        </w:tc>
      </w:tr>
      <w:tr w:rsidR="0040126F" w:rsidTr="005D417E">
        <w:trPr>
          <w:trHeight w:val="230"/>
        </w:trPr>
        <w:tc>
          <w:tcPr>
            <w:tcW w:w="8080" w:type="dxa"/>
            <w:gridSpan w:val="10"/>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40126F" w:rsidRDefault="0040126F" w:rsidP="005D417E">
            <w:pPr>
              <w:pStyle w:val="TableHeading1"/>
            </w:pPr>
            <w:r>
              <w:rPr>
                <w:lang w:val="en-GB"/>
              </w:rPr>
              <w:t>Low realisation scenario</w:t>
            </w:r>
          </w:p>
        </w:tc>
      </w:tr>
      <w:tr w:rsidR="002D2613" w:rsidTr="005D417E">
        <w:trPr>
          <w:trHeight w:val="230"/>
        </w:trPr>
        <w:tc>
          <w:tcPr>
            <w:tcW w:w="161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D2613" w:rsidRDefault="002D2613" w:rsidP="002D2613">
            <w:pPr>
              <w:pStyle w:val="TableDataEntries"/>
              <w:jc w:val="left"/>
              <w:rPr>
                <w:lang w:val="en-GB"/>
              </w:rPr>
            </w:pPr>
            <w:r>
              <w:rPr>
                <w:lang w:val="en-GB"/>
              </w:rPr>
              <w:t>Lifetime energy savings</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D2613" w:rsidRPr="002D2613" w:rsidRDefault="002D2613" w:rsidP="002D2613">
            <w:pPr>
              <w:pStyle w:val="TableDataEntries"/>
            </w:pPr>
            <w:r w:rsidRPr="002D2613">
              <w:t xml:space="preserve"> 352.8</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D2613" w:rsidRPr="002D2613" w:rsidRDefault="002D2613" w:rsidP="002D2613">
            <w:pPr>
              <w:pStyle w:val="TableDataEntries"/>
            </w:pPr>
            <w:r w:rsidRPr="002D2613">
              <w:t xml:space="preserve"> 301.2</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D2613" w:rsidRPr="002D2613" w:rsidRDefault="002D2613" w:rsidP="002D2613">
            <w:pPr>
              <w:pStyle w:val="TableDataEntries"/>
            </w:pPr>
            <w:r w:rsidRPr="002D2613">
              <w:t xml:space="preserve"> 339.9</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D2613" w:rsidRPr="002D2613" w:rsidRDefault="002D2613" w:rsidP="002D2613">
            <w:pPr>
              <w:pStyle w:val="TableDataEntries"/>
            </w:pPr>
            <w:r w:rsidRPr="002D2613">
              <w:t xml:space="preserve"> 77.6</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D2613" w:rsidRPr="002D2613" w:rsidRDefault="002D2613" w:rsidP="002D2613">
            <w:pPr>
              <w:pStyle w:val="TableDataEntries"/>
            </w:pPr>
            <w:r w:rsidRPr="002D2613">
              <w:t xml:space="preserve"> 186.4</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D2613" w:rsidRPr="002D2613" w:rsidRDefault="002D2613" w:rsidP="002D2613">
            <w:pPr>
              <w:pStyle w:val="TableDataEntries"/>
            </w:pPr>
            <w:r w:rsidRPr="002D2613">
              <w:t xml:space="preserve"> 12.0</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D2613" w:rsidRPr="002D2613" w:rsidRDefault="002D2613" w:rsidP="002D2613">
            <w:pPr>
              <w:pStyle w:val="TableDataEntries"/>
            </w:pPr>
            <w:r w:rsidRPr="002D2613">
              <w:t xml:space="preserve"> 17.4</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D2613" w:rsidRPr="002D2613" w:rsidRDefault="002D2613" w:rsidP="002D2613">
            <w:pPr>
              <w:pStyle w:val="TableDataEntries"/>
            </w:pPr>
            <w:r w:rsidRPr="002D2613">
              <w:t xml:space="preserve"> 23.5</w:t>
            </w:r>
          </w:p>
        </w:tc>
        <w:tc>
          <w:tcPr>
            <w:tcW w:w="79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D2613" w:rsidRPr="002D2613" w:rsidRDefault="002D2613" w:rsidP="002D2613">
            <w:pPr>
              <w:pStyle w:val="TableDataEntries"/>
            </w:pPr>
            <w:r w:rsidRPr="002D2613">
              <w:t>1 310.8</w:t>
            </w:r>
          </w:p>
        </w:tc>
      </w:tr>
      <w:tr w:rsidR="002D2613" w:rsidTr="005D417E">
        <w:trPr>
          <w:trHeight w:val="230"/>
        </w:trPr>
        <w:tc>
          <w:tcPr>
            <w:tcW w:w="161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D2613" w:rsidRDefault="002D2613" w:rsidP="002D2613">
            <w:pPr>
              <w:pStyle w:val="TableDataEntries"/>
              <w:jc w:val="left"/>
              <w:rPr>
                <w:lang w:val="en-GB"/>
              </w:rPr>
            </w:pPr>
            <w:r>
              <w:rPr>
                <w:lang w:val="en-GB"/>
              </w:rPr>
              <w:t>Compliance costs</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D2613" w:rsidRPr="002D2613" w:rsidRDefault="002D2613" w:rsidP="002D2613">
            <w:pPr>
              <w:pStyle w:val="TableDataEntries"/>
            </w:pPr>
            <w:r w:rsidRPr="002D2613">
              <w:t>- 172.3</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D2613" w:rsidRPr="002D2613" w:rsidRDefault="002D2613" w:rsidP="002D2613">
            <w:pPr>
              <w:pStyle w:val="TableDataEntries"/>
            </w:pPr>
            <w:r w:rsidRPr="002D2613">
              <w:t>- 121.5</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D2613" w:rsidRPr="002D2613" w:rsidRDefault="002D2613" w:rsidP="002D2613">
            <w:pPr>
              <w:pStyle w:val="TableDataEntries"/>
            </w:pPr>
            <w:r w:rsidRPr="002D2613">
              <w:t>- 93.4</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D2613" w:rsidRPr="002D2613" w:rsidRDefault="002D2613" w:rsidP="002D2613">
            <w:pPr>
              <w:pStyle w:val="TableDataEntries"/>
            </w:pPr>
            <w:r w:rsidRPr="002D2613">
              <w:t>- 36.9</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D2613" w:rsidRPr="002D2613" w:rsidRDefault="002D2613" w:rsidP="002D2613">
            <w:pPr>
              <w:pStyle w:val="TableDataEntries"/>
            </w:pPr>
            <w:r w:rsidRPr="002D2613">
              <w:t>- 81.5</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D2613" w:rsidRPr="002D2613" w:rsidRDefault="002D2613" w:rsidP="002D2613">
            <w:pPr>
              <w:pStyle w:val="TableDataEntries"/>
            </w:pPr>
            <w:r w:rsidRPr="002D2613">
              <w:t>- 9.4</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D2613" w:rsidRPr="002D2613" w:rsidRDefault="002D2613" w:rsidP="002D2613">
            <w:pPr>
              <w:pStyle w:val="TableDataEntries"/>
            </w:pPr>
            <w:r w:rsidRPr="002D2613">
              <w:t>- 10.8</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D2613" w:rsidRPr="002D2613" w:rsidRDefault="002D2613" w:rsidP="002D2613">
            <w:pPr>
              <w:pStyle w:val="TableDataEntries"/>
            </w:pPr>
            <w:r w:rsidRPr="002D2613">
              <w:t>- 2.4</w:t>
            </w:r>
          </w:p>
        </w:tc>
        <w:tc>
          <w:tcPr>
            <w:tcW w:w="79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D2613" w:rsidRPr="002D2613" w:rsidRDefault="002D2613" w:rsidP="002D2613">
            <w:pPr>
              <w:pStyle w:val="TableDataEntries"/>
            </w:pPr>
            <w:r w:rsidRPr="002D2613">
              <w:t>- 528.2</w:t>
            </w:r>
          </w:p>
        </w:tc>
      </w:tr>
      <w:tr w:rsidR="002D2613" w:rsidTr="005D417E">
        <w:trPr>
          <w:trHeight w:val="230"/>
        </w:trPr>
        <w:tc>
          <w:tcPr>
            <w:tcW w:w="161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D2613" w:rsidRDefault="002D2613" w:rsidP="002D2613">
            <w:pPr>
              <w:pStyle w:val="TableDataEntries"/>
              <w:jc w:val="left"/>
              <w:rPr>
                <w:lang w:val="en-GB"/>
              </w:rPr>
            </w:pPr>
            <w:r>
              <w:rPr>
                <w:lang w:val="en-GB"/>
              </w:rPr>
              <w:lastRenderedPageBreak/>
              <w:t>Administrative cost savings</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D2613" w:rsidRPr="002D2613" w:rsidRDefault="002D2613" w:rsidP="002D2613">
            <w:pPr>
              <w:pStyle w:val="TableDataEntries"/>
            </w:pPr>
            <w:r w:rsidRPr="002D2613">
              <w:t xml:space="preserve"> 1.2</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D2613" w:rsidRPr="002D2613" w:rsidRDefault="002D2613" w:rsidP="002D2613">
            <w:pPr>
              <w:pStyle w:val="TableDataEntries"/>
            </w:pPr>
            <w:r w:rsidRPr="002D2613">
              <w:t xml:space="preserve"> 1.0</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D2613" w:rsidRPr="002D2613" w:rsidRDefault="002D2613" w:rsidP="002D2613">
            <w:pPr>
              <w:pStyle w:val="TableDataEntries"/>
            </w:pPr>
            <w:r w:rsidRPr="002D2613">
              <w:t xml:space="preserve"> 0.8</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D2613" w:rsidRPr="002D2613" w:rsidRDefault="002D2613" w:rsidP="002D2613">
            <w:pPr>
              <w:pStyle w:val="TableDataEntries"/>
            </w:pPr>
            <w:r w:rsidRPr="002D2613">
              <w:t xml:space="preserve"> 0.2</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D2613" w:rsidRPr="002D2613" w:rsidRDefault="002D2613" w:rsidP="002D2613">
            <w:pPr>
              <w:pStyle w:val="TableDataEntries"/>
            </w:pPr>
            <w:r w:rsidRPr="002D2613">
              <w:t xml:space="preserve"> 0.5</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D2613" w:rsidRPr="002D2613" w:rsidRDefault="002D2613" w:rsidP="002D2613">
            <w:pPr>
              <w:pStyle w:val="TableDataEntries"/>
            </w:pPr>
            <w:r w:rsidRPr="002D2613">
              <w:t xml:space="preserve"> 0.0</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D2613" w:rsidRPr="002D2613" w:rsidRDefault="002D2613" w:rsidP="002D2613">
            <w:pPr>
              <w:pStyle w:val="TableDataEntries"/>
            </w:pPr>
            <w:r w:rsidRPr="002D2613">
              <w:t xml:space="preserve"> 0.2</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D2613" w:rsidRPr="002D2613" w:rsidRDefault="002D2613" w:rsidP="002D2613">
            <w:pPr>
              <w:pStyle w:val="TableDataEntries"/>
            </w:pPr>
            <w:r w:rsidRPr="002D2613">
              <w:t xml:space="preserve"> 0.0</w:t>
            </w:r>
          </w:p>
        </w:tc>
        <w:tc>
          <w:tcPr>
            <w:tcW w:w="79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D2613" w:rsidRPr="002D2613" w:rsidRDefault="002D2613" w:rsidP="002D2613">
            <w:pPr>
              <w:pStyle w:val="TableDataEntries"/>
            </w:pPr>
            <w:r w:rsidRPr="002D2613">
              <w:t xml:space="preserve"> 3.9</w:t>
            </w:r>
          </w:p>
        </w:tc>
      </w:tr>
      <w:tr w:rsidR="002D2613" w:rsidTr="005D417E">
        <w:trPr>
          <w:trHeight w:val="230"/>
        </w:trPr>
        <w:tc>
          <w:tcPr>
            <w:tcW w:w="161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D2613" w:rsidRDefault="002D2613" w:rsidP="002D2613">
            <w:pPr>
              <w:pStyle w:val="TableDataEntries"/>
              <w:jc w:val="left"/>
              <w:rPr>
                <w:lang w:val="en-GB"/>
              </w:rPr>
            </w:pPr>
            <w:r>
              <w:rPr>
                <w:lang w:val="en-GB"/>
              </w:rPr>
              <w:t>Industry re-training costs</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D2613" w:rsidRPr="002D2613" w:rsidRDefault="002D2613" w:rsidP="002D2613">
            <w:pPr>
              <w:pStyle w:val="TableDataEntries"/>
            </w:pPr>
            <w:r w:rsidRPr="002D2613">
              <w:t>-5.6</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D2613" w:rsidRPr="002D2613" w:rsidRDefault="002D2613" w:rsidP="002D2613">
            <w:pPr>
              <w:pStyle w:val="TableDataEntries"/>
            </w:pPr>
            <w:r w:rsidRPr="002D2613">
              <w:t>-4.9</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D2613" w:rsidRPr="002D2613" w:rsidRDefault="002D2613" w:rsidP="002D2613">
            <w:pPr>
              <w:pStyle w:val="TableDataEntries"/>
            </w:pPr>
            <w:r w:rsidRPr="002D2613">
              <w:t>-2.9</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D2613" w:rsidRPr="002D2613" w:rsidRDefault="002D2613" w:rsidP="002D2613">
            <w:pPr>
              <w:pStyle w:val="TableDataEntries"/>
            </w:pPr>
            <w:r w:rsidRPr="002D2613">
              <w:t>-0.9</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D2613" w:rsidRPr="002D2613" w:rsidRDefault="002D2613" w:rsidP="002D2613">
            <w:pPr>
              <w:pStyle w:val="TableDataEntries"/>
            </w:pPr>
            <w:r w:rsidRPr="002D2613">
              <w:t>-1.9</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D2613" w:rsidRPr="002D2613" w:rsidRDefault="002D2613" w:rsidP="002D2613">
            <w:pPr>
              <w:pStyle w:val="TableDataEntries"/>
            </w:pPr>
            <w:r w:rsidRPr="002D2613">
              <w:t>-0.2</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D2613" w:rsidRPr="002D2613" w:rsidRDefault="002D2613" w:rsidP="002D2613">
            <w:pPr>
              <w:pStyle w:val="TableDataEntries"/>
            </w:pPr>
            <w:r w:rsidRPr="002D2613">
              <w:t>-0.3</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D2613" w:rsidRPr="002D2613" w:rsidRDefault="002D2613" w:rsidP="002D2613">
            <w:pPr>
              <w:pStyle w:val="TableDataEntries"/>
            </w:pPr>
            <w:r w:rsidRPr="002D2613">
              <w:t>-0.1</w:t>
            </w:r>
          </w:p>
        </w:tc>
        <w:tc>
          <w:tcPr>
            <w:tcW w:w="79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D2613" w:rsidRPr="002D2613" w:rsidRDefault="002D2613" w:rsidP="002D2613">
            <w:pPr>
              <w:pStyle w:val="TableDataEntries"/>
            </w:pPr>
            <w:r w:rsidRPr="002D2613">
              <w:t>-16.7</w:t>
            </w:r>
          </w:p>
        </w:tc>
      </w:tr>
      <w:tr w:rsidR="002D2613" w:rsidTr="005D417E">
        <w:trPr>
          <w:trHeight w:val="230"/>
        </w:trPr>
        <w:tc>
          <w:tcPr>
            <w:tcW w:w="161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D2613" w:rsidRDefault="002D2613" w:rsidP="002D2613">
            <w:pPr>
              <w:pStyle w:val="TableDataEntries"/>
              <w:jc w:val="left"/>
              <w:rPr>
                <w:lang w:val="en-GB"/>
              </w:rPr>
            </w:pPr>
            <w:r>
              <w:rPr>
                <w:lang w:val="en-GB"/>
              </w:rPr>
              <w:t>Government implementation costs</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D2613" w:rsidRPr="002D2613" w:rsidRDefault="002D2613" w:rsidP="002D2613">
            <w:pPr>
              <w:pStyle w:val="TableDataEntries"/>
            </w:pPr>
            <w:r w:rsidRPr="002D2613">
              <w:t>-0.1</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D2613" w:rsidRPr="002D2613" w:rsidRDefault="002D2613" w:rsidP="002D2613">
            <w:pPr>
              <w:pStyle w:val="TableDataEntries"/>
            </w:pPr>
            <w:r w:rsidRPr="002D2613">
              <w:t>-0.1</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D2613" w:rsidRPr="002D2613" w:rsidRDefault="002D2613" w:rsidP="002D2613">
            <w:pPr>
              <w:pStyle w:val="TableDataEntries"/>
            </w:pPr>
            <w:r w:rsidRPr="002D2613">
              <w:t>-0.1</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D2613" w:rsidRPr="002D2613" w:rsidRDefault="002D2613" w:rsidP="002D2613">
            <w:pPr>
              <w:pStyle w:val="TableDataEntries"/>
            </w:pPr>
            <w:r w:rsidRPr="002D2613">
              <w:t>0.0</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D2613" w:rsidRPr="002D2613" w:rsidRDefault="002D2613" w:rsidP="002D2613">
            <w:pPr>
              <w:pStyle w:val="TableDataEntries"/>
            </w:pPr>
            <w:r w:rsidRPr="002D2613">
              <w:t>0.0</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D2613" w:rsidRPr="002D2613" w:rsidRDefault="002D2613" w:rsidP="002D2613">
            <w:pPr>
              <w:pStyle w:val="TableDataEntries"/>
            </w:pPr>
            <w:r w:rsidRPr="002D2613">
              <w:t>0.0</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D2613" w:rsidRPr="002D2613" w:rsidRDefault="002D2613" w:rsidP="002D2613">
            <w:pPr>
              <w:pStyle w:val="TableDataEntries"/>
            </w:pPr>
            <w:r w:rsidRPr="002D2613">
              <w:t>0.0</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D2613" w:rsidRPr="002D2613" w:rsidRDefault="002D2613" w:rsidP="002D2613">
            <w:pPr>
              <w:pStyle w:val="TableDataEntries"/>
            </w:pPr>
            <w:r w:rsidRPr="002D2613">
              <w:t>0.0</w:t>
            </w:r>
          </w:p>
        </w:tc>
        <w:tc>
          <w:tcPr>
            <w:tcW w:w="79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D2613" w:rsidRPr="002D2613" w:rsidRDefault="002D2613" w:rsidP="002D2613">
            <w:pPr>
              <w:pStyle w:val="TableDataEntries"/>
            </w:pPr>
            <w:r w:rsidRPr="002D2613">
              <w:t>-0.4</w:t>
            </w:r>
          </w:p>
        </w:tc>
      </w:tr>
      <w:tr w:rsidR="002D2613" w:rsidRPr="0032647A" w:rsidTr="005D417E">
        <w:trPr>
          <w:trHeight w:val="230"/>
        </w:trPr>
        <w:tc>
          <w:tcPr>
            <w:tcW w:w="161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2D2613" w:rsidRPr="0032647A" w:rsidRDefault="002D2613" w:rsidP="002D2613">
            <w:pPr>
              <w:pStyle w:val="TableDataEntries"/>
              <w:jc w:val="left"/>
              <w:rPr>
                <w:rFonts w:ascii="Franklin Gothic Demi" w:hAnsi="Franklin Gothic Demi"/>
                <w:lang w:val="en-GB"/>
              </w:rPr>
            </w:pPr>
            <w:r w:rsidRPr="0032647A">
              <w:rPr>
                <w:rFonts w:ascii="Franklin Gothic Demi" w:hAnsi="Franklin Gothic Demi"/>
                <w:lang w:val="en-GB"/>
              </w:rPr>
              <w:t>Net impact on community</w:t>
            </w:r>
          </w:p>
        </w:tc>
        <w:tc>
          <w:tcPr>
            <w:tcW w:w="709"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D2613" w:rsidRPr="0032647A" w:rsidRDefault="002D2613" w:rsidP="002D2613">
            <w:pPr>
              <w:pStyle w:val="TableDataEntries"/>
              <w:rPr>
                <w:rFonts w:ascii="Franklin Gothic Demi" w:hAnsi="Franklin Gothic Demi"/>
              </w:rPr>
            </w:pPr>
            <w:r w:rsidRPr="0032647A">
              <w:rPr>
                <w:rFonts w:ascii="Franklin Gothic Demi" w:hAnsi="Franklin Gothic Demi"/>
              </w:rPr>
              <w:t xml:space="preserve"> 176.0</w:t>
            </w:r>
          </w:p>
        </w:tc>
        <w:tc>
          <w:tcPr>
            <w:tcW w:w="709"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D2613" w:rsidRPr="0032647A" w:rsidRDefault="002D2613" w:rsidP="002D2613">
            <w:pPr>
              <w:pStyle w:val="TableDataEntries"/>
              <w:rPr>
                <w:rFonts w:ascii="Franklin Gothic Demi" w:hAnsi="Franklin Gothic Demi"/>
              </w:rPr>
            </w:pPr>
            <w:r w:rsidRPr="0032647A">
              <w:rPr>
                <w:rFonts w:ascii="Franklin Gothic Demi" w:hAnsi="Franklin Gothic Demi"/>
              </w:rPr>
              <w:t xml:space="preserve"> 175.6</w:t>
            </w:r>
          </w:p>
        </w:tc>
        <w:tc>
          <w:tcPr>
            <w:tcW w:w="709"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D2613" w:rsidRPr="0032647A" w:rsidRDefault="002D2613" w:rsidP="002D2613">
            <w:pPr>
              <w:pStyle w:val="TableDataEntries"/>
              <w:rPr>
                <w:rFonts w:ascii="Franklin Gothic Demi" w:hAnsi="Franklin Gothic Demi"/>
              </w:rPr>
            </w:pPr>
            <w:r w:rsidRPr="0032647A">
              <w:rPr>
                <w:rFonts w:ascii="Franklin Gothic Demi" w:hAnsi="Franklin Gothic Demi"/>
              </w:rPr>
              <w:t xml:space="preserve"> 244.5</w:t>
            </w:r>
          </w:p>
        </w:tc>
        <w:tc>
          <w:tcPr>
            <w:tcW w:w="709"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D2613" w:rsidRPr="0032647A" w:rsidRDefault="002D2613" w:rsidP="002D2613">
            <w:pPr>
              <w:pStyle w:val="TableDataEntries"/>
              <w:rPr>
                <w:rFonts w:ascii="Franklin Gothic Demi" w:hAnsi="Franklin Gothic Demi"/>
              </w:rPr>
            </w:pPr>
            <w:r w:rsidRPr="0032647A">
              <w:rPr>
                <w:rFonts w:ascii="Franklin Gothic Demi" w:hAnsi="Franklin Gothic Demi"/>
              </w:rPr>
              <w:t xml:space="preserve"> 39.9</w:t>
            </w:r>
          </w:p>
        </w:tc>
        <w:tc>
          <w:tcPr>
            <w:tcW w:w="709"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D2613" w:rsidRPr="0032647A" w:rsidRDefault="002D2613" w:rsidP="002D2613">
            <w:pPr>
              <w:pStyle w:val="TableDataEntries"/>
              <w:rPr>
                <w:rFonts w:ascii="Franklin Gothic Demi" w:hAnsi="Franklin Gothic Demi"/>
              </w:rPr>
            </w:pPr>
            <w:r w:rsidRPr="0032647A">
              <w:rPr>
                <w:rFonts w:ascii="Franklin Gothic Demi" w:hAnsi="Franklin Gothic Demi"/>
              </w:rPr>
              <w:t xml:space="preserve"> 103.5</w:t>
            </w:r>
          </w:p>
        </w:tc>
        <w:tc>
          <w:tcPr>
            <w:tcW w:w="709"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D2613" w:rsidRPr="0032647A" w:rsidRDefault="002D2613" w:rsidP="002D2613">
            <w:pPr>
              <w:pStyle w:val="TableDataEntries"/>
              <w:rPr>
                <w:rFonts w:ascii="Franklin Gothic Demi" w:hAnsi="Franklin Gothic Demi"/>
              </w:rPr>
            </w:pPr>
            <w:r w:rsidRPr="0032647A">
              <w:rPr>
                <w:rFonts w:ascii="Franklin Gothic Demi" w:hAnsi="Franklin Gothic Demi"/>
              </w:rPr>
              <w:t xml:space="preserve"> 2.4</w:t>
            </w:r>
          </w:p>
        </w:tc>
        <w:tc>
          <w:tcPr>
            <w:tcW w:w="709"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D2613" w:rsidRPr="0032647A" w:rsidRDefault="002D2613" w:rsidP="002D2613">
            <w:pPr>
              <w:pStyle w:val="TableDataEntries"/>
              <w:rPr>
                <w:rFonts w:ascii="Franklin Gothic Demi" w:hAnsi="Franklin Gothic Demi"/>
              </w:rPr>
            </w:pPr>
            <w:r w:rsidRPr="0032647A">
              <w:rPr>
                <w:rFonts w:ascii="Franklin Gothic Demi" w:hAnsi="Franklin Gothic Demi"/>
              </w:rPr>
              <w:t xml:space="preserve"> 6.6</w:t>
            </w:r>
          </w:p>
        </w:tc>
        <w:tc>
          <w:tcPr>
            <w:tcW w:w="709"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D2613" w:rsidRPr="0032647A" w:rsidRDefault="002D2613" w:rsidP="002D2613">
            <w:pPr>
              <w:pStyle w:val="TableDataEntries"/>
              <w:rPr>
                <w:rFonts w:ascii="Franklin Gothic Demi" w:hAnsi="Franklin Gothic Demi"/>
              </w:rPr>
            </w:pPr>
            <w:r w:rsidRPr="0032647A">
              <w:rPr>
                <w:rFonts w:ascii="Franklin Gothic Demi" w:hAnsi="Franklin Gothic Demi"/>
              </w:rPr>
              <w:t xml:space="preserve"> 21.0</w:t>
            </w:r>
          </w:p>
        </w:tc>
        <w:tc>
          <w:tcPr>
            <w:tcW w:w="792"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D2613" w:rsidRPr="0032647A" w:rsidRDefault="002D2613" w:rsidP="002D2613">
            <w:pPr>
              <w:pStyle w:val="TableDataEntries"/>
              <w:rPr>
                <w:rFonts w:ascii="Franklin Gothic Demi" w:hAnsi="Franklin Gothic Demi"/>
              </w:rPr>
            </w:pPr>
            <w:r w:rsidRPr="0032647A">
              <w:rPr>
                <w:rFonts w:ascii="Franklin Gothic Demi" w:hAnsi="Franklin Gothic Demi"/>
              </w:rPr>
              <w:t xml:space="preserve"> 769.4</w:t>
            </w:r>
          </w:p>
        </w:tc>
      </w:tr>
      <w:tr w:rsidR="002D2613" w:rsidTr="002D2613">
        <w:trPr>
          <w:trHeight w:val="293"/>
        </w:trPr>
        <w:tc>
          <w:tcPr>
            <w:tcW w:w="161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D2613" w:rsidRDefault="002D2613" w:rsidP="002D2613">
            <w:pPr>
              <w:pStyle w:val="TableTextEntries"/>
              <w:rPr>
                <w:lang w:val="en-GB"/>
              </w:rPr>
            </w:pPr>
            <w:r>
              <w:rPr>
                <w:lang w:val="en-GB"/>
              </w:rPr>
              <w:t>GHG savings</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D2613" w:rsidRPr="002D2613" w:rsidRDefault="002D2613" w:rsidP="002D2613">
            <w:pPr>
              <w:pStyle w:val="TableDataEntries"/>
            </w:pPr>
            <w:r w:rsidRPr="002D2613">
              <w:t xml:space="preserve"> 97.7</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D2613" w:rsidRPr="002D2613" w:rsidRDefault="002D2613" w:rsidP="002D2613">
            <w:pPr>
              <w:pStyle w:val="TableDataEntries"/>
            </w:pPr>
            <w:r w:rsidRPr="002D2613">
              <w:t xml:space="preserve"> 101.8</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D2613" w:rsidRPr="002D2613" w:rsidRDefault="002D2613" w:rsidP="002D2613">
            <w:pPr>
              <w:pStyle w:val="TableDataEntries"/>
            </w:pPr>
            <w:r w:rsidRPr="002D2613">
              <w:t xml:space="preserve"> 99.9</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D2613" w:rsidRPr="002D2613" w:rsidRDefault="002D2613" w:rsidP="002D2613">
            <w:pPr>
              <w:pStyle w:val="TableDataEntries"/>
            </w:pPr>
            <w:r w:rsidRPr="002D2613">
              <w:t xml:space="preserve"> 14.2</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D2613" w:rsidRPr="002D2613" w:rsidRDefault="002D2613" w:rsidP="002D2613">
            <w:pPr>
              <w:pStyle w:val="TableDataEntries"/>
            </w:pPr>
            <w:r w:rsidRPr="002D2613">
              <w:t xml:space="preserve"> 41.9</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D2613" w:rsidRPr="002D2613" w:rsidRDefault="002D2613" w:rsidP="002D2613">
            <w:pPr>
              <w:pStyle w:val="TableDataEntries"/>
            </w:pPr>
            <w:r w:rsidRPr="002D2613">
              <w:t xml:space="preserve"> 1.6</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D2613" w:rsidRPr="002D2613" w:rsidRDefault="002D2613" w:rsidP="002D2613">
            <w:pPr>
              <w:pStyle w:val="TableDataEntries"/>
            </w:pPr>
            <w:r w:rsidRPr="002D2613">
              <w:t xml:space="preserve"> 6.0</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D2613" w:rsidRPr="002D2613" w:rsidRDefault="002D2613" w:rsidP="002D2613">
            <w:pPr>
              <w:pStyle w:val="TableDataEntries"/>
            </w:pPr>
            <w:r w:rsidRPr="002D2613">
              <w:t xml:space="preserve"> 5.7</w:t>
            </w:r>
          </w:p>
        </w:tc>
        <w:tc>
          <w:tcPr>
            <w:tcW w:w="79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D2613" w:rsidRPr="002D2613" w:rsidRDefault="002D2613" w:rsidP="002D2613">
            <w:pPr>
              <w:pStyle w:val="TableDataEntries"/>
            </w:pPr>
            <w:r w:rsidRPr="002D2613">
              <w:t xml:space="preserve"> 368.9</w:t>
            </w:r>
          </w:p>
        </w:tc>
      </w:tr>
      <w:tr w:rsidR="0040126F" w:rsidTr="005D417E">
        <w:trPr>
          <w:trHeight w:val="230"/>
        </w:trPr>
        <w:tc>
          <w:tcPr>
            <w:tcW w:w="8080" w:type="dxa"/>
            <w:gridSpan w:val="10"/>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40126F" w:rsidRPr="00947F65" w:rsidRDefault="0040126F" w:rsidP="005D417E">
            <w:pPr>
              <w:pStyle w:val="TableHeading1"/>
            </w:pPr>
            <w:r>
              <w:rPr>
                <w:lang w:val="en-GB"/>
              </w:rPr>
              <w:t>Medium realisation scenario</w:t>
            </w:r>
          </w:p>
        </w:tc>
      </w:tr>
      <w:tr w:rsidR="002D2613" w:rsidTr="005D417E">
        <w:trPr>
          <w:trHeight w:val="230"/>
        </w:trPr>
        <w:tc>
          <w:tcPr>
            <w:tcW w:w="161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D2613" w:rsidRDefault="002D2613" w:rsidP="002D2613">
            <w:pPr>
              <w:pStyle w:val="TableDataEntries"/>
              <w:jc w:val="left"/>
              <w:rPr>
                <w:lang w:val="en-GB"/>
              </w:rPr>
            </w:pPr>
            <w:r>
              <w:rPr>
                <w:lang w:val="en-GB"/>
              </w:rPr>
              <w:t>Lifetime energy savings</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D2613" w:rsidRPr="002D2613" w:rsidRDefault="002D2613" w:rsidP="002D2613">
            <w:pPr>
              <w:pStyle w:val="TableDataEntries"/>
            </w:pPr>
            <w:r w:rsidRPr="002D2613">
              <w:t xml:space="preserve"> 529.1</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D2613" w:rsidRPr="002D2613" w:rsidRDefault="002D2613" w:rsidP="002D2613">
            <w:pPr>
              <w:pStyle w:val="TableDataEntries"/>
            </w:pPr>
            <w:r w:rsidRPr="002D2613">
              <w:t xml:space="preserve"> 451.8</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D2613" w:rsidRPr="002D2613" w:rsidRDefault="002D2613" w:rsidP="002D2613">
            <w:pPr>
              <w:pStyle w:val="TableDataEntries"/>
            </w:pPr>
            <w:r w:rsidRPr="002D2613">
              <w:t xml:space="preserve"> 509.9</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D2613" w:rsidRPr="002D2613" w:rsidRDefault="002D2613" w:rsidP="002D2613">
            <w:pPr>
              <w:pStyle w:val="TableDataEntries"/>
            </w:pPr>
            <w:r w:rsidRPr="002D2613">
              <w:t xml:space="preserve"> 116.4</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D2613" w:rsidRPr="002D2613" w:rsidRDefault="002D2613" w:rsidP="002D2613">
            <w:pPr>
              <w:pStyle w:val="TableDataEntries"/>
            </w:pPr>
            <w:r w:rsidRPr="002D2613">
              <w:t xml:space="preserve"> 279.6</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D2613" w:rsidRPr="002D2613" w:rsidRDefault="002D2613" w:rsidP="002D2613">
            <w:pPr>
              <w:pStyle w:val="TableDataEntries"/>
            </w:pPr>
            <w:r w:rsidRPr="002D2613">
              <w:t xml:space="preserve"> 18.1</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D2613" w:rsidRPr="002D2613" w:rsidRDefault="002D2613" w:rsidP="002D2613">
            <w:pPr>
              <w:pStyle w:val="TableDataEntries"/>
            </w:pPr>
            <w:r w:rsidRPr="002D2613">
              <w:t xml:space="preserve"> 26.2</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D2613" w:rsidRPr="002D2613" w:rsidRDefault="002D2613" w:rsidP="002D2613">
            <w:pPr>
              <w:pStyle w:val="TableDataEntries"/>
            </w:pPr>
            <w:r w:rsidRPr="002D2613">
              <w:t xml:space="preserve"> 35.2</w:t>
            </w:r>
          </w:p>
        </w:tc>
        <w:tc>
          <w:tcPr>
            <w:tcW w:w="79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D2613" w:rsidRPr="002D2613" w:rsidRDefault="002D2613" w:rsidP="002D2613">
            <w:pPr>
              <w:pStyle w:val="TableDataEntries"/>
            </w:pPr>
            <w:r w:rsidRPr="002D2613">
              <w:t>1 966.2</w:t>
            </w:r>
          </w:p>
        </w:tc>
      </w:tr>
      <w:tr w:rsidR="002D2613" w:rsidTr="005D417E">
        <w:trPr>
          <w:trHeight w:val="230"/>
        </w:trPr>
        <w:tc>
          <w:tcPr>
            <w:tcW w:w="161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D2613" w:rsidRDefault="002D2613" w:rsidP="002D2613">
            <w:pPr>
              <w:pStyle w:val="TableDataEntries"/>
              <w:jc w:val="left"/>
              <w:rPr>
                <w:lang w:val="en-GB"/>
              </w:rPr>
            </w:pPr>
            <w:r>
              <w:rPr>
                <w:lang w:val="en-GB"/>
              </w:rPr>
              <w:t>Compliance costs</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D2613" w:rsidRPr="002D2613" w:rsidRDefault="002D2613" w:rsidP="002D2613">
            <w:pPr>
              <w:pStyle w:val="TableDataEntries"/>
            </w:pPr>
            <w:r w:rsidRPr="002D2613">
              <w:t>- 172.3</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D2613" w:rsidRPr="002D2613" w:rsidRDefault="002D2613" w:rsidP="002D2613">
            <w:pPr>
              <w:pStyle w:val="TableDataEntries"/>
            </w:pPr>
            <w:r w:rsidRPr="002D2613">
              <w:t>- 121.5</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D2613" w:rsidRPr="002D2613" w:rsidRDefault="002D2613" w:rsidP="002D2613">
            <w:pPr>
              <w:pStyle w:val="TableDataEntries"/>
            </w:pPr>
            <w:r w:rsidRPr="002D2613">
              <w:t>- 93.4</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D2613" w:rsidRPr="002D2613" w:rsidRDefault="002D2613" w:rsidP="002D2613">
            <w:pPr>
              <w:pStyle w:val="TableDataEntries"/>
            </w:pPr>
            <w:r w:rsidRPr="002D2613">
              <w:t>- 36.9</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D2613" w:rsidRPr="002D2613" w:rsidRDefault="002D2613" w:rsidP="002D2613">
            <w:pPr>
              <w:pStyle w:val="TableDataEntries"/>
            </w:pPr>
            <w:r w:rsidRPr="002D2613">
              <w:t>- 81.5</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D2613" w:rsidRPr="002D2613" w:rsidRDefault="002D2613" w:rsidP="002D2613">
            <w:pPr>
              <w:pStyle w:val="TableDataEntries"/>
            </w:pPr>
            <w:r w:rsidRPr="002D2613">
              <w:t>- 9.4</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D2613" w:rsidRPr="002D2613" w:rsidRDefault="002D2613" w:rsidP="002D2613">
            <w:pPr>
              <w:pStyle w:val="TableDataEntries"/>
            </w:pPr>
            <w:r w:rsidRPr="002D2613">
              <w:t>- 10.8</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D2613" w:rsidRPr="002D2613" w:rsidRDefault="002D2613" w:rsidP="002D2613">
            <w:pPr>
              <w:pStyle w:val="TableDataEntries"/>
            </w:pPr>
            <w:r w:rsidRPr="002D2613">
              <w:t>- 2.4</w:t>
            </w:r>
          </w:p>
        </w:tc>
        <w:tc>
          <w:tcPr>
            <w:tcW w:w="79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D2613" w:rsidRPr="002D2613" w:rsidRDefault="002D2613" w:rsidP="002D2613">
            <w:pPr>
              <w:pStyle w:val="TableDataEntries"/>
            </w:pPr>
            <w:r w:rsidRPr="002D2613">
              <w:t>- 528.2</w:t>
            </w:r>
          </w:p>
        </w:tc>
      </w:tr>
      <w:tr w:rsidR="002D2613" w:rsidTr="005D417E">
        <w:trPr>
          <w:trHeight w:val="230"/>
        </w:trPr>
        <w:tc>
          <w:tcPr>
            <w:tcW w:w="161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D2613" w:rsidRDefault="002D2613" w:rsidP="002D2613">
            <w:pPr>
              <w:pStyle w:val="TableDataEntries"/>
              <w:jc w:val="left"/>
              <w:rPr>
                <w:lang w:val="en-GB"/>
              </w:rPr>
            </w:pPr>
            <w:r>
              <w:rPr>
                <w:lang w:val="en-GB"/>
              </w:rPr>
              <w:t>Administrative cost savings</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D2613" w:rsidRPr="002D2613" w:rsidRDefault="002D2613" w:rsidP="002D2613">
            <w:pPr>
              <w:pStyle w:val="TableDataEntries"/>
            </w:pPr>
            <w:r w:rsidRPr="002D2613">
              <w:t xml:space="preserve"> 1.2</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D2613" w:rsidRPr="002D2613" w:rsidRDefault="002D2613" w:rsidP="002D2613">
            <w:pPr>
              <w:pStyle w:val="TableDataEntries"/>
            </w:pPr>
            <w:r w:rsidRPr="002D2613">
              <w:t xml:space="preserve"> 1.0</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D2613" w:rsidRPr="002D2613" w:rsidRDefault="002D2613" w:rsidP="002D2613">
            <w:pPr>
              <w:pStyle w:val="TableDataEntries"/>
            </w:pPr>
            <w:r w:rsidRPr="002D2613">
              <w:t xml:space="preserve"> 0.8</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D2613" w:rsidRPr="002D2613" w:rsidRDefault="002D2613" w:rsidP="002D2613">
            <w:pPr>
              <w:pStyle w:val="TableDataEntries"/>
            </w:pPr>
            <w:r w:rsidRPr="002D2613">
              <w:t xml:space="preserve"> 0.2</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D2613" w:rsidRPr="002D2613" w:rsidRDefault="002D2613" w:rsidP="002D2613">
            <w:pPr>
              <w:pStyle w:val="TableDataEntries"/>
            </w:pPr>
            <w:r w:rsidRPr="002D2613">
              <w:t xml:space="preserve"> 0.5</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D2613" w:rsidRPr="002D2613" w:rsidRDefault="002D2613" w:rsidP="002D2613">
            <w:pPr>
              <w:pStyle w:val="TableDataEntries"/>
            </w:pPr>
            <w:r w:rsidRPr="002D2613">
              <w:t xml:space="preserve"> 0.0</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D2613" w:rsidRPr="002D2613" w:rsidRDefault="002D2613" w:rsidP="002D2613">
            <w:pPr>
              <w:pStyle w:val="TableDataEntries"/>
            </w:pPr>
            <w:r w:rsidRPr="002D2613">
              <w:t xml:space="preserve"> 0.2</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D2613" w:rsidRPr="002D2613" w:rsidRDefault="002D2613" w:rsidP="002D2613">
            <w:pPr>
              <w:pStyle w:val="TableDataEntries"/>
            </w:pPr>
            <w:r w:rsidRPr="002D2613">
              <w:t xml:space="preserve"> 0.0</w:t>
            </w:r>
          </w:p>
        </w:tc>
        <w:tc>
          <w:tcPr>
            <w:tcW w:w="79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D2613" w:rsidRPr="002D2613" w:rsidRDefault="002D2613" w:rsidP="002D2613">
            <w:pPr>
              <w:pStyle w:val="TableDataEntries"/>
            </w:pPr>
            <w:r w:rsidRPr="002D2613">
              <w:t xml:space="preserve"> 3.9</w:t>
            </w:r>
          </w:p>
        </w:tc>
      </w:tr>
      <w:tr w:rsidR="002D2613" w:rsidTr="005D417E">
        <w:trPr>
          <w:trHeight w:val="230"/>
        </w:trPr>
        <w:tc>
          <w:tcPr>
            <w:tcW w:w="161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D2613" w:rsidRDefault="002D2613" w:rsidP="002D2613">
            <w:pPr>
              <w:pStyle w:val="TableDataEntries"/>
              <w:jc w:val="left"/>
              <w:rPr>
                <w:lang w:val="en-GB"/>
              </w:rPr>
            </w:pPr>
            <w:r>
              <w:rPr>
                <w:lang w:val="en-GB"/>
              </w:rPr>
              <w:t>Industry retraining costs</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D2613" w:rsidRPr="002D2613" w:rsidRDefault="002D2613" w:rsidP="002D2613">
            <w:pPr>
              <w:pStyle w:val="TableDataEntries"/>
            </w:pPr>
            <w:r w:rsidRPr="002D2613">
              <w:t>-5.6</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D2613" w:rsidRPr="002D2613" w:rsidRDefault="002D2613" w:rsidP="002D2613">
            <w:pPr>
              <w:pStyle w:val="TableDataEntries"/>
            </w:pPr>
            <w:r w:rsidRPr="002D2613">
              <w:t>-4.9</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D2613" w:rsidRPr="002D2613" w:rsidRDefault="002D2613" w:rsidP="002D2613">
            <w:pPr>
              <w:pStyle w:val="TableDataEntries"/>
            </w:pPr>
            <w:r w:rsidRPr="002D2613">
              <w:t>-2.9</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D2613" w:rsidRPr="002D2613" w:rsidRDefault="002D2613" w:rsidP="002D2613">
            <w:pPr>
              <w:pStyle w:val="TableDataEntries"/>
            </w:pPr>
            <w:r w:rsidRPr="002D2613">
              <w:t>-0.9</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D2613" w:rsidRPr="002D2613" w:rsidRDefault="002D2613" w:rsidP="002D2613">
            <w:pPr>
              <w:pStyle w:val="TableDataEntries"/>
            </w:pPr>
            <w:r w:rsidRPr="002D2613">
              <w:t>-1.9</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D2613" w:rsidRPr="002D2613" w:rsidRDefault="002D2613" w:rsidP="002D2613">
            <w:pPr>
              <w:pStyle w:val="TableDataEntries"/>
            </w:pPr>
            <w:r w:rsidRPr="002D2613">
              <w:t>-0.2</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D2613" w:rsidRPr="002D2613" w:rsidRDefault="002D2613" w:rsidP="002D2613">
            <w:pPr>
              <w:pStyle w:val="TableDataEntries"/>
            </w:pPr>
            <w:r w:rsidRPr="002D2613">
              <w:t>-0.3</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D2613" w:rsidRPr="002D2613" w:rsidRDefault="002D2613" w:rsidP="002D2613">
            <w:pPr>
              <w:pStyle w:val="TableDataEntries"/>
            </w:pPr>
            <w:r w:rsidRPr="002D2613">
              <w:t>-0.1</w:t>
            </w:r>
          </w:p>
        </w:tc>
        <w:tc>
          <w:tcPr>
            <w:tcW w:w="79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D2613" w:rsidRPr="002D2613" w:rsidRDefault="002D2613" w:rsidP="002D2613">
            <w:pPr>
              <w:pStyle w:val="TableDataEntries"/>
            </w:pPr>
            <w:r w:rsidRPr="002D2613">
              <w:t>-16.7</w:t>
            </w:r>
          </w:p>
        </w:tc>
      </w:tr>
      <w:tr w:rsidR="002D2613" w:rsidTr="005D417E">
        <w:trPr>
          <w:trHeight w:val="230"/>
        </w:trPr>
        <w:tc>
          <w:tcPr>
            <w:tcW w:w="161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D2613" w:rsidRDefault="002D2613" w:rsidP="002D2613">
            <w:pPr>
              <w:pStyle w:val="TableDataEntries"/>
              <w:jc w:val="left"/>
              <w:rPr>
                <w:lang w:val="en-GB"/>
              </w:rPr>
            </w:pPr>
            <w:r>
              <w:rPr>
                <w:lang w:val="en-GB"/>
              </w:rPr>
              <w:t>Government implementation costs</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D2613" w:rsidRPr="002D2613" w:rsidRDefault="002D2613" w:rsidP="002D2613">
            <w:pPr>
              <w:pStyle w:val="TableDataEntries"/>
            </w:pPr>
            <w:r w:rsidRPr="002D2613">
              <w:t>-0.1</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D2613" w:rsidRPr="002D2613" w:rsidRDefault="002D2613" w:rsidP="002D2613">
            <w:pPr>
              <w:pStyle w:val="TableDataEntries"/>
            </w:pPr>
            <w:r w:rsidRPr="002D2613">
              <w:t>-0.1</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D2613" w:rsidRPr="002D2613" w:rsidRDefault="002D2613" w:rsidP="002D2613">
            <w:pPr>
              <w:pStyle w:val="TableDataEntries"/>
            </w:pPr>
            <w:r w:rsidRPr="002D2613">
              <w:t>-0.1</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D2613" w:rsidRPr="002D2613" w:rsidRDefault="002D2613" w:rsidP="002D2613">
            <w:pPr>
              <w:pStyle w:val="TableDataEntries"/>
            </w:pPr>
            <w:r w:rsidRPr="002D2613">
              <w:t>0.0</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D2613" w:rsidRPr="002D2613" w:rsidRDefault="002D2613" w:rsidP="002D2613">
            <w:pPr>
              <w:pStyle w:val="TableDataEntries"/>
            </w:pPr>
            <w:r w:rsidRPr="002D2613">
              <w:t>0.0</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D2613" w:rsidRPr="002D2613" w:rsidRDefault="002D2613" w:rsidP="002D2613">
            <w:pPr>
              <w:pStyle w:val="TableDataEntries"/>
            </w:pPr>
            <w:r w:rsidRPr="002D2613">
              <w:t>0.0</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D2613" w:rsidRPr="002D2613" w:rsidRDefault="002D2613" w:rsidP="002D2613">
            <w:pPr>
              <w:pStyle w:val="TableDataEntries"/>
            </w:pPr>
            <w:r w:rsidRPr="002D2613">
              <w:t>0.0</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D2613" w:rsidRPr="002D2613" w:rsidRDefault="002D2613" w:rsidP="002D2613">
            <w:pPr>
              <w:pStyle w:val="TableDataEntries"/>
            </w:pPr>
            <w:r w:rsidRPr="002D2613">
              <w:t>0.0</w:t>
            </w:r>
          </w:p>
        </w:tc>
        <w:tc>
          <w:tcPr>
            <w:tcW w:w="79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D2613" w:rsidRPr="002D2613" w:rsidRDefault="002D2613" w:rsidP="002D2613">
            <w:pPr>
              <w:pStyle w:val="TableDataEntries"/>
            </w:pPr>
            <w:r w:rsidRPr="002D2613">
              <w:t>-0.4</w:t>
            </w:r>
          </w:p>
        </w:tc>
      </w:tr>
      <w:tr w:rsidR="002D2613" w:rsidRPr="0032647A" w:rsidTr="005D417E">
        <w:trPr>
          <w:trHeight w:val="230"/>
        </w:trPr>
        <w:tc>
          <w:tcPr>
            <w:tcW w:w="161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2D2613" w:rsidRPr="0032647A" w:rsidRDefault="002D2613" w:rsidP="002D2613">
            <w:pPr>
              <w:pStyle w:val="TableDataEntries"/>
              <w:jc w:val="left"/>
              <w:rPr>
                <w:rFonts w:ascii="Franklin Gothic Demi" w:hAnsi="Franklin Gothic Demi"/>
                <w:lang w:val="en-GB"/>
              </w:rPr>
            </w:pPr>
            <w:r w:rsidRPr="0032647A">
              <w:rPr>
                <w:rFonts w:ascii="Franklin Gothic Demi" w:hAnsi="Franklin Gothic Demi"/>
                <w:lang w:val="en-GB"/>
              </w:rPr>
              <w:t>Net impact on community</w:t>
            </w:r>
          </w:p>
        </w:tc>
        <w:tc>
          <w:tcPr>
            <w:tcW w:w="709"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D2613" w:rsidRPr="0032647A" w:rsidRDefault="002D2613" w:rsidP="002D2613">
            <w:pPr>
              <w:pStyle w:val="TableDataEntries"/>
              <w:rPr>
                <w:rFonts w:ascii="Franklin Gothic Demi" w:hAnsi="Franklin Gothic Demi"/>
              </w:rPr>
            </w:pPr>
            <w:r w:rsidRPr="0032647A">
              <w:rPr>
                <w:rFonts w:ascii="Franklin Gothic Demi" w:hAnsi="Franklin Gothic Demi"/>
              </w:rPr>
              <w:t xml:space="preserve"> 352.4</w:t>
            </w:r>
          </w:p>
        </w:tc>
        <w:tc>
          <w:tcPr>
            <w:tcW w:w="709"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D2613" w:rsidRPr="0032647A" w:rsidRDefault="002D2613" w:rsidP="002D2613">
            <w:pPr>
              <w:pStyle w:val="TableDataEntries"/>
              <w:rPr>
                <w:rFonts w:ascii="Franklin Gothic Demi" w:hAnsi="Franklin Gothic Demi"/>
              </w:rPr>
            </w:pPr>
            <w:r w:rsidRPr="0032647A">
              <w:rPr>
                <w:rFonts w:ascii="Franklin Gothic Demi" w:hAnsi="Franklin Gothic Demi"/>
              </w:rPr>
              <w:t xml:space="preserve"> 326.2</w:t>
            </w:r>
          </w:p>
        </w:tc>
        <w:tc>
          <w:tcPr>
            <w:tcW w:w="709"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D2613" w:rsidRPr="0032647A" w:rsidRDefault="002D2613" w:rsidP="002D2613">
            <w:pPr>
              <w:pStyle w:val="TableDataEntries"/>
              <w:rPr>
                <w:rFonts w:ascii="Franklin Gothic Demi" w:hAnsi="Franklin Gothic Demi"/>
              </w:rPr>
            </w:pPr>
            <w:r w:rsidRPr="0032647A">
              <w:rPr>
                <w:rFonts w:ascii="Franklin Gothic Demi" w:hAnsi="Franklin Gothic Demi"/>
              </w:rPr>
              <w:t xml:space="preserve"> 414.5</w:t>
            </w:r>
          </w:p>
        </w:tc>
        <w:tc>
          <w:tcPr>
            <w:tcW w:w="709"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D2613" w:rsidRPr="0032647A" w:rsidRDefault="002D2613" w:rsidP="002D2613">
            <w:pPr>
              <w:pStyle w:val="TableDataEntries"/>
              <w:rPr>
                <w:rFonts w:ascii="Franklin Gothic Demi" w:hAnsi="Franklin Gothic Demi"/>
              </w:rPr>
            </w:pPr>
            <w:r w:rsidRPr="0032647A">
              <w:rPr>
                <w:rFonts w:ascii="Franklin Gothic Demi" w:hAnsi="Franklin Gothic Demi"/>
              </w:rPr>
              <w:t xml:space="preserve"> 78.7</w:t>
            </w:r>
          </w:p>
        </w:tc>
        <w:tc>
          <w:tcPr>
            <w:tcW w:w="709"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D2613" w:rsidRPr="0032647A" w:rsidRDefault="002D2613" w:rsidP="002D2613">
            <w:pPr>
              <w:pStyle w:val="TableDataEntries"/>
              <w:rPr>
                <w:rFonts w:ascii="Franklin Gothic Demi" w:hAnsi="Franklin Gothic Demi"/>
              </w:rPr>
            </w:pPr>
            <w:r w:rsidRPr="0032647A">
              <w:rPr>
                <w:rFonts w:ascii="Franklin Gothic Demi" w:hAnsi="Franklin Gothic Demi"/>
              </w:rPr>
              <w:t xml:space="preserve"> 196.7</w:t>
            </w:r>
          </w:p>
        </w:tc>
        <w:tc>
          <w:tcPr>
            <w:tcW w:w="709"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D2613" w:rsidRPr="0032647A" w:rsidRDefault="002D2613" w:rsidP="002D2613">
            <w:pPr>
              <w:pStyle w:val="TableDataEntries"/>
              <w:rPr>
                <w:rFonts w:ascii="Franklin Gothic Demi" w:hAnsi="Franklin Gothic Demi"/>
              </w:rPr>
            </w:pPr>
            <w:r w:rsidRPr="0032647A">
              <w:rPr>
                <w:rFonts w:ascii="Franklin Gothic Demi" w:hAnsi="Franklin Gothic Demi"/>
              </w:rPr>
              <w:t xml:space="preserve"> 8.4</w:t>
            </w:r>
          </w:p>
        </w:tc>
        <w:tc>
          <w:tcPr>
            <w:tcW w:w="709"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D2613" w:rsidRPr="0032647A" w:rsidRDefault="002D2613" w:rsidP="002D2613">
            <w:pPr>
              <w:pStyle w:val="TableDataEntries"/>
              <w:rPr>
                <w:rFonts w:ascii="Franklin Gothic Demi" w:hAnsi="Franklin Gothic Demi"/>
              </w:rPr>
            </w:pPr>
            <w:r w:rsidRPr="0032647A">
              <w:rPr>
                <w:rFonts w:ascii="Franklin Gothic Demi" w:hAnsi="Franklin Gothic Demi"/>
              </w:rPr>
              <w:t xml:space="preserve"> 15.3</w:t>
            </w:r>
          </w:p>
        </w:tc>
        <w:tc>
          <w:tcPr>
            <w:tcW w:w="709"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D2613" w:rsidRPr="0032647A" w:rsidRDefault="002D2613" w:rsidP="002D2613">
            <w:pPr>
              <w:pStyle w:val="TableDataEntries"/>
              <w:rPr>
                <w:rFonts w:ascii="Franklin Gothic Demi" w:hAnsi="Franklin Gothic Demi"/>
              </w:rPr>
            </w:pPr>
            <w:r w:rsidRPr="0032647A">
              <w:rPr>
                <w:rFonts w:ascii="Franklin Gothic Demi" w:hAnsi="Franklin Gothic Demi"/>
              </w:rPr>
              <w:t xml:space="preserve"> 32.7</w:t>
            </w:r>
          </w:p>
        </w:tc>
        <w:tc>
          <w:tcPr>
            <w:tcW w:w="792"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D2613" w:rsidRPr="0032647A" w:rsidRDefault="002D2613" w:rsidP="002D2613">
            <w:pPr>
              <w:pStyle w:val="TableDataEntries"/>
              <w:rPr>
                <w:rFonts w:ascii="Franklin Gothic Demi" w:hAnsi="Franklin Gothic Demi"/>
              </w:rPr>
            </w:pPr>
            <w:r w:rsidRPr="0032647A">
              <w:rPr>
                <w:rFonts w:ascii="Franklin Gothic Demi" w:hAnsi="Franklin Gothic Demi"/>
              </w:rPr>
              <w:t>1 424.8</w:t>
            </w:r>
          </w:p>
        </w:tc>
      </w:tr>
      <w:tr w:rsidR="002D2613" w:rsidTr="005D417E">
        <w:trPr>
          <w:trHeight w:val="230"/>
        </w:trPr>
        <w:tc>
          <w:tcPr>
            <w:tcW w:w="161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D2613" w:rsidRDefault="002D2613" w:rsidP="002D2613">
            <w:pPr>
              <w:pStyle w:val="TableTextEntries"/>
              <w:rPr>
                <w:lang w:val="en-GB"/>
              </w:rPr>
            </w:pPr>
            <w:r>
              <w:rPr>
                <w:lang w:val="en-GB"/>
              </w:rPr>
              <w:t>GHG savings</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D2613" w:rsidRPr="002D2613" w:rsidRDefault="002D2613" w:rsidP="002D2613">
            <w:pPr>
              <w:pStyle w:val="TableDataEntries"/>
            </w:pPr>
            <w:r w:rsidRPr="002D2613">
              <w:t xml:space="preserve"> 146.6</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D2613" w:rsidRPr="002D2613" w:rsidRDefault="002D2613" w:rsidP="002D2613">
            <w:pPr>
              <w:pStyle w:val="TableDataEntries"/>
            </w:pPr>
            <w:r w:rsidRPr="002D2613">
              <w:t xml:space="preserve"> 152.6</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D2613" w:rsidRPr="002D2613" w:rsidRDefault="002D2613" w:rsidP="002D2613">
            <w:pPr>
              <w:pStyle w:val="TableDataEntries"/>
            </w:pPr>
            <w:r w:rsidRPr="002D2613">
              <w:t xml:space="preserve"> 149.9</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D2613" w:rsidRPr="002D2613" w:rsidRDefault="002D2613" w:rsidP="002D2613">
            <w:pPr>
              <w:pStyle w:val="TableDataEntries"/>
            </w:pPr>
            <w:r w:rsidRPr="002D2613">
              <w:t xml:space="preserve"> 21.4</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D2613" w:rsidRPr="002D2613" w:rsidRDefault="002D2613" w:rsidP="002D2613">
            <w:pPr>
              <w:pStyle w:val="TableDataEntries"/>
            </w:pPr>
            <w:r w:rsidRPr="002D2613">
              <w:t xml:space="preserve"> 62.9</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D2613" w:rsidRPr="002D2613" w:rsidRDefault="002D2613" w:rsidP="002D2613">
            <w:pPr>
              <w:pStyle w:val="TableDataEntries"/>
            </w:pPr>
            <w:r w:rsidRPr="002D2613">
              <w:t xml:space="preserve"> 2.4</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D2613" w:rsidRPr="002D2613" w:rsidRDefault="002D2613" w:rsidP="002D2613">
            <w:pPr>
              <w:pStyle w:val="TableDataEntries"/>
            </w:pPr>
            <w:r w:rsidRPr="002D2613">
              <w:t xml:space="preserve"> 9.1</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D2613" w:rsidRPr="002D2613" w:rsidRDefault="002D2613" w:rsidP="002D2613">
            <w:pPr>
              <w:pStyle w:val="TableDataEntries"/>
            </w:pPr>
            <w:r w:rsidRPr="002D2613">
              <w:t xml:space="preserve"> 8.5</w:t>
            </w:r>
          </w:p>
        </w:tc>
        <w:tc>
          <w:tcPr>
            <w:tcW w:w="79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D2613" w:rsidRPr="002D2613" w:rsidRDefault="002D2613" w:rsidP="002D2613">
            <w:pPr>
              <w:pStyle w:val="TableDataEntries"/>
            </w:pPr>
            <w:r w:rsidRPr="002D2613">
              <w:t xml:space="preserve"> 553.3</w:t>
            </w:r>
          </w:p>
        </w:tc>
      </w:tr>
      <w:tr w:rsidR="0040126F" w:rsidTr="005D417E">
        <w:trPr>
          <w:trHeight w:val="230"/>
        </w:trPr>
        <w:tc>
          <w:tcPr>
            <w:tcW w:w="8080" w:type="dxa"/>
            <w:gridSpan w:val="10"/>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40126F" w:rsidRPr="00947F65" w:rsidRDefault="0040126F" w:rsidP="005D417E">
            <w:pPr>
              <w:pStyle w:val="TableHeading1"/>
            </w:pPr>
            <w:r>
              <w:rPr>
                <w:lang w:val="en-GB"/>
              </w:rPr>
              <w:t>High realisation scenario</w:t>
            </w:r>
          </w:p>
        </w:tc>
      </w:tr>
      <w:tr w:rsidR="00F835AC" w:rsidTr="005D417E">
        <w:trPr>
          <w:trHeight w:val="230"/>
        </w:trPr>
        <w:tc>
          <w:tcPr>
            <w:tcW w:w="161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F835AC" w:rsidRDefault="00F835AC" w:rsidP="00F835AC">
            <w:pPr>
              <w:pStyle w:val="TableDataEntries"/>
              <w:jc w:val="left"/>
              <w:rPr>
                <w:lang w:val="en-GB"/>
              </w:rPr>
            </w:pPr>
            <w:r>
              <w:rPr>
                <w:lang w:val="en-GB"/>
              </w:rPr>
              <w:t>Lifetime energy savings</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835AC" w:rsidRPr="00040DED" w:rsidRDefault="00F835AC" w:rsidP="00F835AC">
            <w:pPr>
              <w:pStyle w:val="TableDataEntries"/>
            </w:pPr>
            <w:r>
              <w:t xml:space="preserve"> 705.5</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835AC" w:rsidRPr="00040DED" w:rsidRDefault="00F835AC" w:rsidP="00F835AC">
            <w:pPr>
              <w:pStyle w:val="TableDataEntries"/>
            </w:pPr>
            <w:r>
              <w:t xml:space="preserve"> 602.4</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835AC" w:rsidRPr="00040DED" w:rsidRDefault="00F835AC" w:rsidP="00F835AC">
            <w:pPr>
              <w:pStyle w:val="TableDataEntries"/>
            </w:pPr>
            <w:r>
              <w:t xml:space="preserve"> 679.9</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835AC" w:rsidRPr="00040DED" w:rsidRDefault="00F835AC" w:rsidP="00F835AC">
            <w:pPr>
              <w:pStyle w:val="TableDataEntries"/>
            </w:pPr>
            <w:r>
              <w:t xml:space="preserve"> 155.1</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835AC" w:rsidRPr="00040DED" w:rsidRDefault="00F835AC" w:rsidP="00F835AC">
            <w:pPr>
              <w:pStyle w:val="TableDataEntries"/>
            </w:pPr>
            <w:r>
              <w:t xml:space="preserve"> 372.8</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835AC" w:rsidRPr="00040DED" w:rsidRDefault="00F835AC" w:rsidP="00F835AC">
            <w:pPr>
              <w:pStyle w:val="TableDataEntries"/>
            </w:pPr>
            <w:r>
              <w:t xml:space="preserve"> 24.1</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835AC" w:rsidRPr="00040DED" w:rsidRDefault="00F835AC" w:rsidP="00F835AC">
            <w:pPr>
              <w:pStyle w:val="TableDataEntries"/>
            </w:pPr>
            <w:r>
              <w:t xml:space="preserve"> 34.9</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835AC" w:rsidRPr="00040DED" w:rsidRDefault="00F835AC" w:rsidP="00F835AC">
            <w:pPr>
              <w:pStyle w:val="TableDataEntries"/>
            </w:pPr>
            <w:r>
              <w:t xml:space="preserve"> 47.0</w:t>
            </w:r>
          </w:p>
        </w:tc>
        <w:tc>
          <w:tcPr>
            <w:tcW w:w="79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835AC" w:rsidRPr="00040DED" w:rsidRDefault="00F835AC" w:rsidP="00F835AC">
            <w:pPr>
              <w:pStyle w:val="TableDataEntries"/>
            </w:pPr>
            <w:r>
              <w:t>2 621.7</w:t>
            </w:r>
          </w:p>
        </w:tc>
      </w:tr>
      <w:tr w:rsidR="00F835AC" w:rsidTr="005D417E">
        <w:trPr>
          <w:trHeight w:val="230"/>
        </w:trPr>
        <w:tc>
          <w:tcPr>
            <w:tcW w:w="161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F835AC" w:rsidRDefault="00F835AC" w:rsidP="00F835AC">
            <w:pPr>
              <w:pStyle w:val="TableDataEntries"/>
              <w:jc w:val="left"/>
              <w:rPr>
                <w:lang w:val="en-GB"/>
              </w:rPr>
            </w:pPr>
            <w:r>
              <w:rPr>
                <w:lang w:val="en-GB"/>
              </w:rPr>
              <w:t>Compliance costs</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835AC" w:rsidRPr="00040DED" w:rsidRDefault="00F835AC" w:rsidP="00F835AC">
            <w:pPr>
              <w:pStyle w:val="TableDataEntries"/>
            </w:pPr>
            <w:r>
              <w:t>- 172.3</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835AC" w:rsidRPr="00040DED" w:rsidRDefault="00F835AC" w:rsidP="00F835AC">
            <w:pPr>
              <w:pStyle w:val="TableDataEntries"/>
            </w:pPr>
            <w:r>
              <w:t>- 121.5</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835AC" w:rsidRPr="00040DED" w:rsidRDefault="00F835AC" w:rsidP="00F835AC">
            <w:pPr>
              <w:pStyle w:val="TableDataEntries"/>
            </w:pPr>
            <w:r>
              <w:t>- 93.4</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835AC" w:rsidRPr="00040DED" w:rsidRDefault="00F835AC" w:rsidP="00F835AC">
            <w:pPr>
              <w:pStyle w:val="TableDataEntries"/>
            </w:pPr>
            <w:r>
              <w:t>- 36.9</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835AC" w:rsidRPr="00040DED" w:rsidRDefault="00F835AC" w:rsidP="00F835AC">
            <w:pPr>
              <w:pStyle w:val="TableDataEntries"/>
            </w:pPr>
            <w:r>
              <w:t>- 81.5</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835AC" w:rsidRPr="00040DED" w:rsidRDefault="00F835AC" w:rsidP="00F835AC">
            <w:pPr>
              <w:pStyle w:val="TableDataEntries"/>
            </w:pPr>
            <w:r>
              <w:t>- 9.4</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835AC" w:rsidRPr="00040DED" w:rsidRDefault="00F835AC" w:rsidP="00F835AC">
            <w:pPr>
              <w:pStyle w:val="TableDataEntries"/>
            </w:pPr>
            <w:r>
              <w:t>- 10.8</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835AC" w:rsidRPr="00040DED" w:rsidRDefault="00F835AC" w:rsidP="00F835AC">
            <w:pPr>
              <w:pStyle w:val="TableDataEntries"/>
            </w:pPr>
            <w:r>
              <w:t>- 2.4</w:t>
            </w:r>
          </w:p>
        </w:tc>
        <w:tc>
          <w:tcPr>
            <w:tcW w:w="79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835AC" w:rsidRPr="00040DED" w:rsidRDefault="00F835AC" w:rsidP="00F835AC">
            <w:pPr>
              <w:pStyle w:val="TableDataEntries"/>
            </w:pPr>
            <w:r>
              <w:t>- 528.2</w:t>
            </w:r>
          </w:p>
        </w:tc>
      </w:tr>
      <w:tr w:rsidR="00F835AC" w:rsidTr="005D417E">
        <w:trPr>
          <w:trHeight w:val="230"/>
        </w:trPr>
        <w:tc>
          <w:tcPr>
            <w:tcW w:w="161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F835AC" w:rsidRDefault="00F835AC" w:rsidP="00F835AC">
            <w:pPr>
              <w:pStyle w:val="TableDataEntries"/>
              <w:jc w:val="left"/>
              <w:rPr>
                <w:lang w:val="en-GB"/>
              </w:rPr>
            </w:pPr>
            <w:r>
              <w:rPr>
                <w:lang w:val="en-GB"/>
              </w:rPr>
              <w:t>Administrative cost savings</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835AC" w:rsidRPr="00040DED" w:rsidRDefault="00F835AC" w:rsidP="00F835AC">
            <w:pPr>
              <w:pStyle w:val="TableDataEntries"/>
            </w:pPr>
            <w:r>
              <w:t xml:space="preserve"> 1.2</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835AC" w:rsidRPr="00040DED" w:rsidRDefault="00F835AC" w:rsidP="00F835AC">
            <w:pPr>
              <w:pStyle w:val="TableDataEntries"/>
            </w:pPr>
            <w:r>
              <w:t xml:space="preserve"> 1.0</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835AC" w:rsidRPr="00040DED" w:rsidRDefault="00F835AC" w:rsidP="00F835AC">
            <w:pPr>
              <w:pStyle w:val="TableDataEntries"/>
            </w:pPr>
            <w:r>
              <w:t xml:space="preserve"> 0.8</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835AC" w:rsidRPr="00040DED" w:rsidRDefault="00F835AC" w:rsidP="00F835AC">
            <w:pPr>
              <w:pStyle w:val="TableDataEntries"/>
            </w:pPr>
            <w:r>
              <w:t xml:space="preserve"> 0.2</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835AC" w:rsidRPr="00040DED" w:rsidRDefault="00F835AC" w:rsidP="00F835AC">
            <w:pPr>
              <w:pStyle w:val="TableDataEntries"/>
            </w:pPr>
            <w:r>
              <w:t xml:space="preserve"> 0.5</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835AC" w:rsidRPr="00040DED" w:rsidRDefault="00F835AC" w:rsidP="00F835AC">
            <w:pPr>
              <w:pStyle w:val="TableDataEntries"/>
            </w:pPr>
            <w:r>
              <w:t xml:space="preserve"> 0.0</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835AC" w:rsidRPr="00040DED" w:rsidRDefault="00F835AC" w:rsidP="00F835AC">
            <w:pPr>
              <w:pStyle w:val="TableDataEntries"/>
            </w:pPr>
            <w:r>
              <w:t xml:space="preserve"> 0.2</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835AC" w:rsidRPr="00040DED" w:rsidRDefault="00F835AC" w:rsidP="00F835AC">
            <w:pPr>
              <w:pStyle w:val="TableDataEntries"/>
            </w:pPr>
            <w:r>
              <w:t xml:space="preserve"> 0.0</w:t>
            </w:r>
          </w:p>
        </w:tc>
        <w:tc>
          <w:tcPr>
            <w:tcW w:w="79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835AC" w:rsidRPr="00040DED" w:rsidRDefault="00F835AC" w:rsidP="00F835AC">
            <w:pPr>
              <w:pStyle w:val="TableDataEntries"/>
            </w:pPr>
            <w:r>
              <w:t xml:space="preserve"> 3.9</w:t>
            </w:r>
          </w:p>
        </w:tc>
      </w:tr>
      <w:tr w:rsidR="00F835AC" w:rsidTr="005D417E">
        <w:trPr>
          <w:trHeight w:val="230"/>
        </w:trPr>
        <w:tc>
          <w:tcPr>
            <w:tcW w:w="161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F835AC" w:rsidRDefault="00F835AC" w:rsidP="00F835AC">
            <w:pPr>
              <w:pStyle w:val="TableDataEntries"/>
              <w:jc w:val="left"/>
              <w:rPr>
                <w:lang w:val="en-GB"/>
              </w:rPr>
            </w:pPr>
            <w:r>
              <w:rPr>
                <w:lang w:val="en-GB"/>
              </w:rPr>
              <w:t>Industry retraining costs</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835AC" w:rsidRPr="00040DED" w:rsidRDefault="00F835AC" w:rsidP="00F835AC">
            <w:pPr>
              <w:pStyle w:val="TableDataEntries"/>
            </w:pPr>
            <w:r>
              <w:t>-5.6</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835AC" w:rsidRPr="00040DED" w:rsidRDefault="00F835AC" w:rsidP="00F835AC">
            <w:pPr>
              <w:pStyle w:val="TableDataEntries"/>
            </w:pPr>
            <w:r>
              <w:t>-4.9</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835AC" w:rsidRPr="00040DED" w:rsidRDefault="00F835AC" w:rsidP="00F835AC">
            <w:pPr>
              <w:pStyle w:val="TableDataEntries"/>
            </w:pPr>
            <w:r>
              <w:t>-2.9</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835AC" w:rsidRPr="00040DED" w:rsidRDefault="00F835AC" w:rsidP="00F835AC">
            <w:pPr>
              <w:pStyle w:val="TableDataEntries"/>
            </w:pPr>
            <w:r>
              <w:t>-0.9</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835AC" w:rsidRPr="00040DED" w:rsidRDefault="00F835AC" w:rsidP="00F835AC">
            <w:pPr>
              <w:pStyle w:val="TableDataEntries"/>
            </w:pPr>
            <w:r>
              <w:t>-1.9</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835AC" w:rsidRPr="00040DED" w:rsidRDefault="00F835AC" w:rsidP="00F835AC">
            <w:pPr>
              <w:pStyle w:val="TableDataEntries"/>
            </w:pPr>
            <w:r>
              <w:t>-0.2</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835AC" w:rsidRPr="00040DED" w:rsidRDefault="00F835AC" w:rsidP="00F835AC">
            <w:pPr>
              <w:pStyle w:val="TableDataEntries"/>
            </w:pPr>
            <w:r>
              <w:t>-0.3</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835AC" w:rsidRPr="00040DED" w:rsidRDefault="00F835AC" w:rsidP="00F835AC">
            <w:pPr>
              <w:pStyle w:val="TableDataEntries"/>
            </w:pPr>
            <w:r>
              <w:t>-0.1</w:t>
            </w:r>
          </w:p>
        </w:tc>
        <w:tc>
          <w:tcPr>
            <w:tcW w:w="79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835AC" w:rsidRPr="00040DED" w:rsidRDefault="00F835AC" w:rsidP="00F835AC">
            <w:pPr>
              <w:pStyle w:val="TableDataEntries"/>
            </w:pPr>
            <w:r>
              <w:t>-16.7</w:t>
            </w:r>
          </w:p>
        </w:tc>
      </w:tr>
      <w:tr w:rsidR="00F835AC" w:rsidTr="00442369">
        <w:trPr>
          <w:trHeight w:val="230"/>
        </w:trPr>
        <w:tc>
          <w:tcPr>
            <w:tcW w:w="161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F835AC" w:rsidRDefault="00F835AC" w:rsidP="00F835AC">
            <w:pPr>
              <w:pStyle w:val="TableDataEntries"/>
              <w:jc w:val="left"/>
              <w:rPr>
                <w:lang w:val="en-GB"/>
              </w:rPr>
            </w:pPr>
            <w:r>
              <w:rPr>
                <w:lang w:val="en-GB"/>
              </w:rPr>
              <w:t>Government implementation costs</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835AC" w:rsidRDefault="00F835AC" w:rsidP="00F835AC">
            <w:pPr>
              <w:pStyle w:val="TableDataEntries"/>
            </w:pPr>
            <w:r>
              <w:t>-0.1</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835AC" w:rsidRDefault="00F835AC" w:rsidP="00F835AC">
            <w:pPr>
              <w:pStyle w:val="TableDataEntries"/>
            </w:pPr>
            <w:r>
              <w:t>-0.1</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835AC" w:rsidRDefault="00F835AC" w:rsidP="00F835AC">
            <w:pPr>
              <w:pStyle w:val="TableDataEntries"/>
            </w:pPr>
            <w:r>
              <w:t>-0.1</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835AC" w:rsidRDefault="00F835AC" w:rsidP="00F835AC">
            <w:pPr>
              <w:pStyle w:val="TableDataEntries"/>
            </w:pPr>
            <w:r>
              <w:t>0.0</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835AC" w:rsidRDefault="00F835AC" w:rsidP="00F835AC">
            <w:pPr>
              <w:pStyle w:val="TableDataEntries"/>
            </w:pPr>
            <w:r>
              <w:t>0.0</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835AC" w:rsidRDefault="00F835AC" w:rsidP="00F835AC">
            <w:pPr>
              <w:pStyle w:val="TableDataEntries"/>
            </w:pPr>
            <w:r>
              <w:t>0.0</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835AC" w:rsidRDefault="00F835AC" w:rsidP="00F835AC">
            <w:pPr>
              <w:pStyle w:val="TableDataEntries"/>
            </w:pPr>
            <w:r>
              <w:t>0.0</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835AC" w:rsidRDefault="00F835AC" w:rsidP="00F835AC">
            <w:pPr>
              <w:pStyle w:val="TableDataEntries"/>
            </w:pPr>
            <w:r>
              <w:t>0.0</w:t>
            </w:r>
          </w:p>
        </w:tc>
        <w:tc>
          <w:tcPr>
            <w:tcW w:w="79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835AC" w:rsidRDefault="00F835AC" w:rsidP="00F835AC">
            <w:pPr>
              <w:pStyle w:val="TableDataEntries"/>
            </w:pPr>
            <w:r>
              <w:t>-0.4</w:t>
            </w:r>
          </w:p>
        </w:tc>
      </w:tr>
      <w:tr w:rsidR="00F835AC" w:rsidRPr="0032647A" w:rsidTr="00442369">
        <w:trPr>
          <w:trHeight w:val="230"/>
        </w:trPr>
        <w:tc>
          <w:tcPr>
            <w:tcW w:w="161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F835AC" w:rsidRPr="0032647A" w:rsidRDefault="00F835AC" w:rsidP="00F835AC">
            <w:pPr>
              <w:pStyle w:val="TableDataEntries"/>
              <w:jc w:val="left"/>
              <w:rPr>
                <w:rFonts w:ascii="Franklin Gothic Demi" w:hAnsi="Franklin Gothic Demi"/>
                <w:lang w:val="en-GB"/>
              </w:rPr>
            </w:pPr>
            <w:r w:rsidRPr="0032647A">
              <w:rPr>
                <w:rFonts w:ascii="Franklin Gothic Demi" w:hAnsi="Franklin Gothic Demi"/>
                <w:lang w:val="en-GB"/>
              </w:rPr>
              <w:t>Net impact on community</w:t>
            </w:r>
          </w:p>
        </w:tc>
        <w:tc>
          <w:tcPr>
            <w:tcW w:w="709"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F835AC" w:rsidRPr="0032647A" w:rsidRDefault="00F835AC" w:rsidP="00F835AC">
            <w:pPr>
              <w:pStyle w:val="TableDataEntries"/>
              <w:rPr>
                <w:rFonts w:ascii="Franklin Gothic Demi" w:hAnsi="Franklin Gothic Demi"/>
              </w:rPr>
            </w:pPr>
            <w:r w:rsidRPr="0032647A">
              <w:rPr>
                <w:rFonts w:ascii="Franklin Gothic Demi" w:hAnsi="Franklin Gothic Demi"/>
              </w:rPr>
              <w:t xml:space="preserve"> 528.8</w:t>
            </w:r>
          </w:p>
        </w:tc>
        <w:tc>
          <w:tcPr>
            <w:tcW w:w="709"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F835AC" w:rsidRPr="0032647A" w:rsidRDefault="00F835AC" w:rsidP="00F835AC">
            <w:pPr>
              <w:pStyle w:val="TableDataEntries"/>
              <w:rPr>
                <w:rFonts w:ascii="Franklin Gothic Demi" w:hAnsi="Franklin Gothic Demi"/>
              </w:rPr>
            </w:pPr>
            <w:r w:rsidRPr="0032647A">
              <w:rPr>
                <w:rFonts w:ascii="Franklin Gothic Demi" w:hAnsi="Franklin Gothic Demi"/>
              </w:rPr>
              <w:t xml:space="preserve"> 476.8</w:t>
            </w:r>
          </w:p>
        </w:tc>
        <w:tc>
          <w:tcPr>
            <w:tcW w:w="709"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F835AC" w:rsidRPr="0032647A" w:rsidRDefault="00F835AC" w:rsidP="00F835AC">
            <w:pPr>
              <w:pStyle w:val="TableDataEntries"/>
              <w:rPr>
                <w:rFonts w:ascii="Franklin Gothic Demi" w:hAnsi="Franklin Gothic Demi"/>
              </w:rPr>
            </w:pPr>
            <w:r w:rsidRPr="0032647A">
              <w:rPr>
                <w:rFonts w:ascii="Franklin Gothic Demi" w:hAnsi="Franklin Gothic Demi"/>
              </w:rPr>
              <w:t xml:space="preserve"> 584.4</w:t>
            </w:r>
          </w:p>
        </w:tc>
        <w:tc>
          <w:tcPr>
            <w:tcW w:w="709"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F835AC" w:rsidRPr="0032647A" w:rsidRDefault="00F835AC" w:rsidP="00F835AC">
            <w:pPr>
              <w:pStyle w:val="TableDataEntries"/>
              <w:rPr>
                <w:rFonts w:ascii="Franklin Gothic Demi" w:hAnsi="Franklin Gothic Demi"/>
              </w:rPr>
            </w:pPr>
            <w:r w:rsidRPr="0032647A">
              <w:rPr>
                <w:rFonts w:ascii="Franklin Gothic Demi" w:hAnsi="Franklin Gothic Demi"/>
              </w:rPr>
              <w:t xml:space="preserve"> 117.5</w:t>
            </w:r>
          </w:p>
        </w:tc>
        <w:tc>
          <w:tcPr>
            <w:tcW w:w="709"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F835AC" w:rsidRPr="0032647A" w:rsidRDefault="00F835AC" w:rsidP="00F835AC">
            <w:pPr>
              <w:pStyle w:val="TableDataEntries"/>
              <w:rPr>
                <w:rFonts w:ascii="Franklin Gothic Demi" w:hAnsi="Franklin Gothic Demi"/>
              </w:rPr>
            </w:pPr>
            <w:r w:rsidRPr="0032647A">
              <w:rPr>
                <w:rFonts w:ascii="Franklin Gothic Demi" w:hAnsi="Franklin Gothic Demi"/>
              </w:rPr>
              <w:t xml:space="preserve"> 289.9</w:t>
            </w:r>
          </w:p>
        </w:tc>
        <w:tc>
          <w:tcPr>
            <w:tcW w:w="709"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F835AC" w:rsidRPr="0032647A" w:rsidRDefault="00F835AC" w:rsidP="00F835AC">
            <w:pPr>
              <w:pStyle w:val="TableDataEntries"/>
              <w:rPr>
                <w:rFonts w:ascii="Franklin Gothic Demi" w:hAnsi="Franklin Gothic Demi"/>
              </w:rPr>
            </w:pPr>
            <w:r w:rsidRPr="0032647A">
              <w:rPr>
                <w:rFonts w:ascii="Franklin Gothic Demi" w:hAnsi="Franklin Gothic Demi"/>
              </w:rPr>
              <w:t xml:space="preserve"> 14.4</w:t>
            </w:r>
          </w:p>
        </w:tc>
        <w:tc>
          <w:tcPr>
            <w:tcW w:w="709"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F835AC" w:rsidRPr="0032647A" w:rsidRDefault="00F835AC" w:rsidP="00F835AC">
            <w:pPr>
              <w:pStyle w:val="TableDataEntries"/>
              <w:rPr>
                <w:rFonts w:ascii="Franklin Gothic Demi" w:hAnsi="Franklin Gothic Demi"/>
              </w:rPr>
            </w:pPr>
            <w:r w:rsidRPr="0032647A">
              <w:rPr>
                <w:rFonts w:ascii="Franklin Gothic Demi" w:hAnsi="Franklin Gothic Demi"/>
              </w:rPr>
              <w:t xml:space="preserve"> 24.0</w:t>
            </w:r>
          </w:p>
        </w:tc>
        <w:tc>
          <w:tcPr>
            <w:tcW w:w="709"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F835AC" w:rsidRPr="0032647A" w:rsidRDefault="00F835AC" w:rsidP="00F835AC">
            <w:pPr>
              <w:pStyle w:val="TableDataEntries"/>
              <w:rPr>
                <w:rFonts w:ascii="Franklin Gothic Demi" w:hAnsi="Franklin Gothic Demi"/>
              </w:rPr>
            </w:pPr>
            <w:r w:rsidRPr="0032647A">
              <w:rPr>
                <w:rFonts w:ascii="Franklin Gothic Demi" w:hAnsi="Franklin Gothic Demi"/>
              </w:rPr>
              <w:t xml:space="preserve"> 44.5</w:t>
            </w:r>
          </w:p>
        </w:tc>
        <w:tc>
          <w:tcPr>
            <w:tcW w:w="792"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F835AC" w:rsidRPr="0032647A" w:rsidRDefault="00F835AC" w:rsidP="00F835AC">
            <w:pPr>
              <w:pStyle w:val="TableDataEntries"/>
              <w:rPr>
                <w:rFonts w:ascii="Franklin Gothic Demi" w:hAnsi="Franklin Gothic Demi"/>
              </w:rPr>
            </w:pPr>
            <w:r w:rsidRPr="0032647A">
              <w:rPr>
                <w:rFonts w:ascii="Franklin Gothic Demi" w:hAnsi="Franklin Gothic Demi"/>
              </w:rPr>
              <w:t>2 080.2</w:t>
            </w:r>
          </w:p>
        </w:tc>
      </w:tr>
      <w:tr w:rsidR="002D2613" w:rsidRPr="005D417E" w:rsidTr="00F835AC">
        <w:trPr>
          <w:trHeight w:val="230"/>
        </w:trPr>
        <w:tc>
          <w:tcPr>
            <w:tcW w:w="1616" w:type="dxa"/>
            <w:tcBorders>
              <w:top w:val="single" w:sz="8" w:space="0" w:color="FFFFFF" w:themeColor="background1"/>
              <w:bottom w:val="single" w:sz="6" w:space="0" w:color="6F6652"/>
            </w:tcBorders>
            <w:shd w:val="clear" w:color="auto" w:fill="E9E8E5" w:themeFill="background2"/>
            <w:tcMar>
              <w:left w:w="57" w:type="dxa"/>
              <w:right w:w="57" w:type="dxa"/>
            </w:tcMar>
          </w:tcPr>
          <w:p w:rsidR="002D2613" w:rsidRPr="005D417E" w:rsidRDefault="002D2613" w:rsidP="002D2613">
            <w:pPr>
              <w:pStyle w:val="TableTextEntries"/>
              <w:rPr>
                <w:rFonts w:ascii="Franklin Gothic Demi" w:hAnsi="Franklin Gothic Demi"/>
                <w:lang w:val="en-GB"/>
              </w:rPr>
            </w:pPr>
            <w:r>
              <w:rPr>
                <w:lang w:val="en-GB"/>
              </w:rPr>
              <w:t>GHG savings</w:t>
            </w:r>
          </w:p>
        </w:tc>
        <w:tc>
          <w:tcPr>
            <w:tcW w:w="709"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rsidR="002D2613" w:rsidRPr="002D2613" w:rsidRDefault="002D2613" w:rsidP="002D2613">
            <w:pPr>
              <w:pStyle w:val="TableDataEntries"/>
            </w:pPr>
            <w:r w:rsidRPr="002D2613">
              <w:t xml:space="preserve"> 195.4</w:t>
            </w:r>
          </w:p>
        </w:tc>
        <w:tc>
          <w:tcPr>
            <w:tcW w:w="709"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rsidR="002D2613" w:rsidRPr="002D2613" w:rsidRDefault="002D2613" w:rsidP="002D2613">
            <w:pPr>
              <w:pStyle w:val="TableDataEntries"/>
            </w:pPr>
            <w:r w:rsidRPr="002D2613">
              <w:t xml:space="preserve"> 203.5</w:t>
            </w:r>
          </w:p>
        </w:tc>
        <w:tc>
          <w:tcPr>
            <w:tcW w:w="709"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rsidR="002D2613" w:rsidRPr="002D2613" w:rsidRDefault="002D2613" w:rsidP="002D2613">
            <w:pPr>
              <w:pStyle w:val="TableDataEntries"/>
            </w:pPr>
            <w:r w:rsidRPr="002D2613">
              <w:t xml:space="preserve"> 199.8</w:t>
            </w:r>
          </w:p>
        </w:tc>
        <w:tc>
          <w:tcPr>
            <w:tcW w:w="709"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rsidR="002D2613" w:rsidRPr="002D2613" w:rsidRDefault="002D2613" w:rsidP="002D2613">
            <w:pPr>
              <w:pStyle w:val="TableDataEntries"/>
            </w:pPr>
            <w:r w:rsidRPr="002D2613">
              <w:t xml:space="preserve"> 28.5</w:t>
            </w:r>
          </w:p>
        </w:tc>
        <w:tc>
          <w:tcPr>
            <w:tcW w:w="709"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rsidR="002D2613" w:rsidRPr="002D2613" w:rsidRDefault="002D2613" w:rsidP="002D2613">
            <w:pPr>
              <w:pStyle w:val="TableDataEntries"/>
            </w:pPr>
            <w:r w:rsidRPr="002D2613">
              <w:t xml:space="preserve"> 83.9</w:t>
            </w:r>
          </w:p>
        </w:tc>
        <w:tc>
          <w:tcPr>
            <w:tcW w:w="709"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rsidR="002D2613" w:rsidRPr="002D2613" w:rsidRDefault="002D2613" w:rsidP="002D2613">
            <w:pPr>
              <w:pStyle w:val="TableDataEntries"/>
            </w:pPr>
            <w:r w:rsidRPr="002D2613">
              <w:t xml:space="preserve"> 3.2</w:t>
            </w:r>
          </w:p>
        </w:tc>
        <w:tc>
          <w:tcPr>
            <w:tcW w:w="709"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rsidR="002D2613" w:rsidRPr="002D2613" w:rsidRDefault="002D2613" w:rsidP="002D2613">
            <w:pPr>
              <w:pStyle w:val="TableDataEntries"/>
            </w:pPr>
            <w:r w:rsidRPr="002D2613">
              <w:t xml:space="preserve"> 12.1</w:t>
            </w:r>
          </w:p>
        </w:tc>
        <w:tc>
          <w:tcPr>
            <w:tcW w:w="709"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rsidR="002D2613" w:rsidRPr="002D2613" w:rsidRDefault="002D2613" w:rsidP="002D2613">
            <w:pPr>
              <w:pStyle w:val="TableDataEntries"/>
            </w:pPr>
            <w:r w:rsidRPr="002D2613">
              <w:t xml:space="preserve"> 11.4</w:t>
            </w:r>
          </w:p>
        </w:tc>
        <w:tc>
          <w:tcPr>
            <w:tcW w:w="792"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rsidR="002D2613" w:rsidRPr="002D2613" w:rsidRDefault="002D2613" w:rsidP="002D2613">
            <w:pPr>
              <w:pStyle w:val="TableDataEntries"/>
            </w:pPr>
            <w:r w:rsidRPr="002D2613">
              <w:t xml:space="preserve"> 737.8</w:t>
            </w:r>
          </w:p>
        </w:tc>
      </w:tr>
    </w:tbl>
    <w:p w:rsidR="0040126F" w:rsidRDefault="0040126F" w:rsidP="0040126F">
      <w:pPr>
        <w:pStyle w:val="Note"/>
      </w:pPr>
      <w:r w:rsidRPr="007D1B4F">
        <w:rPr>
          <w:i/>
        </w:rPr>
        <w:t>Note:</w:t>
      </w:r>
      <w:r w:rsidRPr="00E879B8">
        <w:t xml:space="preserve"> </w:t>
      </w:r>
      <w:r>
        <w:t>Costs and benefits estimated in present value terms over the 40 year life of all commercial building construction over a ten year regulatory period, using a discount rate of 7 per cent. Benefits are represented as a positive number; costs are represented as a negative number. Net social benefits include net private benefits and public benefits from greenhouse gas emissions</w:t>
      </w:r>
    </w:p>
    <w:p w:rsidR="0040126F" w:rsidRDefault="0040126F" w:rsidP="0040126F">
      <w:pPr>
        <w:pStyle w:val="Source"/>
      </w:pPr>
      <w:r>
        <w:rPr>
          <w:i/>
        </w:rPr>
        <w:t>Source</w:t>
      </w:r>
      <w:r w:rsidRPr="00E4232C">
        <w:rPr>
          <w:i/>
        </w:rPr>
        <w:t>:</w:t>
      </w:r>
      <w:r>
        <w:t xml:space="preserve"> CIE estimates based on EA modelling.</w:t>
      </w:r>
    </w:p>
    <w:p w:rsidR="00FC078F" w:rsidRDefault="00BD28D0" w:rsidP="00612FD3">
      <w:pPr>
        <w:pStyle w:val="BodyText"/>
      </w:pPr>
      <w:r>
        <w:rPr>
          <w:lang w:eastAsia="en-US"/>
        </w:rPr>
        <w:t>The emissions reductions will make a modest contribution towards Australia’s 2030 emissions targets of 26</w:t>
      </w:r>
      <w:r>
        <w:rPr>
          <w:lang w:eastAsia="en-US"/>
        </w:rPr>
        <w:noBreakHyphen/>
        <w:t>28 per cent below 2005 levels in 2030 under the Paris Agreement. Cumulative emissions reductions of 868</w:t>
      </w:r>
      <w:r>
        <w:rPr>
          <w:lang w:eastAsia="en-US"/>
        </w:rPr>
        <w:noBreakHyphen/>
        <w:t>934 Mt CO</w:t>
      </w:r>
      <w:r w:rsidRPr="007B74D1">
        <w:rPr>
          <w:vertAlign w:val="subscript"/>
          <w:lang w:eastAsia="en-US"/>
        </w:rPr>
        <w:t>2</w:t>
      </w:r>
      <w:r w:rsidRPr="007B74D1">
        <w:rPr>
          <w:vertAlign w:val="subscript"/>
          <w:lang w:eastAsia="en-US"/>
        </w:rPr>
        <w:noBreakHyphen/>
        <w:t>e</w:t>
      </w:r>
      <w:r>
        <w:rPr>
          <w:lang w:eastAsia="en-US"/>
        </w:rPr>
        <w:t xml:space="preserve"> are required to meet the 26 per </w:t>
      </w:r>
      <w:r>
        <w:rPr>
          <w:lang w:eastAsia="en-US"/>
        </w:rPr>
        <w:lastRenderedPageBreak/>
        <w:t>cent and 28 per cent targets respectively.</w:t>
      </w:r>
      <w:r>
        <w:rPr>
          <w:rStyle w:val="FootnoteReference"/>
          <w:lang w:eastAsia="en-US"/>
        </w:rPr>
        <w:footnoteReference w:id="8"/>
      </w:r>
      <w:r>
        <w:rPr>
          <w:lang w:eastAsia="en-US"/>
        </w:rPr>
        <w:t xml:space="preserve"> The proposed changes to the NCC would contribute less than 1 per cent towards these targets (table </w:t>
      </w:r>
      <w:r>
        <w:rPr>
          <w:lang w:eastAsia="en-US"/>
        </w:rPr>
        <w:fldChar w:fldCharType="begin"/>
      </w:r>
      <w:r>
        <w:rPr>
          <w:lang w:eastAsia="en-US"/>
        </w:rPr>
        <w:instrText xml:space="preserve"> REF _Caption4360 </w:instrText>
      </w:r>
      <w:r>
        <w:rPr>
          <w:lang w:eastAsia="en-US"/>
        </w:rPr>
        <w:fldChar w:fldCharType="separate"/>
      </w:r>
      <w:r w:rsidR="006B79B8">
        <w:rPr>
          <w:noProof/>
        </w:rPr>
        <w:t>2</w:t>
      </w:r>
      <w:r>
        <w:rPr>
          <w:lang w:eastAsia="en-US"/>
        </w:rPr>
        <w:fldChar w:fldCharType="end"/>
      </w:r>
      <w:r>
        <w:rPr>
          <w:lang w:eastAsia="en-US"/>
        </w:rPr>
        <w:t>).</w:t>
      </w:r>
    </w:p>
    <w:p w:rsidR="00FC078F" w:rsidRPr="002B3C0A" w:rsidRDefault="00FC078F" w:rsidP="00FC078F">
      <w:pPr>
        <w:pStyle w:val="Caption"/>
      </w:pPr>
      <w:r w:rsidRPr="002B3C0A">
        <w:fldChar w:fldCharType="begin"/>
      </w:r>
      <w:r w:rsidRPr="002B3C0A">
        <w:instrText xml:space="preserve"> IF 1 = 1 "</w:instrText>
      </w:r>
      <w:r w:rsidRPr="002B3C0A">
        <w:fldChar w:fldCharType="begin"/>
      </w:r>
      <w:r w:rsidRPr="002B3C0A">
        <w:instrText xml:space="preserve"> IF </w:instrText>
      </w:r>
      <w:r w:rsidRPr="002B3C0A">
        <w:rPr>
          <w:noProof/>
        </w:rPr>
        <w:fldChar w:fldCharType="begin"/>
      </w:r>
      <w:r w:rsidRPr="002B3C0A">
        <w:rPr>
          <w:noProof/>
        </w:rPr>
        <w:instrText xml:space="preserve"> STYLEREF "Heading 6" \l \n </w:instrText>
      </w:r>
      <w:r w:rsidRPr="002B3C0A">
        <w:rPr>
          <w:noProof/>
        </w:rPr>
        <w:fldChar w:fldCharType="separate"/>
      </w:r>
      <w:r w:rsidR="006B79B8">
        <w:rPr>
          <w:noProof/>
        </w:rPr>
        <w:instrText>0</w:instrText>
      </w:r>
      <w:r w:rsidRPr="002B3C0A">
        <w:rPr>
          <w:noProof/>
        </w:rPr>
        <w:fldChar w:fldCharType="end"/>
      </w:r>
      <w:r w:rsidRPr="002B3C0A">
        <w:instrText xml:space="preserve"> = 0 "</w:instrText>
      </w:r>
      <w:r w:rsidRPr="002B3C0A">
        <w:fldChar w:fldCharType="begin"/>
      </w:r>
      <w:r w:rsidRPr="002B3C0A">
        <w:instrText xml:space="preserve"> IF </w:instrText>
      </w:r>
      <w:r w:rsidRPr="002B3C0A">
        <w:rPr>
          <w:noProof/>
        </w:rPr>
        <w:fldChar w:fldCharType="begin"/>
      </w:r>
      <w:r w:rsidRPr="002B3C0A">
        <w:rPr>
          <w:noProof/>
        </w:rPr>
        <w:instrText xml:space="preserve"> STYLEREF "Heading 1" \l \n </w:instrText>
      </w:r>
      <w:r w:rsidRPr="002B3C0A">
        <w:rPr>
          <w:noProof/>
        </w:rPr>
        <w:fldChar w:fldCharType="separate"/>
      </w:r>
      <w:r w:rsidR="006B79B8">
        <w:rPr>
          <w:noProof/>
        </w:rPr>
        <w:instrText>0</w:instrText>
      </w:r>
      <w:r w:rsidRPr="002B3C0A">
        <w:rPr>
          <w:noProof/>
        </w:rPr>
        <w:fldChar w:fldCharType="end"/>
      </w:r>
      <w:r w:rsidRPr="002B3C0A">
        <w:instrText xml:space="preserve"> = 0 "" "</w:instrText>
      </w:r>
      <w:r w:rsidRPr="002B3C0A">
        <w:rPr>
          <w:noProof/>
        </w:rPr>
        <w:fldChar w:fldCharType="begin"/>
      </w:r>
      <w:r w:rsidRPr="002B3C0A">
        <w:rPr>
          <w:noProof/>
        </w:rPr>
        <w:instrText xml:space="preserve"> STYLEREF "Heading 1" \l \n </w:instrText>
      </w:r>
      <w:r w:rsidRPr="002B3C0A">
        <w:rPr>
          <w:noProof/>
        </w:rPr>
        <w:fldChar w:fldCharType="separate"/>
      </w:r>
      <w:r w:rsidRPr="002B3C0A">
        <w:rPr>
          <w:noProof/>
        </w:rPr>
        <w:instrText>2</w:instrText>
      </w:r>
      <w:r w:rsidRPr="002B3C0A">
        <w:rPr>
          <w:noProof/>
        </w:rPr>
        <w:fldChar w:fldCharType="end"/>
      </w:r>
      <w:r w:rsidRPr="002B3C0A">
        <w:instrText xml:space="preserve">." </w:instrText>
      </w:r>
      <w:r w:rsidRPr="002B3C0A">
        <w:fldChar w:fldCharType="end"/>
      </w:r>
      <w:r w:rsidRPr="002B3C0A">
        <w:instrText>" "</w:instrText>
      </w:r>
      <w:r w:rsidR="001F6F43">
        <w:fldChar w:fldCharType="begin"/>
      </w:r>
      <w:r w:rsidR="001F6F43">
        <w:instrText xml:space="preserve"> STYLEREF "Heading 6" \l \n </w:instrText>
      </w:r>
      <w:r w:rsidR="001F6F43">
        <w:fldChar w:fldCharType="separate"/>
      </w:r>
      <w:r w:rsidRPr="002B3C0A">
        <w:instrText>B</w:instrText>
      </w:r>
      <w:r w:rsidR="001F6F43">
        <w:fldChar w:fldCharType="end"/>
      </w:r>
      <w:r w:rsidRPr="002B3C0A">
        <w:instrText xml:space="preserve">." </w:instrText>
      </w:r>
      <w:r w:rsidRPr="002B3C0A">
        <w:fldChar w:fldCharType="end"/>
      </w:r>
      <w:r w:rsidRPr="002B3C0A">
        <w:fldChar w:fldCharType="begin"/>
      </w:r>
      <w:r w:rsidRPr="002B3C0A">
        <w:instrText xml:space="preserve"> SEQ Item \* ARABIC \s </w:instrText>
      </w:r>
      <w:r w:rsidRPr="002B3C0A">
        <w:fldChar w:fldCharType="begin"/>
      </w:r>
      <w:r w:rsidRPr="002B3C0A">
        <w:instrText xml:space="preserve"> IF </w:instrText>
      </w:r>
      <w:r w:rsidRPr="002B3C0A">
        <w:rPr>
          <w:noProof/>
        </w:rPr>
        <w:fldChar w:fldCharType="begin"/>
      </w:r>
      <w:r w:rsidRPr="002B3C0A">
        <w:rPr>
          <w:noProof/>
        </w:rPr>
        <w:instrText xml:space="preserve"> STYLEREF "Heading 6" \l \n </w:instrText>
      </w:r>
      <w:r w:rsidRPr="002B3C0A">
        <w:rPr>
          <w:noProof/>
        </w:rPr>
        <w:fldChar w:fldCharType="separate"/>
      </w:r>
      <w:r w:rsidR="006B79B8">
        <w:rPr>
          <w:noProof/>
        </w:rPr>
        <w:instrText>0</w:instrText>
      </w:r>
      <w:r w:rsidRPr="002B3C0A">
        <w:rPr>
          <w:noProof/>
        </w:rPr>
        <w:fldChar w:fldCharType="end"/>
      </w:r>
      <w:r w:rsidRPr="002B3C0A">
        <w:instrText xml:space="preserve"> = 0 "</w:instrText>
      </w:r>
      <w:r w:rsidRPr="002B3C0A">
        <w:fldChar w:fldCharType="begin"/>
      </w:r>
      <w:r w:rsidRPr="002B3C0A">
        <w:instrText xml:space="preserve"> IF </w:instrText>
      </w:r>
      <w:r w:rsidRPr="002B3C0A">
        <w:rPr>
          <w:noProof/>
        </w:rPr>
        <w:fldChar w:fldCharType="begin"/>
      </w:r>
      <w:r w:rsidRPr="002B3C0A">
        <w:rPr>
          <w:noProof/>
        </w:rPr>
        <w:instrText xml:space="preserve"> STYLEREF "Heading 1" \l \n </w:instrText>
      </w:r>
      <w:r w:rsidRPr="002B3C0A">
        <w:rPr>
          <w:noProof/>
        </w:rPr>
        <w:fldChar w:fldCharType="separate"/>
      </w:r>
      <w:r w:rsidR="006B79B8">
        <w:rPr>
          <w:noProof/>
        </w:rPr>
        <w:instrText>0</w:instrText>
      </w:r>
      <w:r w:rsidRPr="002B3C0A">
        <w:rPr>
          <w:noProof/>
        </w:rPr>
        <w:fldChar w:fldCharType="end"/>
      </w:r>
      <w:r w:rsidRPr="002B3C0A">
        <w:instrText xml:space="preserve"> = 0 "" "1" </w:instrText>
      </w:r>
      <w:r w:rsidRPr="002B3C0A">
        <w:fldChar w:fldCharType="end"/>
      </w:r>
      <w:r w:rsidRPr="002B3C0A">
        <w:instrText xml:space="preserve">" "6" </w:instrText>
      </w:r>
      <w:r w:rsidRPr="002B3C0A">
        <w:fldChar w:fldCharType="end"/>
      </w:r>
      <w:r w:rsidRPr="002B3C0A">
        <w:instrText xml:space="preserve"> </w:instrText>
      </w:r>
      <w:r w:rsidRPr="002B3C0A">
        <w:fldChar w:fldCharType="separate"/>
      </w:r>
      <w:r w:rsidR="00EA42ED">
        <w:rPr>
          <w:noProof/>
        </w:rPr>
        <w:instrText>2</w:instrText>
      </w:r>
      <w:r w:rsidRPr="002B3C0A">
        <w:fldChar w:fldCharType="end"/>
      </w:r>
      <w:r w:rsidRPr="002B3C0A">
        <w:instrText xml:space="preserve">" "" </w:instrText>
      </w:r>
      <w:r w:rsidRPr="002B3C0A">
        <w:fldChar w:fldCharType="separate"/>
      </w:r>
      <w:bookmarkStart w:id="32" w:name="_Caption2832"/>
      <w:bookmarkStart w:id="33" w:name="_Caption4360"/>
      <w:bookmarkStart w:id="34" w:name="_Caption6827"/>
      <w:bookmarkStart w:id="35" w:name="_Caption3868"/>
      <w:bookmarkStart w:id="36" w:name="_Caption9567"/>
      <w:bookmarkStart w:id="37" w:name="_Caption0229"/>
      <w:bookmarkStart w:id="38" w:name="_Caption1104"/>
      <w:bookmarkStart w:id="39" w:name="_Caption3709"/>
      <w:bookmarkStart w:id="40" w:name="_Caption0620"/>
      <w:bookmarkStart w:id="41" w:name="_Caption3065"/>
      <w:bookmarkStart w:id="42" w:name="_Caption6113"/>
      <w:bookmarkStart w:id="43" w:name="_Caption1583"/>
      <w:bookmarkStart w:id="44" w:name="_Caption1496"/>
      <w:bookmarkStart w:id="45" w:name="_Caption1463"/>
      <w:bookmarkStart w:id="46" w:name="_Caption0158"/>
      <w:bookmarkStart w:id="47" w:name="_Caption4852"/>
      <w:bookmarkStart w:id="48" w:name="_Caption2612"/>
      <w:bookmarkStart w:id="49" w:name="_Caption1962"/>
      <w:bookmarkStart w:id="50" w:name="_Caption0840"/>
      <w:bookmarkStart w:id="51" w:name="_Toc529869893"/>
      <w:bookmarkStart w:id="52" w:name="_Toc530748389"/>
      <w:r w:rsidR="00EA42ED">
        <w:rPr>
          <w:noProof/>
        </w:rPr>
        <w:t>2</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r w:rsidRPr="002B3C0A">
        <w:fldChar w:fldCharType="end"/>
      </w:r>
      <w:r w:rsidRPr="002B3C0A">
        <w:tab/>
        <w:t>Estimated emissions reductions</w:t>
      </w:r>
      <w:bookmarkEnd w:id="51"/>
      <w:bookmarkEnd w:id="52"/>
    </w:p>
    <w:tbl>
      <w:tblPr>
        <w:tblW w:w="7936" w:type="dxa"/>
        <w:tblLayout w:type="fixed"/>
        <w:tblLook w:val="0000" w:firstRow="0" w:lastRow="0" w:firstColumn="0" w:lastColumn="0" w:noHBand="0" w:noVBand="0"/>
        <w:tblCaption w:val="Table 2: Estimated emissions reductions"/>
        <w:tblDescription w:val="This table details the expected emission reductions based on chosen scenario. Emission reductions range from 0.35% to 0.70%.  "/>
      </w:tblPr>
      <w:tblGrid>
        <w:gridCol w:w="2192"/>
        <w:gridCol w:w="1436"/>
        <w:gridCol w:w="1436"/>
        <w:gridCol w:w="1436"/>
        <w:gridCol w:w="1436"/>
      </w:tblGrid>
      <w:tr w:rsidR="00FC078F" w:rsidRPr="005674F7" w:rsidTr="00406AD8">
        <w:trPr>
          <w:trHeight w:val="922"/>
          <w:tblHeader/>
        </w:trPr>
        <w:tc>
          <w:tcPr>
            <w:tcW w:w="2192" w:type="dxa"/>
            <w:shd w:val="clear" w:color="auto" w:fill="6F6652"/>
            <w:tcMar>
              <w:left w:w="57" w:type="dxa"/>
              <w:right w:w="57" w:type="dxa"/>
            </w:tcMar>
          </w:tcPr>
          <w:p w:rsidR="00FC078F" w:rsidRPr="002B3C0A" w:rsidRDefault="00FC078F" w:rsidP="00FC078F">
            <w:pPr>
              <w:pStyle w:val="TableDataColumnHeading"/>
              <w:jc w:val="left"/>
              <w:rPr>
                <w:lang w:val="en-GB"/>
              </w:rPr>
            </w:pPr>
          </w:p>
        </w:tc>
        <w:tc>
          <w:tcPr>
            <w:tcW w:w="1436" w:type="dxa"/>
            <w:shd w:val="clear" w:color="auto" w:fill="6F6652"/>
            <w:tcMar>
              <w:left w:w="57" w:type="dxa"/>
              <w:right w:w="57" w:type="dxa"/>
            </w:tcMar>
          </w:tcPr>
          <w:p w:rsidR="00FC078F" w:rsidRPr="002B3C0A" w:rsidRDefault="00FC078F" w:rsidP="00FC078F">
            <w:pPr>
              <w:pStyle w:val="TableDataColumnHeading"/>
              <w:rPr>
                <w:lang w:val="en-GB"/>
              </w:rPr>
            </w:pPr>
            <w:r w:rsidRPr="002B3C0A">
              <w:rPr>
                <w:lang w:val="en-GB"/>
              </w:rPr>
              <w:t>Emissions reduction (2019-2067)</w:t>
            </w:r>
          </w:p>
        </w:tc>
        <w:tc>
          <w:tcPr>
            <w:tcW w:w="1436" w:type="dxa"/>
            <w:shd w:val="clear" w:color="auto" w:fill="6F6652"/>
            <w:tcMar>
              <w:left w:w="57" w:type="dxa"/>
              <w:right w:w="57" w:type="dxa"/>
            </w:tcMar>
          </w:tcPr>
          <w:p w:rsidR="00FC078F" w:rsidRPr="002B3C0A" w:rsidRDefault="00FC078F" w:rsidP="00FC078F">
            <w:pPr>
              <w:pStyle w:val="TableDataColumnHeading"/>
              <w:rPr>
                <w:lang w:val="en-GB"/>
              </w:rPr>
            </w:pPr>
            <w:r w:rsidRPr="002B3C0A">
              <w:rPr>
                <w:lang w:val="en-GB"/>
              </w:rPr>
              <w:t>Emissions reductions (2021-2030)</w:t>
            </w:r>
          </w:p>
        </w:tc>
        <w:tc>
          <w:tcPr>
            <w:tcW w:w="1436" w:type="dxa"/>
            <w:shd w:val="clear" w:color="auto" w:fill="6F6652"/>
            <w:tcMar>
              <w:left w:w="57" w:type="dxa"/>
              <w:right w:w="57" w:type="dxa"/>
            </w:tcMar>
          </w:tcPr>
          <w:p w:rsidR="00FC078F" w:rsidRPr="002B3C0A" w:rsidRDefault="00FC078F" w:rsidP="00FC078F">
            <w:pPr>
              <w:pStyle w:val="TableDataColumnHeading"/>
              <w:rPr>
                <w:lang w:val="en-GB"/>
              </w:rPr>
            </w:pPr>
            <w:r w:rsidRPr="002B3C0A">
              <w:rPr>
                <w:lang w:val="en-GB"/>
              </w:rPr>
              <w:t>Proportion of emissions reduction task (based on 26 per cent reduction)</w:t>
            </w:r>
            <w:r w:rsidR="00BD28D0" w:rsidRPr="002B3C0A">
              <w:rPr>
                <w:rStyle w:val="NoteLabel"/>
              </w:rPr>
              <w:t>a</w:t>
            </w:r>
          </w:p>
        </w:tc>
        <w:tc>
          <w:tcPr>
            <w:tcW w:w="1436" w:type="dxa"/>
            <w:shd w:val="clear" w:color="auto" w:fill="6F6652"/>
            <w:tcMar>
              <w:left w:w="57" w:type="dxa"/>
              <w:right w:w="57" w:type="dxa"/>
            </w:tcMar>
          </w:tcPr>
          <w:p w:rsidR="00FC078F" w:rsidRPr="002B3C0A" w:rsidRDefault="00FC078F" w:rsidP="00FC078F">
            <w:pPr>
              <w:pStyle w:val="TableDataColumnHeading"/>
              <w:rPr>
                <w:b/>
                <w:lang w:val="en-GB"/>
              </w:rPr>
            </w:pPr>
            <w:r w:rsidRPr="002B3C0A">
              <w:rPr>
                <w:lang w:val="en-GB"/>
              </w:rPr>
              <w:t>Proportion of emissions reduction task (based on 28 per cent reduction</w:t>
            </w:r>
            <w:r w:rsidRPr="002B3C0A">
              <w:rPr>
                <w:rStyle w:val="NoteLabel"/>
              </w:rPr>
              <w:t>)</w:t>
            </w:r>
          </w:p>
        </w:tc>
      </w:tr>
      <w:tr w:rsidR="00FC078F" w:rsidRPr="004E29E3" w:rsidTr="00406AD8">
        <w:trPr>
          <w:trHeight w:val="230"/>
          <w:tblHeader/>
        </w:trPr>
        <w:tc>
          <w:tcPr>
            <w:tcW w:w="2192" w:type="dxa"/>
            <w:tcBorders>
              <w:bottom w:val="single" w:sz="8" w:space="0" w:color="FFFFFF" w:themeColor="background1"/>
            </w:tcBorders>
            <w:shd w:val="clear" w:color="auto" w:fill="auto"/>
            <w:tcMar>
              <w:left w:w="57" w:type="dxa"/>
              <w:right w:w="57" w:type="dxa"/>
            </w:tcMar>
          </w:tcPr>
          <w:p w:rsidR="00FC078F" w:rsidRPr="004E29E3" w:rsidRDefault="00FC078F" w:rsidP="00FC078F">
            <w:pPr>
              <w:pStyle w:val="TableUnit"/>
              <w:jc w:val="left"/>
              <w:rPr>
                <w:lang w:val="en-GB"/>
              </w:rPr>
            </w:pPr>
          </w:p>
        </w:tc>
        <w:tc>
          <w:tcPr>
            <w:tcW w:w="1436" w:type="dxa"/>
            <w:tcBorders>
              <w:bottom w:val="single" w:sz="8" w:space="0" w:color="FFFFFF" w:themeColor="background1"/>
            </w:tcBorders>
            <w:shd w:val="clear" w:color="auto" w:fill="auto"/>
            <w:tcMar>
              <w:left w:w="57" w:type="dxa"/>
              <w:right w:w="57" w:type="dxa"/>
            </w:tcMar>
          </w:tcPr>
          <w:p w:rsidR="00FC078F" w:rsidRPr="004E29E3" w:rsidRDefault="00FC078F" w:rsidP="00FC078F">
            <w:pPr>
              <w:pStyle w:val="TableUnit"/>
              <w:rPr>
                <w:lang w:val="en-GB"/>
              </w:rPr>
            </w:pPr>
            <w:r w:rsidRPr="004E29E3">
              <w:rPr>
                <w:lang w:val="en-GB"/>
              </w:rPr>
              <w:t>Mt</w:t>
            </w:r>
            <w:r w:rsidR="00991E08" w:rsidRPr="004E29E3">
              <w:rPr>
                <w:lang w:val="en-GB"/>
              </w:rPr>
              <w:t xml:space="preserve"> CO</w:t>
            </w:r>
            <w:r w:rsidR="00991E08" w:rsidRPr="004E29E3">
              <w:rPr>
                <w:vertAlign w:val="subscript"/>
                <w:lang w:val="en-GB"/>
              </w:rPr>
              <w:t>2-e</w:t>
            </w:r>
          </w:p>
        </w:tc>
        <w:tc>
          <w:tcPr>
            <w:tcW w:w="1436" w:type="dxa"/>
            <w:tcBorders>
              <w:bottom w:val="single" w:sz="8" w:space="0" w:color="FFFFFF" w:themeColor="background1"/>
            </w:tcBorders>
            <w:shd w:val="clear" w:color="auto" w:fill="auto"/>
            <w:tcMar>
              <w:left w:w="57" w:type="dxa"/>
              <w:right w:w="57" w:type="dxa"/>
            </w:tcMar>
          </w:tcPr>
          <w:p w:rsidR="00FC078F" w:rsidRPr="004E29E3" w:rsidRDefault="00FC078F" w:rsidP="00FC078F">
            <w:pPr>
              <w:pStyle w:val="TableUnit"/>
              <w:rPr>
                <w:lang w:val="en-GB"/>
              </w:rPr>
            </w:pPr>
            <w:r w:rsidRPr="004E29E3">
              <w:rPr>
                <w:lang w:val="en-GB"/>
              </w:rPr>
              <w:t>Mt</w:t>
            </w:r>
            <w:r w:rsidR="00991E08" w:rsidRPr="004E29E3">
              <w:rPr>
                <w:lang w:val="en-GB"/>
              </w:rPr>
              <w:t xml:space="preserve"> CO</w:t>
            </w:r>
            <w:r w:rsidR="00991E08" w:rsidRPr="004E29E3">
              <w:rPr>
                <w:vertAlign w:val="subscript"/>
                <w:lang w:val="en-GB"/>
              </w:rPr>
              <w:t>2-e</w:t>
            </w:r>
          </w:p>
        </w:tc>
        <w:tc>
          <w:tcPr>
            <w:tcW w:w="1436" w:type="dxa"/>
            <w:tcBorders>
              <w:bottom w:val="single" w:sz="8" w:space="0" w:color="FFFFFF" w:themeColor="background1"/>
            </w:tcBorders>
            <w:shd w:val="clear" w:color="auto" w:fill="auto"/>
            <w:tcMar>
              <w:left w:w="57" w:type="dxa"/>
              <w:right w:w="57" w:type="dxa"/>
            </w:tcMar>
          </w:tcPr>
          <w:p w:rsidR="00FC078F" w:rsidRPr="004E29E3" w:rsidRDefault="00FC078F" w:rsidP="00FC078F">
            <w:pPr>
              <w:pStyle w:val="TableUnit"/>
              <w:rPr>
                <w:lang w:val="en-GB"/>
              </w:rPr>
            </w:pPr>
            <w:r w:rsidRPr="004E29E3">
              <w:rPr>
                <w:lang w:val="en-GB"/>
              </w:rPr>
              <w:t>Per cent</w:t>
            </w:r>
          </w:p>
        </w:tc>
        <w:tc>
          <w:tcPr>
            <w:tcW w:w="1436" w:type="dxa"/>
            <w:tcBorders>
              <w:bottom w:val="single" w:sz="8" w:space="0" w:color="FFFFFF" w:themeColor="background1"/>
            </w:tcBorders>
            <w:shd w:val="clear" w:color="auto" w:fill="auto"/>
            <w:tcMar>
              <w:left w:w="57" w:type="dxa"/>
              <w:right w:w="57" w:type="dxa"/>
            </w:tcMar>
          </w:tcPr>
          <w:p w:rsidR="00FC078F" w:rsidRPr="004E29E3" w:rsidRDefault="00FC078F" w:rsidP="00FC078F">
            <w:pPr>
              <w:pStyle w:val="TableUnit"/>
              <w:rPr>
                <w:lang w:val="en-GB"/>
              </w:rPr>
            </w:pPr>
            <w:r w:rsidRPr="004E29E3">
              <w:rPr>
                <w:lang w:val="en-GB"/>
              </w:rPr>
              <w:t>Per cent</w:t>
            </w:r>
          </w:p>
        </w:tc>
      </w:tr>
      <w:tr w:rsidR="00FC078F" w:rsidRPr="004E29E3" w:rsidTr="00FC078F">
        <w:trPr>
          <w:trHeight w:val="230"/>
        </w:trPr>
        <w:tc>
          <w:tcPr>
            <w:tcW w:w="219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FC078F" w:rsidRPr="004E29E3" w:rsidRDefault="00FC078F" w:rsidP="00FC078F">
            <w:pPr>
              <w:pStyle w:val="TableDataEntries"/>
              <w:jc w:val="left"/>
              <w:rPr>
                <w:lang w:val="en-GB"/>
              </w:rPr>
            </w:pPr>
            <w:r w:rsidRPr="004E29E3">
              <w:rPr>
                <w:lang w:val="en-GB"/>
              </w:rPr>
              <w:t>Low scenario</w:t>
            </w:r>
          </w:p>
        </w:tc>
        <w:tc>
          <w:tcPr>
            <w:tcW w:w="143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FC078F" w:rsidRPr="004E29E3" w:rsidRDefault="00FC078F" w:rsidP="00FC078F">
            <w:pPr>
              <w:pStyle w:val="TableDataEntries"/>
              <w:rPr>
                <w:lang w:val="en-GB"/>
              </w:rPr>
            </w:pPr>
            <w:r w:rsidRPr="004E29E3">
              <w:rPr>
                <w:lang w:val="en-GB"/>
              </w:rPr>
              <w:t xml:space="preserve"> 13.34</w:t>
            </w:r>
          </w:p>
        </w:tc>
        <w:tc>
          <w:tcPr>
            <w:tcW w:w="143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FC078F" w:rsidRPr="004E29E3" w:rsidRDefault="00FC078F" w:rsidP="00FC078F">
            <w:pPr>
              <w:pStyle w:val="TableDataEntries"/>
              <w:rPr>
                <w:lang w:val="en-GB"/>
              </w:rPr>
            </w:pPr>
            <w:r w:rsidRPr="004E29E3">
              <w:rPr>
                <w:lang w:val="en-GB"/>
              </w:rPr>
              <w:t xml:space="preserve"> 3.28</w:t>
            </w:r>
          </w:p>
        </w:tc>
        <w:tc>
          <w:tcPr>
            <w:tcW w:w="143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FC078F" w:rsidRPr="004E29E3" w:rsidRDefault="00FC078F" w:rsidP="00FC078F">
            <w:pPr>
              <w:pStyle w:val="TableDataEntries"/>
              <w:rPr>
                <w:lang w:val="en-GB"/>
              </w:rPr>
            </w:pPr>
            <w:r w:rsidRPr="004E29E3">
              <w:rPr>
                <w:lang w:val="en-GB"/>
              </w:rPr>
              <w:t xml:space="preserve"> 0.38</w:t>
            </w:r>
          </w:p>
        </w:tc>
        <w:tc>
          <w:tcPr>
            <w:tcW w:w="143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FC078F" w:rsidRPr="004E29E3" w:rsidRDefault="00FC078F" w:rsidP="00FC078F">
            <w:pPr>
              <w:pStyle w:val="TableDataEntries"/>
              <w:rPr>
                <w:lang w:val="en-GB"/>
              </w:rPr>
            </w:pPr>
            <w:r w:rsidRPr="004E29E3">
              <w:rPr>
                <w:lang w:val="en-GB"/>
              </w:rPr>
              <w:t xml:space="preserve"> 0.35</w:t>
            </w:r>
          </w:p>
        </w:tc>
      </w:tr>
      <w:tr w:rsidR="00FC078F" w:rsidRPr="004E29E3" w:rsidTr="00FC078F">
        <w:trPr>
          <w:trHeight w:val="230"/>
        </w:trPr>
        <w:tc>
          <w:tcPr>
            <w:tcW w:w="219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FC078F" w:rsidRPr="004E29E3" w:rsidRDefault="00FC078F" w:rsidP="00FC078F">
            <w:pPr>
              <w:pStyle w:val="TableDataEntries"/>
              <w:jc w:val="left"/>
              <w:rPr>
                <w:lang w:val="en-GB"/>
              </w:rPr>
            </w:pPr>
            <w:r w:rsidRPr="004E29E3">
              <w:rPr>
                <w:lang w:val="en-GB"/>
              </w:rPr>
              <w:t>Medium scenario</w:t>
            </w:r>
          </w:p>
        </w:tc>
        <w:tc>
          <w:tcPr>
            <w:tcW w:w="143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FC078F" w:rsidRPr="004E29E3" w:rsidRDefault="00FC078F" w:rsidP="00FC078F">
            <w:pPr>
              <w:pStyle w:val="TableDataEntries"/>
              <w:rPr>
                <w:lang w:val="en-GB"/>
              </w:rPr>
            </w:pPr>
            <w:r w:rsidRPr="004E29E3">
              <w:rPr>
                <w:lang w:val="en-GB"/>
              </w:rPr>
              <w:t xml:space="preserve"> 20.01</w:t>
            </w:r>
          </w:p>
        </w:tc>
        <w:tc>
          <w:tcPr>
            <w:tcW w:w="143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FC078F" w:rsidRPr="004E29E3" w:rsidRDefault="00FC078F" w:rsidP="00FC078F">
            <w:pPr>
              <w:pStyle w:val="TableDataEntries"/>
              <w:rPr>
                <w:lang w:val="en-GB"/>
              </w:rPr>
            </w:pPr>
            <w:r w:rsidRPr="004E29E3">
              <w:rPr>
                <w:lang w:val="en-GB"/>
              </w:rPr>
              <w:t xml:space="preserve"> 4.92</w:t>
            </w:r>
          </w:p>
        </w:tc>
        <w:tc>
          <w:tcPr>
            <w:tcW w:w="143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FC078F" w:rsidRPr="004E29E3" w:rsidRDefault="00FC078F" w:rsidP="00FC078F">
            <w:pPr>
              <w:pStyle w:val="TableDataEntries"/>
              <w:rPr>
                <w:lang w:val="en-GB"/>
              </w:rPr>
            </w:pPr>
            <w:r w:rsidRPr="004E29E3">
              <w:rPr>
                <w:lang w:val="en-GB"/>
              </w:rPr>
              <w:t xml:space="preserve"> 0.57</w:t>
            </w:r>
          </w:p>
        </w:tc>
        <w:tc>
          <w:tcPr>
            <w:tcW w:w="143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FC078F" w:rsidRPr="004E29E3" w:rsidRDefault="00FC078F" w:rsidP="00FC078F">
            <w:pPr>
              <w:pStyle w:val="TableDataEntries"/>
              <w:rPr>
                <w:lang w:val="en-GB"/>
              </w:rPr>
            </w:pPr>
            <w:r w:rsidRPr="004E29E3">
              <w:rPr>
                <w:lang w:val="en-GB"/>
              </w:rPr>
              <w:t xml:space="preserve"> 0.53</w:t>
            </w:r>
          </w:p>
        </w:tc>
      </w:tr>
      <w:tr w:rsidR="00FC078F" w:rsidRPr="004E29E3" w:rsidTr="00FC078F">
        <w:trPr>
          <w:trHeight w:val="230"/>
        </w:trPr>
        <w:tc>
          <w:tcPr>
            <w:tcW w:w="2192" w:type="dxa"/>
            <w:tcBorders>
              <w:top w:val="single" w:sz="8" w:space="0" w:color="FFFFFF" w:themeColor="background1"/>
              <w:bottom w:val="single" w:sz="6" w:space="0" w:color="6F6652"/>
            </w:tcBorders>
            <w:shd w:val="clear" w:color="auto" w:fill="E9E8E5" w:themeFill="background2"/>
            <w:tcMar>
              <w:left w:w="57" w:type="dxa"/>
              <w:right w:w="57" w:type="dxa"/>
            </w:tcMar>
          </w:tcPr>
          <w:p w:rsidR="00FC078F" w:rsidRPr="004E29E3" w:rsidRDefault="00FC078F" w:rsidP="00FC078F">
            <w:pPr>
              <w:pStyle w:val="TableDataEntries"/>
              <w:jc w:val="left"/>
              <w:rPr>
                <w:lang w:val="en-GB"/>
              </w:rPr>
            </w:pPr>
            <w:r w:rsidRPr="004E29E3">
              <w:rPr>
                <w:lang w:val="en-GB"/>
              </w:rPr>
              <w:t>High scenario</w:t>
            </w:r>
          </w:p>
        </w:tc>
        <w:tc>
          <w:tcPr>
            <w:tcW w:w="1436" w:type="dxa"/>
            <w:tcBorders>
              <w:top w:val="single" w:sz="8" w:space="0" w:color="FFFFFF" w:themeColor="background1"/>
              <w:bottom w:val="single" w:sz="6" w:space="0" w:color="6F6652"/>
            </w:tcBorders>
            <w:shd w:val="clear" w:color="auto" w:fill="E9E8E5" w:themeFill="background2"/>
            <w:tcMar>
              <w:left w:w="57" w:type="dxa"/>
              <w:right w:w="57" w:type="dxa"/>
            </w:tcMar>
          </w:tcPr>
          <w:p w:rsidR="00FC078F" w:rsidRPr="004E29E3" w:rsidRDefault="00FC078F" w:rsidP="00FC078F">
            <w:pPr>
              <w:pStyle w:val="TableDataEntries"/>
              <w:rPr>
                <w:lang w:val="en-GB"/>
              </w:rPr>
            </w:pPr>
            <w:r w:rsidRPr="004E29E3">
              <w:rPr>
                <w:lang w:val="en-GB"/>
              </w:rPr>
              <w:t xml:space="preserve"> 26.67</w:t>
            </w:r>
          </w:p>
        </w:tc>
        <w:tc>
          <w:tcPr>
            <w:tcW w:w="1436" w:type="dxa"/>
            <w:tcBorders>
              <w:top w:val="single" w:sz="8" w:space="0" w:color="FFFFFF" w:themeColor="background1"/>
              <w:bottom w:val="single" w:sz="6" w:space="0" w:color="6F6652"/>
            </w:tcBorders>
            <w:shd w:val="clear" w:color="auto" w:fill="E9E8E5" w:themeFill="background2"/>
            <w:tcMar>
              <w:left w:w="57" w:type="dxa"/>
              <w:right w:w="57" w:type="dxa"/>
            </w:tcMar>
          </w:tcPr>
          <w:p w:rsidR="00FC078F" w:rsidRPr="004E29E3" w:rsidRDefault="00FC078F" w:rsidP="00FC078F">
            <w:pPr>
              <w:pStyle w:val="TableDataEntries"/>
              <w:rPr>
                <w:lang w:val="en-GB"/>
              </w:rPr>
            </w:pPr>
            <w:r w:rsidRPr="004E29E3">
              <w:rPr>
                <w:lang w:val="en-GB"/>
              </w:rPr>
              <w:t xml:space="preserve"> 6.56</w:t>
            </w:r>
          </w:p>
        </w:tc>
        <w:tc>
          <w:tcPr>
            <w:tcW w:w="1436" w:type="dxa"/>
            <w:tcBorders>
              <w:top w:val="single" w:sz="8" w:space="0" w:color="FFFFFF" w:themeColor="background1"/>
              <w:bottom w:val="single" w:sz="6" w:space="0" w:color="6F6652"/>
            </w:tcBorders>
            <w:shd w:val="clear" w:color="auto" w:fill="E9E8E5" w:themeFill="background2"/>
            <w:tcMar>
              <w:left w:w="57" w:type="dxa"/>
              <w:right w:w="57" w:type="dxa"/>
            </w:tcMar>
          </w:tcPr>
          <w:p w:rsidR="00FC078F" w:rsidRPr="004E29E3" w:rsidRDefault="00FC078F" w:rsidP="00FC078F">
            <w:pPr>
              <w:pStyle w:val="TableDataEntries"/>
              <w:rPr>
                <w:lang w:val="en-GB"/>
              </w:rPr>
            </w:pPr>
            <w:r w:rsidRPr="004E29E3">
              <w:rPr>
                <w:lang w:val="en-GB"/>
              </w:rPr>
              <w:t xml:space="preserve"> 0.76</w:t>
            </w:r>
          </w:p>
        </w:tc>
        <w:tc>
          <w:tcPr>
            <w:tcW w:w="1436" w:type="dxa"/>
            <w:tcBorders>
              <w:top w:val="single" w:sz="8" w:space="0" w:color="FFFFFF" w:themeColor="background1"/>
              <w:bottom w:val="single" w:sz="6" w:space="0" w:color="6F6652"/>
            </w:tcBorders>
            <w:shd w:val="clear" w:color="auto" w:fill="E9E8E5" w:themeFill="background2"/>
            <w:tcMar>
              <w:left w:w="57" w:type="dxa"/>
              <w:right w:w="57" w:type="dxa"/>
            </w:tcMar>
          </w:tcPr>
          <w:p w:rsidR="00FC078F" w:rsidRPr="004E29E3" w:rsidRDefault="00FC078F" w:rsidP="00FC078F">
            <w:pPr>
              <w:pStyle w:val="TableDataEntries"/>
              <w:rPr>
                <w:lang w:val="en-GB"/>
              </w:rPr>
            </w:pPr>
            <w:r w:rsidRPr="004E29E3">
              <w:rPr>
                <w:lang w:val="en-GB"/>
              </w:rPr>
              <w:t xml:space="preserve"> 0.70</w:t>
            </w:r>
          </w:p>
        </w:tc>
      </w:tr>
    </w:tbl>
    <w:p w:rsidR="00FC078F" w:rsidRPr="004E29E3" w:rsidRDefault="00FC078F" w:rsidP="00513E5F">
      <w:pPr>
        <w:pStyle w:val="Note"/>
      </w:pPr>
      <w:r w:rsidRPr="004E29E3">
        <w:rPr>
          <w:rStyle w:val="NoteLabel"/>
        </w:rPr>
        <w:t>a</w:t>
      </w:r>
      <w:r w:rsidRPr="004E29E3">
        <w:t xml:space="preserve"> </w:t>
      </w:r>
      <w:r w:rsidR="0047722D" w:rsidRPr="004E29E3">
        <w:t>Based on cumulative emissions reductions of 868 Mt CO</w:t>
      </w:r>
      <w:r w:rsidR="0047722D" w:rsidRPr="004E29E3">
        <w:rPr>
          <w:vertAlign w:val="subscript"/>
        </w:rPr>
        <w:t>2</w:t>
      </w:r>
      <w:r w:rsidR="0047722D" w:rsidRPr="004E29E3">
        <w:rPr>
          <w:vertAlign w:val="subscript"/>
        </w:rPr>
        <w:noBreakHyphen/>
        <w:t>e</w:t>
      </w:r>
      <w:r w:rsidR="0047722D" w:rsidRPr="004E29E3">
        <w:t xml:space="preserve"> between 2021 and 2030 (Department of the Environment and Energy, 2017, p. 3). </w:t>
      </w:r>
      <w:r w:rsidR="0047722D" w:rsidRPr="004E29E3">
        <w:rPr>
          <w:rStyle w:val="NoteLabel"/>
        </w:rPr>
        <w:t>b</w:t>
      </w:r>
      <w:r w:rsidR="0047722D" w:rsidRPr="004E29E3">
        <w:t xml:space="preserve"> Based on cumulative emissions reductions of 934 Mt CO</w:t>
      </w:r>
      <w:r w:rsidR="0047722D" w:rsidRPr="004E29E3">
        <w:rPr>
          <w:vertAlign w:val="subscript"/>
        </w:rPr>
        <w:t>2</w:t>
      </w:r>
      <w:r w:rsidR="0047722D" w:rsidRPr="004E29E3">
        <w:rPr>
          <w:vertAlign w:val="subscript"/>
        </w:rPr>
        <w:noBreakHyphen/>
        <w:t>e</w:t>
      </w:r>
      <w:r w:rsidR="0047722D" w:rsidRPr="004E29E3">
        <w:t xml:space="preserve"> between 2021 and 2030 (Department of the Environment and Energy, 2017, p. 3).</w:t>
      </w:r>
    </w:p>
    <w:p w:rsidR="00FC078F" w:rsidRPr="004E29E3" w:rsidRDefault="00FC078F" w:rsidP="00FC078F">
      <w:pPr>
        <w:pStyle w:val="Source"/>
      </w:pPr>
      <w:r w:rsidRPr="004E29E3">
        <w:rPr>
          <w:i/>
        </w:rPr>
        <w:t>Source:</w:t>
      </w:r>
      <w:r w:rsidRPr="004E29E3">
        <w:t xml:space="preserve"> </w:t>
      </w:r>
      <w:r w:rsidR="00991E08" w:rsidRPr="004E29E3">
        <w:t xml:space="preserve">Department of the Environment and Energy, Australia’s emissions projections 2017, December 2017, p.3; </w:t>
      </w:r>
      <w:r w:rsidR="003F28DD" w:rsidRPr="004E29E3">
        <w:t>EA</w:t>
      </w:r>
      <w:r w:rsidR="00991E08" w:rsidRPr="004E29E3">
        <w:t xml:space="preserve"> modelling, CIE estimates.</w:t>
      </w:r>
    </w:p>
    <w:p w:rsidR="005E2796" w:rsidRDefault="005E2796" w:rsidP="005E2796">
      <w:pPr>
        <w:pStyle w:val="BodyText"/>
        <w:rPr>
          <w:lang w:eastAsia="en-US"/>
        </w:rPr>
      </w:pPr>
      <w:r w:rsidRPr="005674F7">
        <w:rPr>
          <w:lang w:eastAsia="en-US"/>
        </w:rPr>
        <w:t>Nevertheless, the impact of the proposed changes to the NCC vary across different buildings. Even thoug</w:t>
      </w:r>
      <w:r>
        <w:rPr>
          <w:lang w:eastAsia="en-US"/>
        </w:rPr>
        <w:t>h the CBA results suggest a significant net benefit in aggregate, a proportion of construction activity could potentially incur a net cost</w:t>
      </w:r>
      <w:r w:rsidR="00F2789C">
        <w:rPr>
          <w:lang w:eastAsia="en-US"/>
        </w:rPr>
        <w:t>, albeit marginal</w:t>
      </w:r>
      <w:r>
        <w:rPr>
          <w:lang w:eastAsia="en-US"/>
        </w:rPr>
        <w:t>.</w:t>
      </w:r>
    </w:p>
    <w:p w:rsidR="005E2796" w:rsidRDefault="003F28DD" w:rsidP="005E2796">
      <w:pPr>
        <w:pStyle w:val="ListBullet"/>
        <w:rPr>
          <w:lang w:eastAsia="en-US"/>
        </w:rPr>
      </w:pPr>
      <w:r>
        <w:rPr>
          <w:lang w:eastAsia="en-US"/>
        </w:rPr>
        <w:t>EA</w:t>
      </w:r>
      <w:r w:rsidR="00C61460">
        <w:rPr>
          <w:lang w:eastAsia="en-US"/>
        </w:rPr>
        <w:t>’s</w:t>
      </w:r>
      <w:r w:rsidR="005E2796">
        <w:rPr>
          <w:lang w:eastAsia="en-US"/>
        </w:rPr>
        <w:t xml:space="preserve"> modelling</w:t>
      </w:r>
      <w:r w:rsidR="004942E0">
        <w:rPr>
          <w:lang w:eastAsia="en-US"/>
        </w:rPr>
        <w:t xml:space="preserve"> report</w:t>
      </w:r>
      <w:r w:rsidR="005E2796">
        <w:rPr>
          <w:lang w:eastAsia="en-US"/>
        </w:rPr>
        <w:t xml:space="preserve"> suggests that:</w:t>
      </w:r>
    </w:p>
    <w:p w:rsidR="005E2796" w:rsidRDefault="005E2796" w:rsidP="005E2796">
      <w:pPr>
        <w:pStyle w:val="ListBullet2"/>
        <w:rPr>
          <w:lang w:eastAsia="en-US"/>
        </w:rPr>
      </w:pPr>
      <w:r>
        <w:rPr>
          <w:lang w:eastAsia="en-US"/>
        </w:rPr>
        <w:t xml:space="preserve">healthcare buildings could incur a net cost in </w:t>
      </w:r>
      <w:r w:rsidR="00E31EE8">
        <w:rPr>
          <w:lang w:eastAsia="en-US"/>
        </w:rPr>
        <w:t>Climate Zone</w:t>
      </w:r>
      <w:r>
        <w:rPr>
          <w:lang w:eastAsia="en-US"/>
        </w:rPr>
        <w:t xml:space="preserve">s 6 and 7 and possibly </w:t>
      </w:r>
      <w:r w:rsidR="00E31EE8">
        <w:rPr>
          <w:lang w:eastAsia="en-US"/>
        </w:rPr>
        <w:t>Climate Zone</w:t>
      </w:r>
      <w:r>
        <w:rPr>
          <w:lang w:eastAsia="en-US"/>
        </w:rPr>
        <w:t>s 4 and 5 (depending on the extent to which modelled energy savings are realised in practice).</w:t>
      </w:r>
    </w:p>
    <w:p w:rsidR="005E2796" w:rsidRDefault="005E2796" w:rsidP="005E2796">
      <w:pPr>
        <w:pStyle w:val="ListBullet2"/>
        <w:rPr>
          <w:lang w:eastAsia="en-US"/>
        </w:rPr>
      </w:pPr>
      <w:r>
        <w:rPr>
          <w:lang w:eastAsia="en-US"/>
        </w:rPr>
        <w:t xml:space="preserve">retail buildings could incur net costs in </w:t>
      </w:r>
      <w:r w:rsidR="00E31EE8">
        <w:rPr>
          <w:lang w:eastAsia="en-US"/>
        </w:rPr>
        <w:t>Climate Zone</w:t>
      </w:r>
      <w:r>
        <w:rPr>
          <w:lang w:eastAsia="en-US"/>
        </w:rPr>
        <w:t xml:space="preserve"> 7.</w:t>
      </w:r>
    </w:p>
    <w:p w:rsidR="00E074B8" w:rsidRDefault="00E074B8" w:rsidP="004E29E3">
      <w:pPr>
        <w:pStyle w:val="ListBullet2"/>
      </w:pPr>
      <w:r>
        <w:t xml:space="preserve">Where overall energy increases but greenhouse gas emissions decrease (i.e. class 9aC in </w:t>
      </w:r>
      <w:r w:rsidR="00E31EE8">
        <w:t>Climate Zone</w:t>
      </w:r>
      <w:r>
        <w:t>s 6 and 7), the phenomenon is due to a fuel source change</w:t>
      </w:r>
      <w:r w:rsidR="00683E22">
        <w:t xml:space="preserve"> to gas from electricity</w:t>
      </w:r>
      <w:r>
        <w:t>.</w:t>
      </w:r>
      <w:r w:rsidR="00683E22">
        <w:t xml:space="preserve"> That is, these buildings use more gas for heating due to a </w:t>
      </w:r>
      <w:r w:rsidR="00BB30D0">
        <w:t>comparatively</w:t>
      </w:r>
      <w:r w:rsidR="00683E22">
        <w:t xml:space="preserve"> overly stringent façade in 2016 in comparison to 2019, but less energy for cooling as the new façade methodology has a more stringent solar heat gain requirement in 2019. </w:t>
      </w:r>
      <w:r>
        <w:t xml:space="preserve"> </w:t>
      </w:r>
    </w:p>
    <w:p w:rsidR="00E074B8" w:rsidRDefault="00E074B8" w:rsidP="004E29E3">
      <w:pPr>
        <w:pStyle w:val="ListBullet2"/>
      </w:pPr>
      <w:r>
        <w:t xml:space="preserve">The sole instance where annual greenhouse gas emissions increase (i.e. class 6B in </w:t>
      </w:r>
      <w:r w:rsidR="00E31EE8">
        <w:t>Climate Zone</w:t>
      </w:r>
      <w:r>
        <w:t xml:space="preserve"> 7</w:t>
      </w:r>
      <w:r w:rsidR="00683E22">
        <w:t xml:space="preserve"> where energy use decrease</w:t>
      </w:r>
      <w:r w:rsidR="0040126F">
        <w:t>s</w:t>
      </w:r>
      <w:r>
        <w:t xml:space="preserve">) the magnitude is negligible and relates to small buildings </w:t>
      </w:r>
      <w:r w:rsidR="00683E22">
        <w:t>with high surface area to volume ratios</w:t>
      </w:r>
      <w:r>
        <w:t xml:space="preserve"> in cooler climates and attributable to a</w:t>
      </w:r>
      <w:r w:rsidR="00CA4D55">
        <w:t>n</w:t>
      </w:r>
      <w:r w:rsidR="00683E22">
        <w:t xml:space="preserve"> overly</w:t>
      </w:r>
      <w:r w:rsidR="006655D3">
        <w:t xml:space="preserve"> </w:t>
      </w:r>
      <w:r>
        <w:t>stringent façade U-Value modelled in the NCC201</w:t>
      </w:r>
      <w:r w:rsidR="00683E22">
        <w:t>6</w:t>
      </w:r>
      <w:r>
        <w:t xml:space="preserve"> simulations, compared to NCC201</w:t>
      </w:r>
      <w:r w:rsidR="00683E22">
        <w:t>9</w:t>
      </w:r>
      <w:r>
        <w:t>.</w:t>
      </w:r>
      <w:r w:rsidR="00683E22">
        <w:t xml:space="preserve"> This result is not seen in models of larger buildings</w:t>
      </w:r>
      <w:r>
        <w:t>.</w:t>
      </w:r>
    </w:p>
    <w:p w:rsidR="005E2796" w:rsidRDefault="005E2796" w:rsidP="005E2796">
      <w:pPr>
        <w:pStyle w:val="ListBullet"/>
        <w:rPr>
          <w:lang w:eastAsia="en-US"/>
        </w:rPr>
      </w:pPr>
      <w:r>
        <w:rPr>
          <w:lang w:eastAsia="en-US"/>
        </w:rPr>
        <w:t xml:space="preserve">Although </w:t>
      </w:r>
      <w:r w:rsidR="003F28DD">
        <w:rPr>
          <w:lang w:eastAsia="en-US"/>
        </w:rPr>
        <w:t>EA</w:t>
      </w:r>
      <w:r>
        <w:rPr>
          <w:lang w:eastAsia="en-US"/>
        </w:rPr>
        <w:t xml:space="preserve"> modelling suggest the proposed changes to the NCC will deliver a net benefit to other buildings (even under the low realisation scenario), some building</w:t>
      </w:r>
      <w:r w:rsidR="00C61460">
        <w:rPr>
          <w:lang w:eastAsia="en-US"/>
        </w:rPr>
        <w:t>s</w:t>
      </w:r>
      <w:r>
        <w:rPr>
          <w:lang w:eastAsia="en-US"/>
        </w:rPr>
        <w:t xml:space="preserve"> will incur a net cost where the realisation rate falls below the average. We estimate that overall between 5 and 24 per cent of buildings could incur a net cost as a result of the proposed changes.</w:t>
      </w:r>
    </w:p>
    <w:p w:rsidR="00EC5020" w:rsidRDefault="00242508" w:rsidP="0073507D">
      <w:pPr>
        <w:pStyle w:val="ListBullet"/>
        <w:numPr>
          <w:ilvl w:val="0"/>
          <w:numId w:val="0"/>
        </w:numPr>
        <w:rPr>
          <w:lang w:eastAsia="en-US"/>
        </w:rPr>
      </w:pPr>
      <w:r>
        <w:lastRenderedPageBreak/>
        <w:t xml:space="preserve">It should be noted that the NCC can only accommodate one set of technical provisions. </w:t>
      </w:r>
      <w:r w:rsidRPr="00D65C34">
        <w:t>Due to methodology change</w:t>
      </w:r>
      <w:r w:rsidR="00A121A7">
        <w:t>s</w:t>
      </w:r>
      <w:r w:rsidRPr="00D65C34">
        <w:t xml:space="preserve">, there is no flexibility to retain the existing </w:t>
      </w:r>
      <w:r>
        <w:t xml:space="preserve">methodology </w:t>
      </w:r>
      <w:r w:rsidRPr="00D65C34">
        <w:t>which would require a duplic</w:t>
      </w:r>
      <w:r>
        <w:t xml:space="preserve">ation of provisions and methods, </w:t>
      </w:r>
      <w:r w:rsidRPr="00D65C34">
        <w:t xml:space="preserve">be complex and unworkable particularly for </w:t>
      </w:r>
      <w:r>
        <w:t>DTS</w:t>
      </w:r>
      <w:r w:rsidR="00F2789C">
        <w:t xml:space="preserve"> solutions</w:t>
      </w:r>
      <w:r>
        <w:t xml:space="preserve"> or </w:t>
      </w:r>
      <w:r w:rsidRPr="00D65C34">
        <w:t>mixed</w:t>
      </w:r>
      <w:r w:rsidR="00E97C4E">
        <w:t>-</w:t>
      </w:r>
      <w:r w:rsidRPr="00D65C34">
        <w:t xml:space="preserve"> use buildings. </w:t>
      </w:r>
      <w:r>
        <w:t>For performance pathways, s</w:t>
      </w:r>
      <w:r w:rsidRPr="00D65C34">
        <w:t xml:space="preserve">tringency updates </w:t>
      </w:r>
      <w:r>
        <w:t xml:space="preserve">that </w:t>
      </w:r>
      <w:r w:rsidRPr="00D65C34">
        <w:t xml:space="preserve">underlie </w:t>
      </w:r>
      <w:r w:rsidR="00E97C4E">
        <w:t xml:space="preserve">the </w:t>
      </w:r>
      <w:r w:rsidRPr="00D65C34">
        <w:t>reference building schedules and performance quantification would be incompatible with existing methods, undermine objectives and lead to confusion in the market</w:t>
      </w:r>
      <w:r w:rsidR="00A121A7">
        <w:t>.</w:t>
      </w:r>
    </w:p>
    <w:p w:rsidR="005E2796" w:rsidRDefault="00FB2DF3" w:rsidP="005E2796">
      <w:pPr>
        <w:pStyle w:val="BodyText"/>
        <w:rPr>
          <w:lang w:eastAsia="en-US"/>
        </w:rPr>
      </w:pPr>
      <w:r>
        <w:rPr>
          <w:lang w:eastAsia="en-US"/>
        </w:rPr>
        <w:t>I</w:t>
      </w:r>
      <w:r w:rsidR="005E2796">
        <w:rPr>
          <w:lang w:eastAsia="en-US"/>
        </w:rPr>
        <w:t xml:space="preserve">ncreasing the stringency of minimum standards </w:t>
      </w:r>
      <w:r>
        <w:rPr>
          <w:lang w:eastAsia="en-US"/>
        </w:rPr>
        <w:t xml:space="preserve">has the potential to </w:t>
      </w:r>
      <w:r w:rsidR="005E2796">
        <w:rPr>
          <w:lang w:eastAsia="en-US"/>
        </w:rPr>
        <w:t xml:space="preserve">restrict competition </w:t>
      </w:r>
      <w:r>
        <w:rPr>
          <w:lang w:eastAsia="en-US"/>
        </w:rPr>
        <w:t xml:space="preserve">or </w:t>
      </w:r>
      <w:r w:rsidR="005E2796">
        <w:rPr>
          <w:lang w:eastAsia="en-US"/>
        </w:rPr>
        <w:t>choice</w:t>
      </w:r>
      <w:r>
        <w:rPr>
          <w:lang w:eastAsia="en-US"/>
        </w:rPr>
        <w:t xml:space="preserve"> in materials or design</w:t>
      </w:r>
      <w:r w:rsidR="005E2796">
        <w:rPr>
          <w:lang w:eastAsia="en-US"/>
        </w:rPr>
        <w:t xml:space="preserve">. The proposed changes </w:t>
      </w:r>
      <w:r>
        <w:rPr>
          <w:lang w:eastAsia="en-US"/>
        </w:rPr>
        <w:t>to the D</w:t>
      </w:r>
      <w:r w:rsidR="00A121A7">
        <w:rPr>
          <w:lang w:eastAsia="en-US"/>
        </w:rPr>
        <w:t>T</w:t>
      </w:r>
      <w:r>
        <w:rPr>
          <w:lang w:eastAsia="en-US"/>
        </w:rPr>
        <w:t xml:space="preserve">S provisions </w:t>
      </w:r>
      <w:r w:rsidR="005E2796">
        <w:rPr>
          <w:lang w:eastAsia="en-US"/>
        </w:rPr>
        <w:t>potentially negatively affect some suppliers</w:t>
      </w:r>
      <w:r>
        <w:rPr>
          <w:lang w:eastAsia="en-US"/>
        </w:rPr>
        <w:t xml:space="preserve"> or products by changing the thresholds at which products comply</w:t>
      </w:r>
      <w:r w:rsidR="005E2796">
        <w:rPr>
          <w:lang w:eastAsia="en-US"/>
        </w:rPr>
        <w:t xml:space="preserve">. </w:t>
      </w:r>
      <w:r>
        <w:rPr>
          <w:lang w:eastAsia="en-US"/>
        </w:rPr>
        <w:t xml:space="preserve">However, the NCC is </w:t>
      </w:r>
      <w:r w:rsidR="00F2789C">
        <w:rPr>
          <w:lang w:eastAsia="en-US"/>
        </w:rPr>
        <w:t>p</w:t>
      </w:r>
      <w:r>
        <w:rPr>
          <w:lang w:eastAsia="en-US"/>
        </w:rPr>
        <w:t>erformance</w:t>
      </w:r>
      <w:r w:rsidR="00F2789C">
        <w:rPr>
          <w:lang w:eastAsia="en-US"/>
        </w:rPr>
        <w:t>-</w:t>
      </w:r>
      <w:r>
        <w:rPr>
          <w:lang w:eastAsia="en-US"/>
        </w:rPr>
        <w:t xml:space="preserve">based </w:t>
      </w:r>
      <w:r w:rsidR="00370F15">
        <w:rPr>
          <w:lang w:eastAsia="en-US"/>
        </w:rPr>
        <w:t>with</w:t>
      </w:r>
      <w:r>
        <w:rPr>
          <w:lang w:eastAsia="en-US"/>
        </w:rPr>
        <w:t xml:space="preserve"> Verification Methods</w:t>
      </w:r>
      <w:r w:rsidR="00F2789C">
        <w:rPr>
          <w:lang w:eastAsia="en-US"/>
        </w:rPr>
        <w:t xml:space="preserve"> and other </w:t>
      </w:r>
      <w:r w:rsidR="00370F15">
        <w:rPr>
          <w:lang w:eastAsia="en-US"/>
        </w:rPr>
        <w:t>pathways</w:t>
      </w:r>
      <w:r w:rsidR="00F2789C">
        <w:rPr>
          <w:lang w:eastAsia="en-US"/>
        </w:rPr>
        <w:t xml:space="preserve"> </w:t>
      </w:r>
      <w:r w:rsidR="00370F15">
        <w:rPr>
          <w:lang w:eastAsia="en-US"/>
        </w:rPr>
        <w:t>that allow for trading</w:t>
      </w:r>
      <w:r w:rsidR="00D276AA">
        <w:rPr>
          <w:lang w:eastAsia="en-US"/>
        </w:rPr>
        <w:t xml:space="preserve"> between the</w:t>
      </w:r>
      <w:r w:rsidR="005674F7">
        <w:rPr>
          <w:lang w:eastAsia="en-US"/>
        </w:rPr>
        <w:t xml:space="preserve"> </w:t>
      </w:r>
      <w:r w:rsidR="00714B01">
        <w:rPr>
          <w:lang w:eastAsia="en-US"/>
        </w:rPr>
        <w:t xml:space="preserve">performance </w:t>
      </w:r>
      <w:r w:rsidR="00D276AA">
        <w:rPr>
          <w:lang w:eastAsia="en-US"/>
        </w:rPr>
        <w:t>of elements in order to achieve compliance</w:t>
      </w:r>
      <w:r w:rsidR="005674F7">
        <w:rPr>
          <w:lang w:eastAsia="en-US"/>
        </w:rPr>
        <w:t xml:space="preserve"> against the </w:t>
      </w:r>
      <w:r w:rsidR="00D276AA">
        <w:rPr>
          <w:lang w:eastAsia="en-US"/>
        </w:rPr>
        <w:t>overarching</w:t>
      </w:r>
      <w:r>
        <w:rPr>
          <w:lang w:eastAsia="en-US"/>
        </w:rPr>
        <w:t xml:space="preserve"> Performance Requirement</w:t>
      </w:r>
      <w:r w:rsidR="00F2789C">
        <w:rPr>
          <w:lang w:eastAsia="en-US"/>
        </w:rPr>
        <w:t>,</w:t>
      </w:r>
      <w:r>
        <w:rPr>
          <w:lang w:eastAsia="en-US"/>
        </w:rPr>
        <w:t xml:space="preserve"> </w:t>
      </w:r>
      <w:r w:rsidR="00714B01">
        <w:rPr>
          <w:lang w:eastAsia="en-US"/>
        </w:rPr>
        <w:t xml:space="preserve">thereby </w:t>
      </w:r>
      <w:r>
        <w:rPr>
          <w:lang w:eastAsia="en-US"/>
        </w:rPr>
        <w:t>enabl</w:t>
      </w:r>
      <w:r w:rsidR="00714B01">
        <w:rPr>
          <w:lang w:eastAsia="en-US"/>
        </w:rPr>
        <w:t>ing</w:t>
      </w:r>
      <w:r>
        <w:rPr>
          <w:lang w:eastAsia="en-US"/>
        </w:rPr>
        <w:t xml:space="preserve"> </w:t>
      </w:r>
      <w:r w:rsidR="00BB30D0">
        <w:rPr>
          <w:lang w:eastAsia="en-US"/>
        </w:rPr>
        <w:t>flexibility</w:t>
      </w:r>
      <w:r>
        <w:rPr>
          <w:lang w:eastAsia="en-US"/>
        </w:rPr>
        <w:t xml:space="preserve"> in </w:t>
      </w:r>
      <w:r w:rsidR="005674F7">
        <w:rPr>
          <w:lang w:eastAsia="en-US"/>
        </w:rPr>
        <w:t xml:space="preserve">design choices to </w:t>
      </w:r>
      <w:r>
        <w:rPr>
          <w:lang w:eastAsia="en-US"/>
        </w:rPr>
        <w:t>meet the targeted values.</w:t>
      </w:r>
      <w:r w:rsidR="00A121A7">
        <w:rPr>
          <w:lang w:eastAsia="en-US"/>
        </w:rPr>
        <w:t xml:space="preserve"> </w:t>
      </w:r>
      <w:r>
        <w:rPr>
          <w:lang w:eastAsia="en-US"/>
        </w:rPr>
        <w:t>T</w:t>
      </w:r>
      <w:r w:rsidR="005E2796">
        <w:rPr>
          <w:lang w:eastAsia="en-US"/>
        </w:rPr>
        <w:t>he proposed changes comply with the ‘competition test’ set out in the COAG Guidelines.</w:t>
      </w:r>
    </w:p>
    <w:p w:rsidR="005E2796" w:rsidRPr="00FB2DF3" w:rsidRDefault="005E2796" w:rsidP="002B3C0A">
      <w:pPr>
        <w:pStyle w:val="BodyText"/>
      </w:pPr>
      <w:r>
        <w:rPr>
          <w:lang w:eastAsia="en-US"/>
        </w:rPr>
        <w:t>The non</w:t>
      </w:r>
      <w:r>
        <w:rPr>
          <w:lang w:eastAsia="en-US"/>
        </w:rPr>
        <w:noBreakHyphen/>
        <w:t xml:space="preserve">regulatory option considered is unlikely to deliver significant benefits. </w:t>
      </w:r>
      <w:r>
        <w:rPr>
          <w:lang w:bidi="fa-IR"/>
        </w:rPr>
        <w:t>Collating the work undertaken by the ABCB in developing the amendments to the NCC into a handbook is unlikely to encourage a significant increase in the voluntary adoption of energy efficiency opportunities. General information on the benefits of energy efficiency is widely available from various sources, while specific project information is available commercially. The availability of information does not therefore</w:t>
      </w:r>
      <w:r w:rsidR="00ED3114">
        <w:rPr>
          <w:lang w:bidi="fa-IR"/>
        </w:rPr>
        <w:t xml:space="preserve"> appear</w:t>
      </w:r>
      <w:r>
        <w:rPr>
          <w:lang w:bidi="fa-IR"/>
        </w:rPr>
        <w:t xml:space="preserve"> to be a barrier to the uptake of cost</w:t>
      </w:r>
      <w:r>
        <w:rPr>
          <w:lang w:bidi="fa-IR"/>
        </w:rPr>
        <w:noBreakHyphen/>
        <w:t xml:space="preserve">effective energy efficiency opportunities. Rather, the main barrier appears to be a failure to a failure to use the information available due to behaviour failures, such as bounded rationality and/or heuristic decision-making. </w:t>
      </w:r>
      <w:r w:rsidR="003506BD">
        <w:rPr>
          <w:lang w:bidi="fa-IR"/>
        </w:rPr>
        <w:t>A</w:t>
      </w:r>
      <w:r>
        <w:rPr>
          <w:lang w:bidi="fa-IR"/>
        </w:rPr>
        <w:t xml:space="preserve"> handbook </w:t>
      </w:r>
      <w:r w:rsidR="003506BD">
        <w:rPr>
          <w:lang w:bidi="fa-IR"/>
        </w:rPr>
        <w:t>would do little to overcome these barriers.</w:t>
      </w:r>
    </w:p>
    <w:p w:rsidR="00612FD3" w:rsidRDefault="00612FD3" w:rsidP="00612FD3">
      <w:pPr>
        <w:pStyle w:val="Heading2"/>
        <w:numPr>
          <w:ilvl w:val="1"/>
          <w:numId w:val="5"/>
        </w:numPr>
        <w:spacing w:before="480"/>
        <w:rPr>
          <w:lang w:bidi="fa-IR"/>
        </w:rPr>
      </w:pPr>
      <w:bookmarkStart w:id="53" w:name="_Toc509220775"/>
      <w:bookmarkStart w:id="54" w:name="_Toc529869824"/>
      <w:bookmarkStart w:id="55" w:name="_Toc530748541"/>
      <w:r>
        <w:rPr>
          <w:lang w:bidi="fa-IR"/>
        </w:rPr>
        <w:t>Conclusions</w:t>
      </w:r>
      <w:bookmarkEnd w:id="53"/>
      <w:bookmarkEnd w:id="54"/>
      <w:bookmarkEnd w:id="55"/>
    </w:p>
    <w:p w:rsidR="00BD28D0" w:rsidRDefault="00BD28D0" w:rsidP="002B3C0A">
      <w:pPr>
        <w:pStyle w:val="KeyPoint"/>
      </w:pPr>
      <w:r>
        <w:t xml:space="preserve">Based on the analysis presented in the RIS, the proposed changes to the NCC is the preferred option </w:t>
      </w:r>
      <w:r w:rsidR="00242508">
        <w:t xml:space="preserve">(Option 2) </w:t>
      </w:r>
      <w:r>
        <w:t>to improve the energy efficiency of new commercial buildings.</w:t>
      </w:r>
    </w:p>
    <w:p w:rsidR="00BD28D0" w:rsidRDefault="003F28DD" w:rsidP="002B3C0A">
      <w:pPr>
        <w:pStyle w:val="KeyPoint"/>
      </w:pPr>
      <w:r>
        <w:t>EA</w:t>
      </w:r>
      <w:r w:rsidR="00BD28D0">
        <w:t>’s modelling suggests that significant energy efficiency improvements can be made in commercial buildings at a relatively modest additional cost</w:t>
      </w:r>
      <w:r w:rsidR="00662762">
        <w:t>,</w:t>
      </w:r>
      <w:r w:rsidR="006F185B">
        <w:t xml:space="preserve"> which is largely due to methodological change in setting the stringency, particular</w:t>
      </w:r>
      <w:r w:rsidR="00640294">
        <w:t>ly</w:t>
      </w:r>
      <w:r w:rsidR="006F185B">
        <w:t xml:space="preserve"> for façade</w:t>
      </w:r>
      <w:r w:rsidR="00E97C4E">
        <w:t>s</w:t>
      </w:r>
      <w:r w:rsidR="006F185B">
        <w:t xml:space="preserve"> and glazing</w:t>
      </w:r>
      <w:r w:rsidR="00BD28D0">
        <w:t xml:space="preserve">. If these modelling results are broadly representative of the impacts of the proposed changes to the NCC across all buildings, the CBA results suggest that these changes could deliver significant net benefits across all </w:t>
      </w:r>
      <w:r w:rsidR="00ED3114">
        <w:t>jurisdictions</w:t>
      </w:r>
      <w:r w:rsidR="00BD28D0">
        <w:t>, even if the modelled energy savings are not fully realised in practice (as appears likely based on the evidence available).</w:t>
      </w:r>
    </w:p>
    <w:p w:rsidR="00612FD3" w:rsidRDefault="00612FD3" w:rsidP="00612FD3">
      <w:pPr>
        <w:pStyle w:val="Heading1"/>
        <w:numPr>
          <w:ilvl w:val="0"/>
          <w:numId w:val="37"/>
        </w:numPr>
      </w:pPr>
      <w:bookmarkStart w:id="56" w:name="_Toc492549746"/>
      <w:bookmarkStart w:id="57" w:name="_Toc499846998"/>
      <w:bookmarkStart w:id="58" w:name="_Toc505120593"/>
      <w:bookmarkStart w:id="59" w:name="_Toc507523750"/>
      <w:bookmarkStart w:id="60" w:name="_Toc509220776"/>
      <w:bookmarkStart w:id="61" w:name="_Toc529869825"/>
      <w:bookmarkStart w:id="62" w:name="_Toc530748542"/>
      <w:r>
        <w:lastRenderedPageBreak/>
        <w:t>Background and introduction</w:t>
      </w:r>
      <w:bookmarkEnd w:id="56"/>
      <w:bookmarkEnd w:id="57"/>
      <w:bookmarkEnd w:id="58"/>
      <w:bookmarkEnd w:id="59"/>
      <w:bookmarkEnd w:id="60"/>
      <w:bookmarkEnd w:id="61"/>
      <w:bookmarkEnd w:id="62"/>
    </w:p>
    <w:p w:rsidR="00612FD3" w:rsidRDefault="00612FD3" w:rsidP="00612FD3">
      <w:pPr>
        <w:pStyle w:val="BodyText"/>
      </w:pPr>
      <w:r>
        <w:t>Australia has committed to implementing an economy wide target to reduce greenhouse gas emissions by 26 to 28 per cent below the 2005 level by 2030</w:t>
      </w:r>
      <w:r w:rsidR="00BF472D">
        <w:t xml:space="preserve"> and a carbon neutral economy by 2050</w:t>
      </w:r>
      <w:r>
        <w:t>. An effective and efficient energy policy is considered an important way to achieve this target</w:t>
      </w:r>
      <w:r w:rsidR="00BF472D">
        <w:t xml:space="preserve"> and buildings an </w:t>
      </w:r>
      <w:r w:rsidR="00E6622A">
        <w:t>important</w:t>
      </w:r>
      <w:r w:rsidR="00BF472D">
        <w:t xml:space="preserve"> contributor given their long service life</w:t>
      </w:r>
      <w:r w:rsidR="00487211">
        <w:t>.</w:t>
      </w:r>
    </w:p>
    <w:p w:rsidR="00612FD3" w:rsidRDefault="00612FD3" w:rsidP="00612FD3">
      <w:pPr>
        <w:pStyle w:val="BodyText"/>
      </w:pPr>
      <w:r>
        <w:t>It is estimated that there are around 360 million square metres of floor space of commercial buildings in Australia which consumes about 231 PJ of energy in 2016, accounting for three quarters of total energy consumption in the commercial industry or nearly 4 per cent of total net energy consumption in Australia.</w:t>
      </w:r>
      <w:r>
        <w:rPr>
          <w:rStyle w:val="FootnoteReference"/>
        </w:rPr>
        <w:footnoteReference w:id="9"/>
      </w:r>
      <w:r>
        <w:t xml:space="preserve"> Commercial buildings are therefore an important part of the nation’s energy efficiency policy.</w:t>
      </w:r>
    </w:p>
    <w:p w:rsidR="00612FD3" w:rsidRDefault="00612FD3" w:rsidP="00612FD3">
      <w:pPr>
        <w:pStyle w:val="Heading2"/>
        <w:numPr>
          <w:ilvl w:val="1"/>
          <w:numId w:val="5"/>
        </w:numPr>
      </w:pPr>
      <w:bookmarkStart w:id="63" w:name="_Toc509220777"/>
      <w:bookmarkStart w:id="64" w:name="_Toc529869826"/>
      <w:bookmarkStart w:id="65" w:name="_Toc530748543"/>
      <w:r>
        <w:t>Scope</w:t>
      </w:r>
      <w:bookmarkEnd w:id="63"/>
      <w:bookmarkEnd w:id="64"/>
      <w:bookmarkEnd w:id="65"/>
    </w:p>
    <w:p w:rsidR="00612FD3" w:rsidRDefault="00612FD3" w:rsidP="00612FD3">
      <w:pPr>
        <w:pStyle w:val="BodyText"/>
      </w:pPr>
      <w:r>
        <w:t xml:space="preserve">For the purpose of this work, commercial buildings are defined as Class 2 common areas, Class 3 buildings and Class 5 to 9 buildings (table </w:t>
      </w:r>
      <w:r>
        <w:rPr>
          <w:noProof/>
        </w:rPr>
        <w:fldChar w:fldCharType="begin"/>
      </w:r>
      <w:r>
        <w:rPr>
          <w:noProof/>
        </w:rPr>
        <w:instrText xml:space="preserve"> REF _Caption5631 </w:instrText>
      </w:r>
      <w:r>
        <w:rPr>
          <w:noProof/>
        </w:rPr>
        <w:fldChar w:fldCharType="separate"/>
      </w:r>
      <w:r w:rsidR="006B79B8">
        <w:rPr>
          <w:noProof/>
        </w:rPr>
        <w:t>1</w:t>
      </w:r>
      <w:r w:rsidR="006B79B8" w:rsidRPr="00695C93">
        <w:rPr>
          <w:noProof/>
        </w:rPr>
        <w:t>.</w:t>
      </w:r>
      <w:r w:rsidR="006B79B8">
        <w:rPr>
          <w:noProof/>
        </w:rPr>
        <w:t>1</w:t>
      </w:r>
      <w:r>
        <w:rPr>
          <w:noProof/>
        </w:rPr>
        <w:fldChar w:fldCharType="end"/>
      </w:r>
      <w:r>
        <w:t>). Common areas of Class 2 buildings have similar characteristics to other commercial building classes, and are not separately reported in this RIS.</w:t>
      </w:r>
    </w:p>
    <w:p w:rsidR="00612FD3" w:rsidRDefault="00612FD3" w:rsidP="00612FD3">
      <w:pPr>
        <w:pStyle w:val="Caption"/>
      </w:pPr>
      <w:r w:rsidRPr="00695C93">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sidR="00B833F1">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sidR="00B833F1">
        <w:rPr>
          <w:noProof/>
        </w:rPr>
        <w:instrText>1</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sidR="00B833F1">
        <w:rPr>
          <w:noProof/>
        </w:rPr>
        <w:instrText>1</w:instrText>
      </w:r>
      <w:r>
        <w:rPr>
          <w:noProof/>
        </w:rPr>
        <w:fldChar w:fldCharType="end"/>
      </w:r>
      <w:r w:rsidRPr="00695C93">
        <w:instrText xml:space="preserve">." </w:instrText>
      </w:r>
      <w:r w:rsidRPr="00695C93">
        <w:fldChar w:fldCharType="separate"/>
      </w:r>
      <w:r w:rsidR="00B833F1">
        <w:rPr>
          <w:noProof/>
        </w:rPr>
        <w:instrText>1</w:instrText>
      </w:r>
      <w:r w:rsidR="00B833F1" w:rsidRPr="00695C93">
        <w:rPr>
          <w:noProof/>
        </w:rPr>
        <w:instrText>.</w:instrText>
      </w:r>
      <w:r w:rsidRPr="00695C93">
        <w:fldChar w:fldCharType="end"/>
      </w:r>
      <w:r w:rsidRPr="00695C93">
        <w:instrText>" "</w:instrText>
      </w:r>
      <w:r w:rsidR="001F6F43">
        <w:fldChar w:fldCharType="begin"/>
      </w:r>
      <w:r w:rsidR="001F6F43">
        <w:instrText xml:space="preserve"> STYLEREF "Heading 6" \l \n </w:instrText>
      </w:r>
      <w:r w:rsidR="001F6F43">
        <w:fldChar w:fldCharType="separate"/>
      </w:r>
      <w:r w:rsidRPr="00695C93">
        <w:instrText>B</w:instrText>
      </w:r>
      <w:r w:rsidR="001F6F43">
        <w:fldChar w:fldCharType="end"/>
      </w:r>
      <w:r w:rsidRPr="00695C93">
        <w:instrText xml:space="preserve">." </w:instrText>
      </w:r>
      <w:r w:rsidRPr="00695C93">
        <w:fldChar w:fldCharType="separate"/>
      </w:r>
      <w:r w:rsidR="00EA42ED">
        <w:rPr>
          <w:noProof/>
        </w:rPr>
        <w:instrText>1</w:instrText>
      </w:r>
      <w:r w:rsidR="00EA42ED"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sidR="00B833F1">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sidR="00B833F1">
        <w:rPr>
          <w:noProof/>
        </w:rPr>
        <w:instrText>1</w:instrText>
      </w:r>
      <w:r>
        <w:rPr>
          <w:noProof/>
        </w:rPr>
        <w:fldChar w:fldCharType="end"/>
      </w:r>
      <w:r w:rsidRPr="00695C93">
        <w:instrText xml:space="preserve"> = 0 "" "1" </w:instrText>
      </w:r>
      <w:r w:rsidRPr="00695C93">
        <w:fldChar w:fldCharType="separate"/>
      </w:r>
      <w:r w:rsidR="00EA42ED" w:rsidRPr="00695C93">
        <w:rPr>
          <w:noProof/>
        </w:rPr>
        <w:instrText>1</w:instrText>
      </w:r>
      <w:r w:rsidRPr="00695C93">
        <w:fldChar w:fldCharType="end"/>
      </w:r>
      <w:r w:rsidRPr="00695C93">
        <w:instrText xml:space="preserve">" "6" </w:instrText>
      </w:r>
      <w:r w:rsidRPr="00695C93">
        <w:fldChar w:fldCharType="separate"/>
      </w:r>
      <w:r w:rsidR="00EA42ED" w:rsidRPr="00695C93">
        <w:rPr>
          <w:noProof/>
        </w:rPr>
        <w:instrText>1</w:instrText>
      </w:r>
      <w:r w:rsidRPr="00695C93">
        <w:fldChar w:fldCharType="end"/>
      </w:r>
      <w:r w:rsidRPr="00695C93">
        <w:instrText xml:space="preserve"> </w:instrText>
      </w:r>
      <w:r w:rsidRPr="00695C93">
        <w:fldChar w:fldCharType="separate"/>
      </w:r>
      <w:r w:rsidR="00B833F1">
        <w:rPr>
          <w:noProof/>
        </w:rPr>
        <w:instrText>1</w:instrText>
      </w:r>
      <w:r w:rsidRPr="00695C93">
        <w:fldChar w:fldCharType="end"/>
      </w:r>
      <w:r w:rsidRPr="00695C93">
        <w:instrText xml:space="preserve">" "" </w:instrText>
      </w:r>
      <w:r w:rsidRPr="00695C93">
        <w:fldChar w:fldCharType="separate"/>
      </w:r>
      <w:bookmarkStart w:id="66" w:name="_Caption1083"/>
      <w:bookmarkStart w:id="67" w:name="_Caption2850"/>
      <w:bookmarkStart w:id="68" w:name="_Caption3570"/>
      <w:bookmarkStart w:id="69" w:name="_Caption7552"/>
      <w:bookmarkStart w:id="70" w:name="_Caption5975"/>
      <w:bookmarkStart w:id="71" w:name="_Caption3936"/>
      <w:bookmarkStart w:id="72" w:name="_Caption9915"/>
      <w:bookmarkStart w:id="73" w:name="_Caption6475"/>
      <w:bookmarkStart w:id="74" w:name="_Caption0395"/>
      <w:bookmarkStart w:id="75" w:name="_Caption3293"/>
      <w:bookmarkStart w:id="76" w:name="_Caption2090"/>
      <w:bookmarkStart w:id="77" w:name="_Caption3612"/>
      <w:bookmarkStart w:id="78" w:name="_Caption7091"/>
      <w:bookmarkStart w:id="79" w:name="_Caption5303"/>
      <w:bookmarkStart w:id="80" w:name="_Caption5891"/>
      <w:bookmarkStart w:id="81" w:name="_Caption3062"/>
      <w:bookmarkStart w:id="82" w:name="_Caption7524"/>
      <w:bookmarkStart w:id="83" w:name="_Caption1242"/>
      <w:bookmarkStart w:id="84" w:name="_Caption9174"/>
      <w:bookmarkStart w:id="85" w:name="_Caption5800"/>
      <w:bookmarkStart w:id="86" w:name="_Caption0848"/>
      <w:bookmarkStart w:id="87" w:name="_Caption7845"/>
      <w:bookmarkStart w:id="88" w:name="_Caption8829"/>
      <w:bookmarkStart w:id="89" w:name="_Caption9649"/>
      <w:bookmarkStart w:id="90" w:name="_Caption4054"/>
      <w:bookmarkStart w:id="91" w:name="_Caption4382"/>
      <w:bookmarkStart w:id="92" w:name="_Caption1691"/>
      <w:bookmarkStart w:id="93" w:name="_Caption5742"/>
      <w:bookmarkStart w:id="94" w:name="_Caption6947"/>
      <w:bookmarkStart w:id="95" w:name="_Caption8219"/>
      <w:bookmarkStart w:id="96" w:name="_Caption5213"/>
      <w:bookmarkStart w:id="97" w:name="_Caption1881"/>
      <w:bookmarkStart w:id="98" w:name="_Caption8948"/>
      <w:bookmarkStart w:id="99" w:name="_Caption5273"/>
      <w:bookmarkStart w:id="100" w:name="_Caption1210"/>
      <w:bookmarkStart w:id="101" w:name="_Caption9887"/>
      <w:bookmarkStart w:id="102" w:name="_Caption5238"/>
      <w:bookmarkStart w:id="103" w:name="_Caption9786"/>
      <w:bookmarkStart w:id="104" w:name="_Caption0680"/>
      <w:bookmarkStart w:id="105" w:name="_Caption3040"/>
      <w:bookmarkStart w:id="106" w:name="_Caption1977"/>
      <w:bookmarkStart w:id="107" w:name="_Caption2962"/>
      <w:bookmarkStart w:id="108" w:name="_Caption3771"/>
      <w:bookmarkStart w:id="109" w:name="_Caption1956"/>
      <w:bookmarkStart w:id="110" w:name="_Caption0800"/>
      <w:bookmarkStart w:id="111" w:name="_Caption0300"/>
      <w:bookmarkStart w:id="112" w:name="_Caption3281"/>
      <w:bookmarkStart w:id="113" w:name="_Caption9096"/>
      <w:bookmarkStart w:id="114" w:name="_Caption7745"/>
      <w:bookmarkStart w:id="115" w:name="_Caption3315"/>
      <w:bookmarkStart w:id="116" w:name="_Caption6674"/>
      <w:bookmarkStart w:id="117" w:name="_Caption4864"/>
      <w:bookmarkStart w:id="118" w:name="_Caption6283"/>
      <w:bookmarkStart w:id="119" w:name="_Caption7194"/>
      <w:bookmarkStart w:id="120" w:name="_Caption0923"/>
      <w:bookmarkStart w:id="121" w:name="_Caption3129"/>
      <w:bookmarkStart w:id="122" w:name="_Caption5631"/>
      <w:bookmarkStart w:id="123" w:name="_Caption6131"/>
      <w:bookmarkStart w:id="124" w:name="_Caption2924"/>
      <w:bookmarkStart w:id="125" w:name="_Caption0408"/>
      <w:bookmarkStart w:id="126" w:name="_Caption2669"/>
      <w:bookmarkStart w:id="127" w:name="_Caption5687"/>
      <w:bookmarkStart w:id="128" w:name="_Caption8018"/>
      <w:bookmarkStart w:id="129" w:name="_Caption8432"/>
      <w:bookmarkStart w:id="130" w:name="_Caption1012"/>
      <w:bookmarkStart w:id="131" w:name="_Caption8121"/>
      <w:bookmarkStart w:id="132" w:name="_Caption2869"/>
      <w:bookmarkStart w:id="133" w:name="_Caption1283"/>
      <w:bookmarkStart w:id="134" w:name="_Caption6954"/>
      <w:bookmarkStart w:id="135" w:name="_Caption2068"/>
      <w:bookmarkStart w:id="136" w:name="_Caption7446"/>
      <w:bookmarkStart w:id="137" w:name="_Caption5359"/>
      <w:bookmarkStart w:id="138" w:name="_Caption5607"/>
      <w:bookmarkStart w:id="139" w:name="_Caption6353"/>
      <w:bookmarkStart w:id="140" w:name="_Caption4802"/>
      <w:bookmarkStart w:id="141" w:name="_Caption5759"/>
      <w:bookmarkStart w:id="142" w:name="_Caption2904"/>
      <w:bookmarkStart w:id="143" w:name="_Caption4737"/>
      <w:bookmarkStart w:id="144" w:name="_Caption5793"/>
      <w:bookmarkStart w:id="145" w:name="_Caption1632"/>
      <w:bookmarkStart w:id="146" w:name="_Caption5485"/>
      <w:bookmarkStart w:id="147" w:name="_Caption7460"/>
      <w:bookmarkStart w:id="148" w:name="_Caption2071"/>
      <w:bookmarkStart w:id="149" w:name="_Caption4202"/>
      <w:bookmarkStart w:id="150" w:name="_Caption2266"/>
      <w:bookmarkStart w:id="151" w:name="_Caption8004"/>
      <w:bookmarkStart w:id="152" w:name="_Caption3917"/>
      <w:bookmarkStart w:id="153" w:name="_Caption0931"/>
      <w:bookmarkStart w:id="154" w:name="_Caption7966"/>
      <w:bookmarkStart w:id="155" w:name="_Caption7330"/>
      <w:bookmarkStart w:id="156" w:name="_Caption4266"/>
      <w:bookmarkStart w:id="157" w:name="_Caption2378"/>
      <w:bookmarkStart w:id="158" w:name="_Caption4499"/>
      <w:bookmarkStart w:id="159" w:name="_Caption8507"/>
      <w:bookmarkStart w:id="160" w:name="_Caption1119"/>
      <w:bookmarkStart w:id="161" w:name="_Caption8343"/>
      <w:bookmarkStart w:id="162" w:name="_Toc507523789"/>
      <w:bookmarkStart w:id="163" w:name="_Toc509220838"/>
      <w:bookmarkStart w:id="164" w:name="_Toc529869894"/>
      <w:bookmarkStart w:id="165" w:name="_Toc530748390"/>
      <w:r w:rsidR="00EA42ED">
        <w:rPr>
          <w:noProof/>
        </w:rPr>
        <w:t>1</w:t>
      </w:r>
      <w:r w:rsidR="00EA42ED" w:rsidRPr="00695C93">
        <w:rPr>
          <w:noProof/>
        </w:rPr>
        <w:t>.</w:t>
      </w:r>
      <w:r w:rsidR="00EA42ED">
        <w:rPr>
          <w:noProof/>
        </w:rPr>
        <w:t>1</w:t>
      </w:r>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r w:rsidRPr="00695C93">
        <w:fldChar w:fldCharType="end"/>
      </w:r>
      <w:r w:rsidRPr="00695C93">
        <w:tab/>
      </w:r>
      <w:r>
        <w:t>Commercial buildings</w:t>
      </w:r>
      <w:bookmarkEnd w:id="162"/>
      <w:bookmarkEnd w:id="163"/>
      <w:bookmarkEnd w:id="164"/>
      <w:bookmarkEnd w:id="165"/>
    </w:p>
    <w:tbl>
      <w:tblPr>
        <w:tblW w:w="7994" w:type="dxa"/>
        <w:tblLayout w:type="fixed"/>
        <w:tblLook w:val="0000" w:firstRow="0" w:lastRow="0" w:firstColumn="0" w:lastColumn="0" w:noHBand="0" w:noVBand="0"/>
        <w:tblCaption w:val="Table 1.1"/>
        <w:tblDescription w:val="This table provides a list of defined building classifcations used for the purposes of this FInal Decision RIS and as defined by the National Construction Code. "/>
      </w:tblPr>
      <w:tblGrid>
        <w:gridCol w:w="1276"/>
        <w:gridCol w:w="6718"/>
      </w:tblGrid>
      <w:tr w:rsidR="00612FD3" w:rsidTr="00301B6D">
        <w:trPr>
          <w:tblHeader/>
        </w:trPr>
        <w:tc>
          <w:tcPr>
            <w:tcW w:w="1276" w:type="dxa"/>
            <w:tcBorders>
              <w:bottom w:val="single" w:sz="8" w:space="0" w:color="FFFFFF" w:themeColor="background1"/>
            </w:tcBorders>
            <w:shd w:val="clear" w:color="auto" w:fill="6F6652"/>
            <w:tcMar>
              <w:left w:w="57" w:type="dxa"/>
              <w:right w:w="57" w:type="dxa"/>
            </w:tcMar>
          </w:tcPr>
          <w:p w:rsidR="00612FD3" w:rsidRDefault="00612FD3" w:rsidP="00301B6D">
            <w:pPr>
              <w:pStyle w:val="TableTextColumnHeading"/>
            </w:pPr>
            <w:r>
              <w:t>Building class</w:t>
            </w:r>
          </w:p>
        </w:tc>
        <w:tc>
          <w:tcPr>
            <w:tcW w:w="6718" w:type="dxa"/>
            <w:tcBorders>
              <w:bottom w:val="single" w:sz="8" w:space="0" w:color="FFFFFF" w:themeColor="background1"/>
            </w:tcBorders>
            <w:shd w:val="clear" w:color="auto" w:fill="6F6652"/>
            <w:tcMar>
              <w:left w:w="57" w:type="dxa"/>
              <w:right w:w="57" w:type="dxa"/>
            </w:tcMar>
          </w:tcPr>
          <w:p w:rsidR="00612FD3" w:rsidRDefault="00612FD3" w:rsidP="00301B6D">
            <w:pPr>
              <w:pStyle w:val="TableTextColumnHeading"/>
            </w:pPr>
            <w:r>
              <w:t>Description</w:t>
            </w:r>
          </w:p>
        </w:tc>
      </w:tr>
      <w:tr w:rsidR="00612FD3" w:rsidTr="00301B6D">
        <w:tc>
          <w:tcPr>
            <w:tcW w:w="127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TextEntries"/>
            </w:pPr>
            <w:r>
              <w:t>Class 2 common areas</w:t>
            </w:r>
          </w:p>
        </w:tc>
        <w:tc>
          <w:tcPr>
            <w:tcW w:w="67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TextEntries"/>
            </w:pPr>
            <w:r>
              <w:t>Class 2 buildings are residential buildings. They are multi-unit residential buildings where dwellings are situated above and below each other. Class 2 buildings may also be single storey attached dwellings where there is a common space below. For example, two dwellings above a common basement or carpark.</w:t>
            </w:r>
          </w:p>
          <w:p w:rsidR="00612FD3" w:rsidRDefault="00612FD3" w:rsidP="00301B6D">
            <w:pPr>
              <w:pStyle w:val="TableTextEntries"/>
            </w:pPr>
            <w:r>
              <w:t>Only common areas of Class 2 buildings are considered as commercial buildings.</w:t>
            </w:r>
          </w:p>
        </w:tc>
      </w:tr>
      <w:tr w:rsidR="00612FD3" w:rsidTr="00301B6D">
        <w:tc>
          <w:tcPr>
            <w:tcW w:w="127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TextEntries"/>
            </w:pPr>
            <w:r>
              <w:lastRenderedPageBreak/>
              <w:t>Class 3</w:t>
            </w:r>
          </w:p>
        </w:tc>
        <w:tc>
          <w:tcPr>
            <w:tcW w:w="67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TextEntries"/>
            </w:pPr>
            <w:r>
              <w:t xml:space="preserve">Class 3 buildings are residential buildings other than a Class 1 or Class 2 building. They are a common place of long term or transient living for a number of unrelated people. Examples include a </w:t>
            </w:r>
            <w:r w:rsidRPr="00084812">
              <w:rPr>
                <w:b/>
              </w:rPr>
              <w:t>hotel</w:t>
            </w:r>
            <w:r>
              <w:t>, boarding house, guest house, hostel or backpackers (that are larger than the limits for a Class 1b building (a boarding house, guest house or hostel with a floor area less than 300m</w:t>
            </w:r>
            <w:r>
              <w:rPr>
                <w:vertAlign w:val="superscript"/>
              </w:rPr>
              <w:t>2</w:t>
            </w:r>
            <w:r>
              <w:t xml:space="preserve"> and ordinarily having less than 12 people).</w:t>
            </w:r>
          </w:p>
        </w:tc>
      </w:tr>
      <w:tr w:rsidR="00612FD3" w:rsidTr="00301B6D">
        <w:tc>
          <w:tcPr>
            <w:tcW w:w="127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TextEntries"/>
            </w:pPr>
            <w:r>
              <w:t>Class 5</w:t>
            </w:r>
          </w:p>
        </w:tc>
        <w:tc>
          <w:tcPr>
            <w:tcW w:w="67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TextEntries"/>
            </w:pPr>
            <w:r>
              <w:t xml:space="preserve">Class 5 buildings are </w:t>
            </w:r>
            <w:r w:rsidRPr="00084812">
              <w:rPr>
                <w:b/>
              </w:rPr>
              <w:t>office</w:t>
            </w:r>
            <w:r>
              <w:t xml:space="preserve"> buildings that are used for professional or commercial purposes, excluding Class 6, 7, 8 or 9 buildings.</w:t>
            </w:r>
          </w:p>
        </w:tc>
      </w:tr>
      <w:tr w:rsidR="00612FD3" w:rsidTr="00301B6D">
        <w:tc>
          <w:tcPr>
            <w:tcW w:w="127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TextEntries"/>
            </w:pPr>
            <w:r>
              <w:t>Class 6</w:t>
            </w:r>
          </w:p>
        </w:tc>
        <w:tc>
          <w:tcPr>
            <w:tcW w:w="67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TextEntries"/>
            </w:pPr>
            <w:r>
              <w:t xml:space="preserve">Class 6 buildings are typically </w:t>
            </w:r>
            <w:r w:rsidRPr="00084812">
              <w:rPr>
                <w:b/>
              </w:rPr>
              <w:t>retail</w:t>
            </w:r>
            <w:r>
              <w:t xml:space="preserve"> buildings such as </w:t>
            </w:r>
            <w:r w:rsidRPr="00633109">
              <w:t>shops</w:t>
            </w:r>
            <w:r>
              <w:t>, restaurants and cafés. They are a place for the sale of retail goods or the supply of services direct to the public.</w:t>
            </w:r>
          </w:p>
        </w:tc>
      </w:tr>
      <w:tr w:rsidR="00612FD3" w:rsidTr="00301B6D">
        <w:tc>
          <w:tcPr>
            <w:tcW w:w="127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TextEntries"/>
            </w:pPr>
            <w:r>
              <w:t>Class 7</w:t>
            </w:r>
          </w:p>
        </w:tc>
        <w:tc>
          <w:tcPr>
            <w:tcW w:w="67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TextEntries"/>
            </w:pPr>
            <w:r>
              <w:t>Class 7 buildings include two sub classifications: Class 7a and Class 7b.</w:t>
            </w:r>
          </w:p>
        </w:tc>
      </w:tr>
      <w:tr w:rsidR="00612FD3" w:rsidTr="00301B6D">
        <w:tc>
          <w:tcPr>
            <w:tcW w:w="127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TextEntries"/>
            </w:pPr>
            <w:r>
              <w:t>Class 7a</w:t>
            </w:r>
          </w:p>
        </w:tc>
        <w:tc>
          <w:tcPr>
            <w:tcW w:w="67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TextEntries"/>
            </w:pPr>
            <w:r>
              <w:t xml:space="preserve">Class 7a buildings are </w:t>
            </w:r>
            <w:r w:rsidRPr="00084812">
              <w:rPr>
                <w:b/>
              </w:rPr>
              <w:t>carparks</w:t>
            </w:r>
            <w:r>
              <w:t>.</w:t>
            </w:r>
          </w:p>
        </w:tc>
      </w:tr>
      <w:tr w:rsidR="00612FD3" w:rsidTr="00301B6D">
        <w:tc>
          <w:tcPr>
            <w:tcW w:w="127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TextEntries"/>
            </w:pPr>
            <w:r>
              <w:t>Class 7b</w:t>
            </w:r>
          </w:p>
        </w:tc>
        <w:tc>
          <w:tcPr>
            <w:tcW w:w="67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TextEntries"/>
            </w:pPr>
            <w:r>
              <w:t xml:space="preserve">Class 7b buildings are typically </w:t>
            </w:r>
            <w:r w:rsidRPr="00084812">
              <w:rPr>
                <w:b/>
              </w:rPr>
              <w:t>warehouses</w:t>
            </w:r>
            <w:r>
              <w:t>, storage buildings or buildings for the display of goods (or produce) that is for wholesale.</w:t>
            </w:r>
          </w:p>
        </w:tc>
      </w:tr>
      <w:tr w:rsidR="00612FD3" w:rsidTr="00301B6D">
        <w:tc>
          <w:tcPr>
            <w:tcW w:w="127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TextEntries"/>
            </w:pPr>
            <w:r>
              <w:t>Class 8</w:t>
            </w:r>
          </w:p>
        </w:tc>
        <w:tc>
          <w:tcPr>
            <w:tcW w:w="67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TextEntries"/>
            </w:pPr>
            <w:r>
              <w:t xml:space="preserve">A </w:t>
            </w:r>
            <w:r w:rsidRPr="00084812">
              <w:rPr>
                <w:b/>
              </w:rPr>
              <w:t>factory</w:t>
            </w:r>
            <w:r>
              <w:t xml:space="preserve"> is the most common way to describe a Class 8 building. It is a building in which a process (or handicraft) is carried out for trade, sale, or gain. The building can be used for production, assembling, altering, repairing, finishing, packing, or cleaning of goods or produce. It includes buildings such as a mechanic’s workshop. It may also be a building for food manufacture, such as an abattoir. A laboratory is also a Class 8 building.</w:t>
            </w:r>
          </w:p>
        </w:tc>
      </w:tr>
      <w:tr w:rsidR="00612FD3" w:rsidTr="00301B6D">
        <w:tc>
          <w:tcPr>
            <w:tcW w:w="127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TextEntries"/>
            </w:pPr>
            <w:r>
              <w:t>Class 9</w:t>
            </w:r>
          </w:p>
        </w:tc>
        <w:tc>
          <w:tcPr>
            <w:tcW w:w="67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TextEntries"/>
            </w:pPr>
            <w:r>
              <w:t>Class 9 buildings are buildings of a public nature, which include three sub classifications: Class 9a, Class 9b and Class 9c.</w:t>
            </w:r>
          </w:p>
        </w:tc>
      </w:tr>
      <w:tr w:rsidR="00612FD3" w:rsidTr="00301B6D">
        <w:tc>
          <w:tcPr>
            <w:tcW w:w="127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TextEntries"/>
            </w:pPr>
            <w:r>
              <w:t>Class 9a</w:t>
            </w:r>
          </w:p>
        </w:tc>
        <w:tc>
          <w:tcPr>
            <w:tcW w:w="67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TextEntries"/>
            </w:pPr>
            <w:r>
              <w:t xml:space="preserve">Class 9a buildings are generally </w:t>
            </w:r>
            <w:r w:rsidRPr="00084812">
              <w:rPr>
                <w:b/>
              </w:rPr>
              <w:t>hospitals</w:t>
            </w:r>
            <w:r>
              <w:t xml:space="preserve"> which are referred to in the NCC as health-care buildings.</w:t>
            </w:r>
          </w:p>
        </w:tc>
      </w:tr>
      <w:tr w:rsidR="00612FD3" w:rsidTr="00301B6D">
        <w:tc>
          <w:tcPr>
            <w:tcW w:w="127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TextEntries"/>
            </w:pPr>
            <w:r>
              <w:t>Class 9b</w:t>
            </w:r>
          </w:p>
        </w:tc>
        <w:tc>
          <w:tcPr>
            <w:tcW w:w="67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TextEntries"/>
            </w:pPr>
            <w:r>
              <w:t xml:space="preserve">Class 9b buildings are assembly buildings in which people may gather for social, theatrical, political, religious or civil purposes. They include </w:t>
            </w:r>
            <w:r w:rsidRPr="00084812">
              <w:rPr>
                <w:b/>
              </w:rPr>
              <w:t>schools</w:t>
            </w:r>
            <w:r>
              <w:t>, universities, childcare centres, pre-schools, sporting facilities, night clubs, or public transport buildings.</w:t>
            </w:r>
          </w:p>
        </w:tc>
      </w:tr>
      <w:tr w:rsidR="00612FD3" w:rsidTr="00301B6D">
        <w:tc>
          <w:tcPr>
            <w:tcW w:w="1276" w:type="dxa"/>
            <w:tcBorders>
              <w:top w:val="single" w:sz="8" w:space="0" w:color="FFFFFF" w:themeColor="background1"/>
              <w:bottom w:val="single" w:sz="6" w:space="0" w:color="6F6652"/>
            </w:tcBorders>
            <w:shd w:val="clear" w:color="auto" w:fill="E9E8E5" w:themeFill="background2"/>
            <w:tcMar>
              <w:left w:w="57" w:type="dxa"/>
              <w:right w:w="57" w:type="dxa"/>
            </w:tcMar>
          </w:tcPr>
          <w:p w:rsidR="00612FD3" w:rsidRDefault="00612FD3" w:rsidP="00301B6D">
            <w:pPr>
              <w:pStyle w:val="TableTextEntries"/>
            </w:pPr>
            <w:r>
              <w:t>Class 9c</w:t>
            </w:r>
          </w:p>
        </w:tc>
        <w:tc>
          <w:tcPr>
            <w:tcW w:w="6718" w:type="dxa"/>
            <w:tcBorders>
              <w:top w:val="single" w:sz="8" w:space="0" w:color="FFFFFF" w:themeColor="background1"/>
              <w:bottom w:val="single" w:sz="6" w:space="0" w:color="6F6652"/>
            </w:tcBorders>
            <w:shd w:val="clear" w:color="auto" w:fill="E9E8E5" w:themeFill="background2"/>
            <w:tcMar>
              <w:left w:w="57" w:type="dxa"/>
              <w:right w:w="57" w:type="dxa"/>
            </w:tcMar>
          </w:tcPr>
          <w:p w:rsidR="00612FD3" w:rsidRDefault="00612FD3" w:rsidP="00301B6D">
            <w:pPr>
              <w:pStyle w:val="TableTextEntries"/>
            </w:pPr>
            <w:r>
              <w:t xml:space="preserve">Class 9c buildings are </w:t>
            </w:r>
            <w:r w:rsidRPr="00084812">
              <w:rPr>
                <w:b/>
              </w:rPr>
              <w:t>aged care</w:t>
            </w:r>
            <w:r>
              <w:t xml:space="preserve"> buildings. Aged care buildings are defined as residential accommodation for elderly people who, due to varying degrees of incapacity associated with the ageing process, are provided with personal care services and 24 hour staff assistance to evacuate the building during an emergency.</w:t>
            </w:r>
          </w:p>
        </w:tc>
      </w:tr>
    </w:tbl>
    <w:p w:rsidR="00612FD3" w:rsidRPr="00655A3C" w:rsidRDefault="00612FD3" w:rsidP="00612FD3">
      <w:pPr>
        <w:pStyle w:val="Source"/>
      </w:pPr>
      <w:r>
        <w:rPr>
          <w:i/>
        </w:rPr>
        <w:t>Source</w:t>
      </w:r>
      <w:r w:rsidRPr="00E4232C">
        <w:rPr>
          <w:i/>
        </w:rPr>
        <w:t>:</w:t>
      </w:r>
      <w:r>
        <w:t xml:space="preserve"> excerpt from ABCB 2017, </w:t>
      </w:r>
      <w:r>
        <w:rPr>
          <w:i/>
        </w:rPr>
        <w:t>Understanding the NCC: Building Classifications</w:t>
      </w:r>
      <w:r>
        <w:t xml:space="preserve">. </w:t>
      </w:r>
    </w:p>
    <w:p w:rsidR="00612FD3" w:rsidRDefault="00612FD3" w:rsidP="00612FD3">
      <w:pPr>
        <w:pStyle w:val="Heading2"/>
        <w:numPr>
          <w:ilvl w:val="1"/>
          <w:numId w:val="5"/>
        </w:numPr>
      </w:pPr>
      <w:bookmarkStart w:id="166" w:name="_Toc499846999"/>
      <w:bookmarkStart w:id="167" w:name="_Toc505120594"/>
      <w:bookmarkStart w:id="168" w:name="_Toc507523751"/>
      <w:bookmarkStart w:id="169" w:name="_Toc509220778"/>
      <w:bookmarkStart w:id="170" w:name="_Toc529869827"/>
      <w:bookmarkStart w:id="171" w:name="_Toc530748544"/>
      <w:r>
        <w:t>Energy efficiency in the National Construction Code</w:t>
      </w:r>
      <w:bookmarkEnd w:id="166"/>
      <w:bookmarkEnd w:id="167"/>
      <w:bookmarkEnd w:id="168"/>
      <w:bookmarkEnd w:id="169"/>
      <w:bookmarkEnd w:id="170"/>
      <w:bookmarkEnd w:id="171"/>
    </w:p>
    <w:p w:rsidR="00612FD3" w:rsidRDefault="00612FD3" w:rsidP="00612FD3">
      <w:pPr>
        <w:pStyle w:val="BodyText"/>
      </w:pPr>
      <w:r>
        <w:t>Minimum energy efficiency standards for commercial buildings were first introduced in 2006 into the Building Code of Australia (BCA), which now forms part of the National Construction Code (NCC).</w:t>
      </w:r>
      <w:r>
        <w:rPr>
          <w:rStyle w:val="FootnoteReference"/>
        </w:rPr>
        <w:footnoteReference w:id="10"/>
      </w:r>
      <w:r>
        <w:t xml:space="preserve"> The stringency of the minimum energy efficiency standards were subsequently increased in 2010.</w:t>
      </w:r>
    </w:p>
    <w:p w:rsidR="00612FD3" w:rsidRDefault="00612FD3" w:rsidP="00612FD3">
      <w:pPr>
        <w:pStyle w:val="BodyText"/>
      </w:pPr>
      <w:r>
        <w:t>The energy efficiency provisions of the NCC are specified in Section J. The stated objective of Section J is to “reduce greenhouse gas emissions”.</w:t>
      </w:r>
      <w:r>
        <w:rPr>
          <w:rStyle w:val="FootnoteReference"/>
        </w:rPr>
        <w:footnoteReference w:id="11"/>
      </w:r>
    </w:p>
    <w:p w:rsidR="00612FD3" w:rsidRDefault="00612FD3" w:rsidP="00612FD3">
      <w:pPr>
        <w:pStyle w:val="BodyText"/>
      </w:pPr>
      <w:r>
        <w:t>As the NCC is a performance</w:t>
      </w:r>
      <w:r>
        <w:noBreakHyphen/>
        <w:t xml:space="preserve">based code, Performance Requirements </w:t>
      </w:r>
      <w:r w:rsidR="004E29E3">
        <w:t>relating to energy efficiency</w:t>
      </w:r>
      <w:r>
        <w:t xml:space="preserve"> set out the minimum expectations a building must meet in order to comply.</w:t>
      </w:r>
    </w:p>
    <w:p w:rsidR="00612FD3" w:rsidRDefault="00612FD3" w:rsidP="00612FD3">
      <w:pPr>
        <w:pStyle w:val="BodyText"/>
      </w:pPr>
      <w:r>
        <w:lastRenderedPageBreak/>
        <w:t>Under the current NCC, the Performance Requirements are not quantified. However, the means of satisfying the Performance Requirements are set out in Section J. Compliance can be achieved through either:</w:t>
      </w:r>
    </w:p>
    <w:p w:rsidR="00612FD3" w:rsidRDefault="00612FD3" w:rsidP="00612FD3">
      <w:pPr>
        <w:pStyle w:val="ListBullet"/>
        <w:numPr>
          <w:ilvl w:val="0"/>
          <w:numId w:val="36"/>
        </w:numPr>
      </w:pPr>
      <w:r>
        <w:t>The Deemed-to-Satisfy Provisions (DTS) — these are the prescriptive means set out in J0 to J8. As the name suggests, buildings that comply with these prescriptive DTS provisions are deemed to meet the Performance Requirements.</w:t>
      </w:r>
    </w:p>
    <w:p w:rsidR="00612FD3" w:rsidRDefault="00612FD3" w:rsidP="00612FD3">
      <w:pPr>
        <w:pStyle w:val="ListBullet"/>
        <w:numPr>
          <w:ilvl w:val="0"/>
          <w:numId w:val="36"/>
        </w:numPr>
      </w:pPr>
      <w:r>
        <w:t>Performance Solution — these are solutions (other than DTS) that comply with the Performance Requirements. These solutions must be assessed in accordance with the Assessment Methods (or a combination of) listed under Section A of the NCC using:</w:t>
      </w:r>
    </w:p>
    <w:p w:rsidR="00612FD3" w:rsidRDefault="00612FD3" w:rsidP="00612FD3">
      <w:pPr>
        <w:pStyle w:val="ListBullet2"/>
        <w:numPr>
          <w:ilvl w:val="1"/>
          <w:numId w:val="36"/>
        </w:numPr>
      </w:pPr>
      <w:r>
        <w:t>A Verification Method such as JV3 as one optional means of verifying compliance with the Performance Requirements.</w:t>
      </w:r>
    </w:p>
    <w:p w:rsidR="00612FD3" w:rsidRDefault="00612FD3" w:rsidP="00612FD3">
      <w:pPr>
        <w:pStyle w:val="ListBullet2"/>
        <w:numPr>
          <w:ilvl w:val="1"/>
          <w:numId w:val="36"/>
        </w:numPr>
      </w:pPr>
      <w:r>
        <w:t xml:space="preserve">Others options include, evidence of suitability as described in A2.2, other verification methods as accepted by the relevant authority, expert judgement, or comparison to the DTS. NCC Volume One Section A includes definitions and descriptions. </w:t>
      </w:r>
    </w:p>
    <w:p w:rsidR="00612FD3" w:rsidRDefault="00612FD3" w:rsidP="00612FD3">
      <w:pPr>
        <w:pStyle w:val="Heading2"/>
        <w:numPr>
          <w:ilvl w:val="1"/>
          <w:numId w:val="5"/>
        </w:numPr>
      </w:pPr>
      <w:bookmarkStart w:id="172" w:name="_Toc492549748"/>
      <w:bookmarkStart w:id="173" w:name="_Toc499847000"/>
      <w:bookmarkStart w:id="174" w:name="_Toc505120595"/>
      <w:bookmarkStart w:id="175" w:name="_Toc507523752"/>
      <w:bookmarkStart w:id="176" w:name="_Toc509220779"/>
      <w:bookmarkStart w:id="177" w:name="_Toc529869828"/>
      <w:bookmarkStart w:id="178" w:name="_Toc530748545"/>
      <w:r>
        <w:t>Proposed changes to the NCC</w:t>
      </w:r>
      <w:bookmarkEnd w:id="172"/>
      <w:bookmarkEnd w:id="173"/>
      <w:bookmarkEnd w:id="174"/>
      <w:bookmarkEnd w:id="175"/>
      <w:bookmarkEnd w:id="176"/>
      <w:bookmarkEnd w:id="177"/>
      <w:bookmarkEnd w:id="178"/>
    </w:p>
    <w:p w:rsidR="00612FD3" w:rsidRDefault="00612FD3" w:rsidP="00612FD3">
      <w:pPr>
        <w:pStyle w:val="BodyText"/>
      </w:pPr>
      <w:r>
        <w:t xml:space="preserve">The Australian Building Codes Board (ABCB) has been requested to consider </w:t>
      </w:r>
      <w:r w:rsidRPr="007B2BFA">
        <w:t xml:space="preserve">stringency changes to the energy efficiency provisions in NCC 2019 </w:t>
      </w:r>
      <w:r>
        <w:t>in relation to</w:t>
      </w:r>
      <w:r w:rsidRPr="007B2BFA">
        <w:t xml:space="preserve"> commercial buildings</w:t>
      </w:r>
      <w:r>
        <w:t>.</w:t>
      </w:r>
      <w:r>
        <w:rPr>
          <w:rStyle w:val="FootnoteReference"/>
        </w:rPr>
        <w:footnoteReference w:id="12"/>
      </w:r>
      <w:r>
        <w:t xml:space="preserve"> More specifically, the ABCB was required to develop updates to the energy efficiency provisions in the NCC that are economically feasible.</w:t>
      </w:r>
    </w:p>
    <w:p w:rsidR="00612FD3" w:rsidRDefault="00612FD3" w:rsidP="00612FD3">
      <w:pPr>
        <w:pStyle w:val="Heading3"/>
        <w:numPr>
          <w:ilvl w:val="2"/>
          <w:numId w:val="5"/>
        </w:numPr>
      </w:pPr>
      <w:r>
        <w:t>Broader policy context</w:t>
      </w:r>
    </w:p>
    <w:p w:rsidR="00612FD3" w:rsidRDefault="00612FD3" w:rsidP="00612FD3">
      <w:pPr>
        <w:pStyle w:val="BodyText"/>
      </w:pPr>
      <w:r>
        <w:t>The review of Section J of the NCC as it relates to commercial buildings is occurring in the context of several key policy developments over recent years.</w:t>
      </w:r>
    </w:p>
    <w:p w:rsidR="00612FD3" w:rsidRDefault="00612FD3" w:rsidP="00612FD3">
      <w:pPr>
        <w:pStyle w:val="BodyText"/>
      </w:pPr>
      <w:r>
        <w:t>An important international development was the adoption of the Paris Climate Agreement in December 2015. The Paris Climate Agreement has been ratified by 168 of 197 Parties to the United Nations Framework Convention on Climate Change (UNFCCC), including Australia.</w:t>
      </w:r>
      <w:r>
        <w:rPr>
          <w:rStyle w:val="FootnoteReference"/>
        </w:rPr>
        <w:footnoteReference w:id="13"/>
      </w:r>
      <w:r>
        <w:t xml:space="preserve"> It aims to limit global warming to less than 2 degrees Celsius and pursue efforts to limit the rise to 1.5 degrees Celsius.</w:t>
      </w:r>
    </w:p>
    <w:p w:rsidR="00612FD3" w:rsidRDefault="00612FD3" w:rsidP="00612FD3">
      <w:pPr>
        <w:pStyle w:val="BodyText"/>
      </w:pPr>
      <w:r>
        <w:t>The Paris Agreement requires all Parties to put forward their best efforts through ‘nationally determined contributions’. Australia has committed to implementing an economy-wide target to reduce greenhouse gas emissions by 26 to 28 per cent below the 2005 level by 2030.</w:t>
      </w:r>
      <w:r>
        <w:rPr>
          <w:rStyle w:val="FootnoteReference"/>
        </w:rPr>
        <w:footnoteReference w:id="14"/>
      </w:r>
    </w:p>
    <w:p w:rsidR="00612FD3" w:rsidRDefault="00612FD3" w:rsidP="00612FD3">
      <w:pPr>
        <w:pStyle w:val="BodyText"/>
      </w:pPr>
      <w:r>
        <w:lastRenderedPageBreak/>
        <w:t>Relevant domestic policy developments include the following:</w:t>
      </w:r>
    </w:p>
    <w:p w:rsidR="00612FD3" w:rsidRDefault="00612FD3" w:rsidP="00612FD3">
      <w:pPr>
        <w:pStyle w:val="ListBullet"/>
        <w:numPr>
          <w:ilvl w:val="0"/>
          <w:numId w:val="36"/>
        </w:numPr>
      </w:pPr>
      <w:r>
        <w:t xml:space="preserve">The Commonwealth Government’s </w:t>
      </w:r>
      <w:r w:rsidRPr="00702D02">
        <w:rPr>
          <w:i/>
        </w:rPr>
        <w:t>Energy White Paper</w:t>
      </w:r>
      <w:r>
        <w:t xml:space="preserve"> — this was released in April 2015, and sets out an energy policy framework for Australia. Increasing energy productivity to promote growth was one of the </w:t>
      </w:r>
      <w:r w:rsidRPr="00702D02">
        <w:t>White Paper’s</w:t>
      </w:r>
      <w:r>
        <w:t xml:space="preserve"> three key themes.</w:t>
      </w:r>
    </w:p>
    <w:p w:rsidR="00612FD3" w:rsidRDefault="00612FD3" w:rsidP="00612FD3">
      <w:pPr>
        <w:pStyle w:val="ListBullet"/>
        <w:numPr>
          <w:ilvl w:val="0"/>
          <w:numId w:val="36"/>
        </w:numPr>
      </w:pPr>
      <w:r>
        <w:t xml:space="preserve">The National Energy Productivity Plan (NEPP) — as an integral part of the </w:t>
      </w:r>
      <w:r>
        <w:rPr>
          <w:i/>
        </w:rPr>
        <w:t>Energy White Paper</w:t>
      </w:r>
      <w:r>
        <w:t xml:space="preserve">, the Council of Australian Governments (COAG) Energy Council has developed the </w:t>
      </w:r>
      <w:r w:rsidRPr="004E2360">
        <w:rPr>
          <w:i/>
        </w:rPr>
        <w:t>National Energy Productivity Plan 2015 – 2030</w:t>
      </w:r>
      <w:r>
        <w:t>, released in December 2015. The NEPP has set a National Energy Productivity Target to improve Australia’s energy productivity by 40 per cent between 2015 and 2030.</w:t>
      </w:r>
      <w:r>
        <w:rPr>
          <w:rStyle w:val="FootnoteReference"/>
        </w:rPr>
        <w:footnoteReference w:id="15"/>
      </w:r>
    </w:p>
    <w:p w:rsidR="00612FD3" w:rsidRDefault="00612FD3" w:rsidP="00612FD3">
      <w:pPr>
        <w:pStyle w:val="BodyText"/>
      </w:pPr>
      <w:r>
        <w:t>The Work Plan for NEPP developed 34 measures to achieve this target. Measure 31 states that there is likely to be strong productivity and emissions reduction benefits from revising the NCC’s energy efficiency provisions for both residential and commercial buildings.</w:t>
      </w:r>
      <w:r>
        <w:rPr>
          <w:rStyle w:val="FootnoteReference"/>
        </w:rPr>
        <w:footnoteReference w:id="16"/>
      </w:r>
    </w:p>
    <w:p w:rsidR="00612FD3" w:rsidRDefault="00612FD3" w:rsidP="00612FD3">
      <w:pPr>
        <w:pStyle w:val="BodyText"/>
      </w:pPr>
      <w:r>
        <w:t>This was based on research by pitt&amp;sherry commissioned by the Department of the Environment and Energy that found that the energy efficiency stringency of the NCC could achieve energy savings of up to 53 per cent for commercial buildings and up to 18 per cent for residential buildings at benefit-cost ratio of 1.0.</w:t>
      </w:r>
      <w:r>
        <w:rPr>
          <w:rStyle w:val="FootnoteReference"/>
        </w:rPr>
        <w:footnoteReference w:id="17"/>
      </w:r>
    </w:p>
    <w:p w:rsidR="00612FD3" w:rsidRDefault="00612FD3" w:rsidP="00612FD3">
      <w:pPr>
        <w:pStyle w:val="Heading3"/>
        <w:numPr>
          <w:ilvl w:val="2"/>
          <w:numId w:val="5"/>
        </w:numPr>
      </w:pPr>
      <w:r>
        <w:t>Approach to the review of Section J</w:t>
      </w:r>
    </w:p>
    <w:p w:rsidR="00612FD3" w:rsidRDefault="00612FD3" w:rsidP="00612FD3">
      <w:pPr>
        <w:pStyle w:val="BodyText"/>
      </w:pPr>
      <w:r>
        <w:t xml:space="preserve">The ABCB engaged consultants </w:t>
      </w:r>
      <w:r w:rsidR="003F28DD">
        <w:t>EA</w:t>
      </w:r>
      <w:r>
        <w:t xml:space="preserve"> to investigate and recommend changes to Section J in NCC 2019 which are economically feasible.</w:t>
      </w:r>
    </w:p>
    <w:p w:rsidR="00612FD3" w:rsidRDefault="00612FD3" w:rsidP="00612FD3">
      <w:pPr>
        <w:pStyle w:val="BodyText"/>
      </w:pPr>
      <w:r>
        <w:t>The ABCB and its consultants undertook a detailed review of Section J including its:</w:t>
      </w:r>
    </w:p>
    <w:p w:rsidR="00612FD3" w:rsidRDefault="00612FD3" w:rsidP="00612FD3">
      <w:pPr>
        <w:pStyle w:val="ListBullet"/>
        <w:numPr>
          <w:ilvl w:val="0"/>
          <w:numId w:val="36"/>
        </w:numPr>
      </w:pPr>
      <w:r>
        <w:t>Performance Requirements;</w:t>
      </w:r>
    </w:p>
    <w:p w:rsidR="00612FD3" w:rsidRDefault="00612FD3" w:rsidP="00612FD3">
      <w:pPr>
        <w:pStyle w:val="ListBullet"/>
        <w:numPr>
          <w:ilvl w:val="0"/>
          <w:numId w:val="36"/>
        </w:numPr>
      </w:pPr>
      <w:r>
        <w:t>Verification Methods; and</w:t>
      </w:r>
    </w:p>
    <w:p w:rsidR="00612FD3" w:rsidRDefault="00612FD3" w:rsidP="00612FD3">
      <w:pPr>
        <w:pStyle w:val="ListBullet"/>
        <w:numPr>
          <w:ilvl w:val="0"/>
          <w:numId w:val="36"/>
        </w:numPr>
      </w:pPr>
      <w:r>
        <w:t>DTS provisions.</w:t>
      </w:r>
    </w:p>
    <w:p w:rsidR="00612FD3" w:rsidRDefault="00612FD3" w:rsidP="00612FD3">
      <w:pPr>
        <w:pStyle w:val="BodyText"/>
      </w:pPr>
      <w:r>
        <w:t>The proposed changes were informed by detailed modelling with input from a Commercial Working Group that included representatives from:</w:t>
      </w:r>
    </w:p>
    <w:p w:rsidR="00612FD3" w:rsidRDefault="00612FD3" w:rsidP="00612FD3">
      <w:pPr>
        <w:pStyle w:val="ListBullet"/>
        <w:numPr>
          <w:ilvl w:val="0"/>
          <w:numId w:val="36"/>
        </w:numPr>
      </w:pPr>
      <w:r>
        <w:t>the ACT Administration</w:t>
      </w:r>
    </w:p>
    <w:p w:rsidR="00612FD3" w:rsidRDefault="00612FD3" w:rsidP="00612FD3">
      <w:pPr>
        <w:pStyle w:val="ListBullet"/>
        <w:numPr>
          <w:ilvl w:val="0"/>
          <w:numId w:val="36"/>
        </w:numPr>
      </w:pPr>
      <w:r>
        <w:t>the Commonwealth Department of the Environment and Energy</w:t>
      </w:r>
    </w:p>
    <w:p w:rsidR="00612FD3" w:rsidRDefault="00612FD3" w:rsidP="00612FD3">
      <w:pPr>
        <w:pStyle w:val="ListBullet"/>
        <w:numPr>
          <w:ilvl w:val="0"/>
          <w:numId w:val="36"/>
        </w:numPr>
      </w:pPr>
      <w:r w:rsidRPr="0063757E">
        <w:t>Master Builders Australia</w:t>
      </w:r>
    </w:p>
    <w:p w:rsidR="00612FD3" w:rsidRDefault="00612FD3" w:rsidP="00612FD3">
      <w:pPr>
        <w:pStyle w:val="ListBullet"/>
        <w:numPr>
          <w:ilvl w:val="0"/>
          <w:numId w:val="36"/>
        </w:numPr>
      </w:pPr>
      <w:r w:rsidRPr="0063757E">
        <w:t xml:space="preserve">Air Conditioning and Mechanical </w:t>
      </w:r>
      <w:r>
        <w:t>Contractors</w:t>
      </w:r>
      <w:r w:rsidRPr="0063757E">
        <w:t>’ Association</w:t>
      </w:r>
    </w:p>
    <w:p w:rsidR="00612FD3" w:rsidRDefault="00612FD3" w:rsidP="00612FD3">
      <w:pPr>
        <w:pStyle w:val="ListBullet"/>
        <w:numPr>
          <w:ilvl w:val="0"/>
          <w:numId w:val="36"/>
        </w:numPr>
      </w:pPr>
      <w:r w:rsidRPr="0063757E">
        <w:t>Building Products Innovation Council</w:t>
      </w:r>
    </w:p>
    <w:p w:rsidR="00612FD3" w:rsidRDefault="00612FD3" w:rsidP="00612FD3">
      <w:pPr>
        <w:pStyle w:val="ListBullet"/>
        <w:numPr>
          <w:ilvl w:val="0"/>
          <w:numId w:val="36"/>
        </w:numPr>
      </w:pPr>
      <w:r w:rsidRPr="0063757E">
        <w:t>Lighting Council Australia</w:t>
      </w:r>
    </w:p>
    <w:p w:rsidR="00612FD3" w:rsidRDefault="00612FD3" w:rsidP="00612FD3">
      <w:pPr>
        <w:pStyle w:val="ListBullet"/>
        <w:numPr>
          <w:ilvl w:val="0"/>
          <w:numId w:val="36"/>
        </w:numPr>
      </w:pPr>
      <w:r>
        <w:t>the NSW Administration in conjunction with the NABERS Administration</w:t>
      </w:r>
    </w:p>
    <w:p w:rsidR="00612FD3" w:rsidRDefault="00612FD3" w:rsidP="00612FD3">
      <w:pPr>
        <w:pStyle w:val="ListBullet"/>
        <w:numPr>
          <w:ilvl w:val="0"/>
          <w:numId w:val="36"/>
        </w:numPr>
      </w:pPr>
      <w:r>
        <w:lastRenderedPageBreak/>
        <w:t>the Australian Institute of Architects</w:t>
      </w:r>
    </w:p>
    <w:p w:rsidR="00612FD3" w:rsidRDefault="00612FD3" w:rsidP="00612FD3">
      <w:pPr>
        <w:pStyle w:val="ListBullet"/>
        <w:numPr>
          <w:ilvl w:val="0"/>
          <w:numId w:val="36"/>
        </w:numPr>
      </w:pPr>
      <w:r>
        <w:t>the Australian Institute of Building</w:t>
      </w:r>
    </w:p>
    <w:p w:rsidR="00612FD3" w:rsidRDefault="00612FD3" w:rsidP="00612FD3">
      <w:pPr>
        <w:pStyle w:val="ListBullet"/>
        <w:numPr>
          <w:ilvl w:val="0"/>
          <w:numId w:val="36"/>
        </w:numPr>
      </w:pPr>
      <w:r>
        <w:t>the Australian Institute of Refrigeration Air-conditioning and Heating</w:t>
      </w:r>
    </w:p>
    <w:p w:rsidR="00612FD3" w:rsidRDefault="00612FD3" w:rsidP="00612FD3">
      <w:pPr>
        <w:pStyle w:val="ListBullet"/>
        <w:numPr>
          <w:ilvl w:val="0"/>
          <w:numId w:val="36"/>
        </w:numPr>
      </w:pPr>
      <w:r>
        <w:t>the Australian Sustainable Built Environment Council</w:t>
      </w:r>
    </w:p>
    <w:p w:rsidR="00612FD3" w:rsidRDefault="00612FD3" w:rsidP="00612FD3">
      <w:pPr>
        <w:pStyle w:val="ListBullet"/>
        <w:numPr>
          <w:ilvl w:val="0"/>
          <w:numId w:val="36"/>
        </w:numPr>
      </w:pPr>
      <w:r>
        <w:t>the Green Building Council of Australia (the administrator of the Green Star scheme)</w:t>
      </w:r>
    </w:p>
    <w:p w:rsidR="00612FD3" w:rsidRDefault="00612FD3" w:rsidP="00612FD3">
      <w:pPr>
        <w:pStyle w:val="ListBullet"/>
        <w:numPr>
          <w:ilvl w:val="0"/>
          <w:numId w:val="36"/>
        </w:numPr>
      </w:pPr>
      <w:r>
        <w:t>the Property Council of Australia.</w:t>
      </w:r>
      <w:r>
        <w:rPr>
          <w:rStyle w:val="FootnoteReference"/>
        </w:rPr>
        <w:footnoteReference w:id="18"/>
      </w:r>
    </w:p>
    <w:p w:rsidR="00612FD3" w:rsidRDefault="00612FD3" w:rsidP="00612FD3">
      <w:pPr>
        <w:pStyle w:val="Heading2"/>
        <w:numPr>
          <w:ilvl w:val="1"/>
          <w:numId w:val="5"/>
        </w:numPr>
      </w:pPr>
      <w:bookmarkStart w:id="179" w:name="_Toc492549749"/>
      <w:bookmarkStart w:id="180" w:name="_Toc499847001"/>
      <w:bookmarkStart w:id="181" w:name="_Toc505120596"/>
      <w:bookmarkStart w:id="182" w:name="_Toc507523753"/>
      <w:bookmarkStart w:id="183" w:name="_Toc509220780"/>
      <w:bookmarkStart w:id="184" w:name="_Toc529869829"/>
      <w:bookmarkStart w:id="185" w:name="_Toc530748546"/>
      <w:r>
        <w:t>Requirement for a Regulation Impact Statement</w:t>
      </w:r>
      <w:bookmarkEnd w:id="179"/>
      <w:bookmarkEnd w:id="180"/>
      <w:bookmarkEnd w:id="181"/>
      <w:bookmarkEnd w:id="182"/>
      <w:bookmarkEnd w:id="183"/>
      <w:bookmarkEnd w:id="184"/>
      <w:bookmarkEnd w:id="185"/>
    </w:p>
    <w:p w:rsidR="00612FD3" w:rsidRDefault="00612FD3" w:rsidP="00612FD3">
      <w:pPr>
        <w:pStyle w:val="BodyText"/>
      </w:pPr>
      <w:r>
        <w:t>The Inter-governmental agreement under which the ABCB operates requires decisions of the Board have regard for COAG Best Practice Principles.</w:t>
      </w:r>
    </w:p>
    <w:p w:rsidR="00612FD3" w:rsidRDefault="00612FD3" w:rsidP="00612FD3">
      <w:pPr>
        <w:pStyle w:val="BodyText"/>
      </w:pPr>
      <w:r>
        <w:t xml:space="preserve">In line with COAG Best Practice Principles administered by the Office of Best Practice Regulation (OBPR), this Regulation Impact Statement (RIS) is being prepared consistent with </w:t>
      </w:r>
      <w:r>
        <w:rPr>
          <w:i/>
        </w:rPr>
        <w:t>Best Practice Regulation — A Guide for Ministerial Councils and National Standard Setting Bodies (2007)</w:t>
      </w:r>
      <w:r>
        <w:t>.</w:t>
      </w:r>
    </w:p>
    <w:p w:rsidR="00612FD3" w:rsidRDefault="00612FD3" w:rsidP="00612FD3">
      <w:pPr>
        <w:pStyle w:val="Heading3"/>
        <w:numPr>
          <w:ilvl w:val="2"/>
          <w:numId w:val="5"/>
        </w:numPr>
      </w:pPr>
      <w:r>
        <w:t>Consultation RIS</w:t>
      </w:r>
    </w:p>
    <w:p w:rsidR="00612FD3" w:rsidRDefault="00612FD3" w:rsidP="00612FD3">
      <w:pPr>
        <w:pStyle w:val="BodyText"/>
      </w:pPr>
      <w:r>
        <w:t>The ABCB engaged the Centre for International Economics (CIE) to prepare a Consultation RIS that satisfies COAG Best Practice Regulation Guidelines (2007). A Consultation RIS was released in March 2018. The Consultation RIS set out the elements and structure for consultation on the analysis and any unknown or uncertain elements.</w:t>
      </w:r>
    </w:p>
    <w:p w:rsidR="00612FD3" w:rsidRDefault="00612FD3" w:rsidP="00612FD3">
      <w:pPr>
        <w:pStyle w:val="Heading3"/>
        <w:numPr>
          <w:ilvl w:val="2"/>
          <w:numId w:val="5"/>
        </w:numPr>
      </w:pPr>
      <w:r>
        <w:t>Decision RIS</w:t>
      </w:r>
    </w:p>
    <w:p w:rsidR="00612FD3" w:rsidRDefault="00612FD3" w:rsidP="00612FD3">
      <w:pPr>
        <w:pStyle w:val="BodyText"/>
      </w:pPr>
      <w:r>
        <w:t xml:space="preserve">This report is a Decision RIS that builds on the analysis in the Consultation RIS. It will be considered by the ABCB Board as an input into its decision making. </w:t>
      </w:r>
    </w:p>
    <w:p w:rsidR="00612FD3" w:rsidRDefault="00612FD3" w:rsidP="00612FD3">
      <w:pPr>
        <w:pStyle w:val="Heading3"/>
        <w:numPr>
          <w:ilvl w:val="2"/>
          <w:numId w:val="5"/>
        </w:numPr>
      </w:pPr>
      <w:r>
        <w:t>Summary of stakeholder consultation</w:t>
      </w:r>
    </w:p>
    <w:p w:rsidR="00612FD3" w:rsidRDefault="00612FD3" w:rsidP="00612FD3">
      <w:pPr>
        <w:pStyle w:val="BodyText"/>
      </w:pPr>
      <w:r>
        <w:t>The Best Practice Regulation Guidelines require effective consultation with affected key stakeholders at all stages of the regulatory cycle (Principle 7).</w:t>
      </w:r>
      <w:r>
        <w:rPr>
          <w:rStyle w:val="FootnoteReference"/>
        </w:rPr>
        <w:footnoteReference w:id="19"/>
      </w:r>
      <w:r>
        <w:t xml:space="preserve"> Further guidance on best practice </w:t>
      </w:r>
      <w:r w:rsidR="00BB30D0">
        <w:t>consultation</w:t>
      </w:r>
      <w:r>
        <w:t xml:space="preserve"> is provided in an OBPR Guidance Note.</w:t>
      </w:r>
      <w:r>
        <w:rPr>
          <w:rStyle w:val="FootnoteReference"/>
        </w:rPr>
        <w:footnoteReference w:id="20"/>
      </w:r>
    </w:p>
    <w:p w:rsidR="00612FD3" w:rsidRDefault="00612FD3" w:rsidP="00612FD3">
      <w:pPr>
        <w:pStyle w:val="BodyText"/>
      </w:pPr>
      <w:r>
        <w:lastRenderedPageBreak/>
        <w:t>Consistent with best practice requirements, there has been extensive stakeholder consultation in the development of the proposed changes to the NCC (see above) and in the preparation of the Decision RIS.</w:t>
      </w:r>
    </w:p>
    <w:p w:rsidR="00612FD3" w:rsidRDefault="00612FD3" w:rsidP="00612FD3">
      <w:pPr>
        <w:pStyle w:val="BodyText"/>
      </w:pPr>
      <w:r>
        <w:t>In September and October 2017 (prior to the release of the Consultation RIS), the CIE undertook a preliminary stakeholder consultation program. Stakeholders consulted included representatives from:</w:t>
      </w:r>
    </w:p>
    <w:p w:rsidR="00612FD3" w:rsidRDefault="00612FD3" w:rsidP="00612FD3">
      <w:pPr>
        <w:pStyle w:val="ListBullet"/>
        <w:numPr>
          <w:ilvl w:val="0"/>
          <w:numId w:val="36"/>
        </w:numPr>
      </w:pPr>
      <w:r>
        <w:t>the (then) Australian Government Department of the Environment and Energy</w:t>
      </w:r>
    </w:p>
    <w:p w:rsidR="00612FD3" w:rsidRDefault="00612FD3" w:rsidP="00612FD3">
      <w:pPr>
        <w:pStyle w:val="ListBullet"/>
        <w:numPr>
          <w:ilvl w:val="0"/>
          <w:numId w:val="36"/>
        </w:numPr>
      </w:pPr>
      <w:r>
        <w:t>representatives on the National Energy Productivity Plan Secretariat from NSW, South Australia and the ACT</w:t>
      </w:r>
    </w:p>
    <w:p w:rsidR="00612FD3" w:rsidRDefault="00612FD3" w:rsidP="00612FD3">
      <w:pPr>
        <w:pStyle w:val="ListBullet"/>
        <w:numPr>
          <w:ilvl w:val="0"/>
          <w:numId w:val="36"/>
        </w:numPr>
      </w:pPr>
      <w:r>
        <w:t>the Australian Sustainable Built Environment Council</w:t>
      </w:r>
    </w:p>
    <w:p w:rsidR="00612FD3" w:rsidRDefault="00612FD3" w:rsidP="00612FD3">
      <w:pPr>
        <w:pStyle w:val="ListBullet"/>
        <w:numPr>
          <w:ilvl w:val="0"/>
          <w:numId w:val="36"/>
        </w:numPr>
      </w:pPr>
      <w:r>
        <w:t>the NABERS Scheme operator (the NSW Office of Environment and Heritage)</w:t>
      </w:r>
    </w:p>
    <w:p w:rsidR="00612FD3" w:rsidRDefault="00612FD3" w:rsidP="00612FD3">
      <w:pPr>
        <w:pStyle w:val="ListBullet"/>
        <w:numPr>
          <w:ilvl w:val="0"/>
          <w:numId w:val="36"/>
        </w:numPr>
      </w:pPr>
      <w:r>
        <w:t>the Green Building Council of Australia</w:t>
      </w:r>
    </w:p>
    <w:p w:rsidR="00612FD3" w:rsidRDefault="00612FD3" w:rsidP="00612FD3">
      <w:pPr>
        <w:pStyle w:val="ListBullet"/>
        <w:numPr>
          <w:ilvl w:val="0"/>
          <w:numId w:val="36"/>
        </w:numPr>
      </w:pPr>
      <w:r>
        <w:t>the Property Council of Australia</w:t>
      </w:r>
    </w:p>
    <w:p w:rsidR="00612FD3" w:rsidRDefault="00612FD3" w:rsidP="00612FD3">
      <w:pPr>
        <w:pStyle w:val="ListBullet"/>
        <w:numPr>
          <w:ilvl w:val="0"/>
          <w:numId w:val="36"/>
        </w:numPr>
      </w:pPr>
      <w:r>
        <w:t>the Australian Institute of Architects</w:t>
      </w:r>
    </w:p>
    <w:p w:rsidR="00612FD3" w:rsidRDefault="00612FD3" w:rsidP="00612FD3">
      <w:pPr>
        <w:pStyle w:val="ListBullet"/>
        <w:numPr>
          <w:ilvl w:val="0"/>
          <w:numId w:val="36"/>
        </w:numPr>
      </w:pPr>
      <w:r>
        <w:t>the Australian Institute of Building Surveyors</w:t>
      </w:r>
    </w:p>
    <w:p w:rsidR="00612FD3" w:rsidRDefault="00612FD3" w:rsidP="00612FD3">
      <w:pPr>
        <w:pStyle w:val="ListBullet"/>
        <w:numPr>
          <w:ilvl w:val="0"/>
          <w:numId w:val="36"/>
        </w:numPr>
      </w:pPr>
      <w:r>
        <w:t>the Association of Accredited Certifiers</w:t>
      </w:r>
    </w:p>
    <w:p w:rsidR="00612FD3" w:rsidRDefault="00612FD3" w:rsidP="00612FD3">
      <w:pPr>
        <w:pStyle w:val="ListBullet"/>
        <w:numPr>
          <w:ilvl w:val="0"/>
          <w:numId w:val="36"/>
        </w:numPr>
      </w:pPr>
      <w:r>
        <w:t>the Lighting Council of Australia</w:t>
      </w:r>
    </w:p>
    <w:p w:rsidR="00612FD3" w:rsidRDefault="00612FD3" w:rsidP="00612FD3">
      <w:pPr>
        <w:pStyle w:val="ListBullet"/>
        <w:numPr>
          <w:ilvl w:val="0"/>
          <w:numId w:val="36"/>
        </w:numPr>
      </w:pPr>
      <w:r>
        <w:t>the Building Products Innovation Council (and the Australian Window Association)</w:t>
      </w:r>
    </w:p>
    <w:p w:rsidR="00612FD3" w:rsidRDefault="00612FD3" w:rsidP="00612FD3">
      <w:pPr>
        <w:pStyle w:val="ListBullet"/>
        <w:numPr>
          <w:ilvl w:val="0"/>
          <w:numId w:val="36"/>
        </w:numPr>
      </w:pPr>
      <w:r>
        <w:t>the Australian Institute of Refrigeration, Air-Conditioning and Heating</w:t>
      </w:r>
    </w:p>
    <w:p w:rsidR="00612FD3" w:rsidRDefault="00612FD3" w:rsidP="00612FD3">
      <w:pPr>
        <w:pStyle w:val="ListBullet"/>
        <w:numPr>
          <w:ilvl w:val="0"/>
          <w:numId w:val="36"/>
        </w:numPr>
      </w:pPr>
      <w:r>
        <w:t>the Gas Appliance Manufacturers Association of Australia.</w:t>
      </w:r>
    </w:p>
    <w:p w:rsidR="00612FD3" w:rsidRDefault="00612FD3" w:rsidP="00612FD3">
      <w:pPr>
        <w:pStyle w:val="BodyText"/>
      </w:pPr>
      <w:r>
        <w:t>In addition, we contacted representatives from Facilities Management Australia, Engineers Australia, the Australian Industry Group and the Australasian Fire and Emergency Service Authorities Council, but were unable to arrange meetings.</w:t>
      </w:r>
    </w:p>
    <w:p w:rsidR="00612FD3" w:rsidRDefault="00612FD3" w:rsidP="00612FD3">
      <w:pPr>
        <w:pStyle w:val="BodyText"/>
      </w:pPr>
      <w:r>
        <w:t xml:space="preserve">The Consultation RIS was open for public </w:t>
      </w:r>
      <w:r w:rsidRPr="007827BF">
        <w:t xml:space="preserve">comment from </w:t>
      </w:r>
      <w:r w:rsidR="007827BF" w:rsidRPr="007827BF">
        <w:t>12</w:t>
      </w:r>
      <w:r w:rsidRPr="00E372D7">
        <w:t xml:space="preserve"> March 2018</w:t>
      </w:r>
      <w:r>
        <w:t xml:space="preserve"> to 20 April 2018. There were 23 written submissions received from:</w:t>
      </w:r>
    </w:p>
    <w:p w:rsidR="00612FD3" w:rsidRDefault="00612FD3" w:rsidP="00612FD3">
      <w:pPr>
        <w:pStyle w:val="ListBullet"/>
        <w:numPr>
          <w:ilvl w:val="0"/>
          <w:numId w:val="36"/>
        </w:numPr>
      </w:pPr>
      <w:r>
        <w:t>JMG Consulting and Building Approval</w:t>
      </w:r>
    </w:p>
    <w:p w:rsidR="00612FD3" w:rsidRDefault="00612FD3" w:rsidP="00612FD3">
      <w:pPr>
        <w:pStyle w:val="ListBullet"/>
        <w:numPr>
          <w:ilvl w:val="0"/>
          <w:numId w:val="36"/>
        </w:numPr>
      </w:pPr>
      <w:r>
        <w:t>Frank Acitelli (Builder)</w:t>
      </w:r>
    </w:p>
    <w:p w:rsidR="00612FD3" w:rsidRDefault="00612FD3" w:rsidP="00612FD3">
      <w:pPr>
        <w:pStyle w:val="ListBullet"/>
        <w:numPr>
          <w:ilvl w:val="0"/>
          <w:numId w:val="36"/>
        </w:numPr>
      </w:pPr>
      <w:r>
        <w:t>Benmax Group Pty Ltd</w:t>
      </w:r>
    </w:p>
    <w:p w:rsidR="00612FD3" w:rsidRDefault="00612FD3" w:rsidP="00612FD3">
      <w:pPr>
        <w:pStyle w:val="ListBullet"/>
        <w:numPr>
          <w:ilvl w:val="0"/>
          <w:numId w:val="36"/>
        </w:numPr>
      </w:pPr>
      <w:r>
        <w:t>Real Project Solutions</w:t>
      </w:r>
    </w:p>
    <w:p w:rsidR="00612FD3" w:rsidRDefault="00612FD3" w:rsidP="00612FD3">
      <w:pPr>
        <w:pStyle w:val="ListBullet"/>
        <w:numPr>
          <w:ilvl w:val="0"/>
          <w:numId w:val="36"/>
        </w:numPr>
      </w:pPr>
      <w:r>
        <w:t>the Australian Sustainable Built Environment Council and ClimateWorks</w:t>
      </w:r>
    </w:p>
    <w:p w:rsidR="00612FD3" w:rsidRDefault="00612FD3" w:rsidP="00612FD3">
      <w:pPr>
        <w:pStyle w:val="ListBullet"/>
        <w:numPr>
          <w:ilvl w:val="0"/>
          <w:numId w:val="36"/>
        </w:numPr>
      </w:pPr>
      <w:r>
        <w:t>Bondor Group</w:t>
      </w:r>
    </w:p>
    <w:p w:rsidR="00612FD3" w:rsidRDefault="00612FD3" w:rsidP="00612FD3">
      <w:pPr>
        <w:pStyle w:val="ListBullet"/>
        <w:numPr>
          <w:ilvl w:val="0"/>
          <w:numId w:val="36"/>
        </w:numPr>
      </w:pPr>
      <w:r>
        <w:t>City of Parramatta Council</w:t>
      </w:r>
    </w:p>
    <w:p w:rsidR="00612FD3" w:rsidRDefault="00612FD3" w:rsidP="00612FD3">
      <w:pPr>
        <w:pStyle w:val="ListBullet"/>
        <w:numPr>
          <w:ilvl w:val="0"/>
          <w:numId w:val="36"/>
        </w:numPr>
      </w:pPr>
      <w:r>
        <w:t>Rheem Australia Pty Ltd</w:t>
      </w:r>
    </w:p>
    <w:p w:rsidR="00612FD3" w:rsidRDefault="00612FD3" w:rsidP="00612FD3">
      <w:pPr>
        <w:pStyle w:val="ListBullet"/>
        <w:numPr>
          <w:ilvl w:val="0"/>
          <w:numId w:val="36"/>
        </w:numPr>
      </w:pPr>
      <w:r>
        <w:t>BlueScope</w:t>
      </w:r>
    </w:p>
    <w:p w:rsidR="00612FD3" w:rsidRDefault="00612FD3" w:rsidP="00612FD3">
      <w:pPr>
        <w:pStyle w:val="ListBullet"/>
        <w:numPr>
          <w:ilvl w:val="0"/>
          <w:numId w:val="36"/>
        </w:numPr>
      </w:pPr>
      <w:r>
        <w:t>G</w:t>
      </w:r>
      <w:r w:rsidR="00B80EE4">
        <w:t>.</w:t>
      </w:r>
      <w:r>
        <w:t xml:space="preserve"> James Glass and Aluminium</w:t>
      </w:r>
    </w:p>
    <w:p w:rsidR="00612FD3" w:rsidRDefault="00612FD3" w:rsidP="00612FD3">
      <w:pPr>
        <w:pStyle w:val="ListBullet"/>
        <w:numPr>
          <w:ilvl w:val="0"/>
          <w:numId w:val="36"/>
        </w:numPr>
      </w:pPr>
      <w:r>
        <w:t>Sustainability House</w:t>
      </w:r>
    </w:p>
    <w:p w:rsidR="00612FD3" w:rsidRDefault="00612FD3" w:rsidP="00612FD3">
      <w:pPr>
        <w:pStyle w:val="ListBullet"/>
        <w:numPr>
          <w:ilvl w:val="0"/>
          <w:numId w:val="36"/>
        </w:numPr>
      </w:pPr>
      <w:r>
        <w:t>National Association of Steel</w:t>
      </w:r>
      <w:r>
        <w:noBreakHyphen/>
        <w:t>Framed Housing Inc.</w:t>
      </w:r>
    </w:p>
    <w:p w:rsidR="00612FD3" w:rsidRDefault="00612FD3" w:rsidP="00612FD3">
      <w:pPr>
        <w:pStyle w:val="ListBullet"/>
        <w:numPr>
          <w:ilvl w:val="0"/>
          <w:numId w:val="36"/>
        </w:numPr>
      </w:pPr>
      <w:r>
        <w:t>Unions NSW</w:t>
      </w:r>
    </w:p>
    <w:p w:rsidR="00612FD3" w:rsidRDefault="00612FD3" w:rsidP="00612FD3">
      <w:pPr>
        <w:pStyle w:val="ListBullet"/>
        <w:numPr>
          <w:ilvl w:val="0"/>
          <w:numId w:val="36"/>
        </w:numPr>
      </w:pPr>
      <w:r>
        <w:lastRenderedPageBreak/>
        <w:t>the Property Council of Australia</w:t>
      </w:r>
    </w:p>
    <w:p w:rsidR="00612FD3" w:rsidRDefault="00612FD3" w:rsidP="00612FD3">
      <w:pPr>
        <w:pStyle w:val="ListBullet"/>
        <w:numPr>
          <w:ilvl w:val="0"/>
          <w:numId w:val="36"/>
        </w:numPr>
      </w:pPr>
      <w:r>
        <w:t>Think Brick Australia, Concrete Masonry Association of Australia and Australian Roof Tile Association</w:t>
      </w:r>
    </w:p>
    <w:p w:rsidR="00612FD3" w:rsidRDefault="00612FD3" w:rsidP="00612FD3">
      <w:pPr>
        <w:pStyle w:val="ListBullet"/>
        <w:numPr>
          <w:ilvl w:val="0"/>
          <w:numId w:val="36"/>
        </w:numPr>
      </w:pPr>
      <w:r>
        <w:t>the Green Building Council of Australia</w:t>
      </w:r>
    </w:p>
    <w:p w:rsidR="00612FD3" w:rsidRDefault="00612FD3" w:rsidP="00612FD3">
      <w:pPr>
        <w:pStyle w:val="ListBullet"/>
        <w:numPr>
          <w:ilvl w:val="0"/>
          <w:numId w:val="36"/>
        </w:numPr>
      </w:pPr>
      <w:r>
        <w:t>the Australian Small Business and Family Enterprise Ombudsman</w:t>
      </w:r>
    </w:p>
    <w:p w:rsidR="00612FD3" w:rsidRDefault="00612FD3" w:rsidP="00612FD3">
      <w:pPr>
        <w:pStyle w:val="ListBullet"/>
        <w:numPr>
          <w:ilvl w:val="0"/>
          <w:numId w:val="36"/>
        </w:numPr>
      </w:pPr>
      <w:r>
        <w:t>Anderson Energy Efficiency</w:t>
      </w:r>
    </w:p>
    <w:p w:rsidR="00612FD3" w:rsidRDefault="00612FD3" w:rsidP="00612FD3">
      <w:pPr>
        <w:pStyle w:val="ListBullet"/>
        <w:numPr>
          <w:ilvl w:val="0"/>
          <w:numId w:val="36"/>
        </w:numPr>
      </w:pPr>
      <w:r>
        <w:t>the Housing Industry Association</w:t>
      </w:r>
    </w:p>
    <w:p w:rsidR="00612FD3" w:rsidRDefault="00612FD3" w:rsidP="00612FD3">
      <w:pPr>
        <w:pStyle w:val="ListBullet"/>
        <w:numPr>
          <w:ilvl w:val="0"/>
          <w:numId w:val="36"/>
        </w:numPr>
      </w:pPr>
      <w:r>
        <w:t>the NSW Department of Planning and Environment</w:t>
      </w:r>
    </w:p>
    <w:p w:rsidR="00612FD3" w:rsidRDefault="00612FD3" w:rsidP="00612FD3">
      <w:pPr>
        <w:pStyle w:val="ListBullet"/>
        <w:numPr>
          <w:ilvl w:val="0"/>
          <w:numId w:val="36"/>
        </w:numPr>
      </w:pPr>
      <w:r>
        <w:t>Master Builders Australia</w:t>
      </w:r>
    </w:p>
    <w:p w:rsidR="00612FD3" w:rsidRDefault="00612FD3" w:rsidP="00612FD3">
      <w:pPr>
        <w:pStyle w:val="ListBullet"/>
        <w:numPr>
          <w:ilvl w:val="0"/>
          <w:numId w:val="36"/>
        </w:numPr>
      </w:pPr>
      <w:r>
        <w:t>Environment Victoria</w:t>
      </w:r>
    </w:p>
    <w:p w:rsidR="00612FD3" w:rsidRDefault="00612FD3" w:rsidP="00612FD3">
      <w:pPr>
        <w:pStyle w:val="ListBullet"/>
        <w:numPr>
          <w:ilvl w:val="0"/>
          <w:numId w:val="36"/>
        </w:numPr>
      </w:pPr>
      <w:r>
        <w:t>the Australian Government Department of the Environment and Energy (which provided additional information on window-to-wall ratios across different building types).</w:t>
      </w:r>
    </w:p>
    <w:p w:rsidR="00612FD3" w:rsidRDefault="00612FD3" w:rsidP="00612FD3">
      <w:pPr>
        <w:pStyle w:val="BodyText"/>
      </w:pPr>
      <w:r>
        <w:t>The key issues raised in submissions are addressed throughout the report</w:t>
      </w:r>
      <w:r w:rsidR="00B80EE4">
        <w:t xml:space="preserve"> and summarised in Appendix </w:t>
      </w:r>
      <w:r w:rsidR="00B80EE4">
        <w:fldChar w:fldCharType="begin"/>
      </w:r>
      <w:r w:rsidR="00B80EE4">
        <w:instrText xml:space="preserve"> REF _Ref525915431 \n \h </w:instrText>
      </w:r>
      <w:r w:rsidR="00B80EE4">
        <w:fldChar w:fldCharType="separate"/>
      </w:r>
      <w:r w:rsidR="006B79B8">
        <w:t>C</w:t>
      </w:r>
      <w:r w:rsidR="00B80EE4">
        <w:fldChar w:fldCharType="end"/>
      </w:r>
      <w:r>
        <w:t>.</w:t>
      </w:r>
    </w:p>
    <w:p w:rsidR="00612FD3" w:rsidRDefault="00612FD3" w:rsidP="00612FD3">
      <w:pPr>
        <w:pStyle w:val="Heading3"/>
        <w:numPr>
          <w:ilvl w:val="2"/>
          <w:numId w:val="5"/>
        </w:numPr>
      </w:pPr>
      <w:r>
        <w:t>Report structure</w:t>
      </w:r>
    </w:p>
    <w:p w:rsidR="00612FD3" w:rsidRDefault="00612FD3" w:rsidP="00612FD3">
      <w:pPr>
        <w:pStyle w:val="BodyText"/>
      </w:pPr>
      <w:r>
        <w:t>The remainder of this report is structured as follows:</w:t>
      </w:r>
    </w:p>
    <w:p w:rsidR="00612FD3" w:rsidRDefault="00612FD3" w:rsidP="00612FD3">
      <w:pPr>
        <w:pStyle w:val="ListBullet"/>
        <w:numPr>
          <w:ilvl w:val="0"/>
          <w:numId w:val="36"/>
        </w:numPr>
      </w:pPr>
      <w:r>
        <w:t>Chapter 2 sets the nature and extent of the problem the proposed changes are seeking to address</w:t>
      </w:r>
    </w:p>
    <w:p w:rsidR="00612FD3" w:rsidRDefault="00612FD3" w:rsidP="00612FD3">
      <w:pPr>
        <w:pStyle w:val="ListBullet"/>
        <w:numPr>
          <w:ilvl w:val="0"/>
          <w:numId w:val="36"/>
        </w:numPr>
      </w:pPr>
      <w:r>
        <w:t>Chapter 3 specifies the objectives and the options</w:t>
      </w:r>
    </w:p>
    <w:p w:rsidR="00612FD3" w:rsidRDefault="00612FD3" w:rsidP="00612FD3">
      <w:pPr>
        <w:pStyle w:val="ListBullet"/>
        <w:numPr>
          <w:ilvl w:val="0"/>
          <w:numId w:val="36"/>
        </w:numPr>
      </w:pPr>
      <w:r>
        <w:t>Chapter 4 sets out the general approach to the cost-benefit analysis</w:t>
      </w:r>
    </w:p>
    <w:p w:rsidR="00612FD3" w:rsidRDefault="00612FD3" w:rsidP="00612FD3">
      <w:pPr>
        <w:pStyle w:val="ListBullet"/>
        <w:numPr>
          <w:ilvl w:val="0"/>
          <w:numId w:val="36"/>
        </w:numPr>
      </w:pPr>
      <w:r>
        <w:t>Chapter 5 estimates changes to construction costs as a result of the proposed changes to the NCC</w:t>
      </w:r>
    </w:p>
    <w:p w:rsidR="00612FD3" w:rsidRDefault="00612FD3" w:rsidP="00612FD3">
      <w:pPr>
        <w:pStyle w:val="ListBullet"/>
        <w:numPr>
          <w:ilvl w:val="0"/>
          <w:numId w:val="36"/>
        </w:numPr>
      </w:pPr>
      <w:r>
        <w:t>Chapter 6 estimates the energy savings achieved through the proposed changes to the NCC</w:t>
      </w:r>
    </w:p>
    <w:p w:rsidR="00612FD3" w:rsidRDefault="00612FD3" w:rsidP="00612FD3">
      <w:pPr>
        <w:pStyle w:val="ListBullet"/>
        <w:numPr>
          <w:ilvl w:val="0"/>
          <w:numId w:val="36"/>
        </w:numPr>
      </w:pPr>
      <w:r>
        <w:t>Chapter 7 discusses other potential impacts of changes to the NCC</w:t>
      </w:r>
    </w:p>
    <w:p w:rsidR="00612FD3" w:rsidRDefault="00612FD3" w:rsidP="00612FD3">
      <w:pPr>
        <w:pStyle w:val="ListBullet"/>
        <w:numPr>
          <w:ilvl w:val="0"/>
          <w:numId w:val="36"/>
        </w:numPr>
      </w:pPr>
      <w:r>
        <w:t>Chapter 8 conducts cost benefit analysis (CBA) of the proposed options</w:t>
      </w:r>
    </w:p>
    <w:p w:rsidR="001F6F0E" w:rsidRDefault="00612FD3" w:rsidP="005E2796">
      <w:pPr>
        <w:pStyle w:val="ListBullet"/>
        <w:numPr>
          <w:ilvl w:val="0"/>
          <w:numId w:val="36"/>
        </w:numPr>
      </w:pPr>
      <w:r>
        <w:t xml:space="preserve">Chapter 9 </w:t>
      </w:r>
      <w:r w:rsidR="001F6F0E">
        <w:t>discusses implementation and review arrangements</w:t>
      </w:r>
    </w:p>
    <w:p w:rsidR="00612FD3" w:rsidRDefault="001F6F0E" w:rsidP="005E2796">
      <w:pPr>
        <w:pStyle w:val="ListBullet"/>
        <w:numPr>
          <w:ilvl w:val="0"/>
          <w:numId w:val="36"/>
        </w:numPr>
      </w:pPr>
      <w:r>
        <w:t xml:space="preserve">Chapter 10 </w:t>
      </w:r>
      <w:r w:rsidR="00612FD3">
        <w:t>concludes.</w:t>
      </w:r>
    </w:p>
    <w:p w:rsidR="00612FD3" w:rsidRDefault="00612FD3" w:rsidP="00612FD3">
      <w:pPr>
        <w:pStyle w:val="BodyText"/>
        <w:rPr>
          <w:lang w:bidi="fa-IR"/>
        </w:rPr>
      </w:pPr>
    </w:p>
    <w:p w:rsidR="00612FD3" w:rsidRDefault="00612FD3" w:rsidP="00612FD3">
      <w:pPr>
        <w:pStyle w:val="Heading1"/>
        <w:numPr>
          <w:ilvl w:val="0"/>
          <w:numId w:val="5"/>
        </w:numPr>
      </w:pPr>
      <w:bookmarkStart w:id="186" w:name="_Toc499847002"/>
      <w:bookmarkStart w:id="187" w:name="_Toc505120597"/>
      <w:bookmarkStart w:id="188" w:name="_Toc507523754"/>
      <w:bookmarkStart w:id="189" w:name="_Toc509220781"/>
      <w:bookmarkStart w:id="190" w:name="_Toc529869830"/>
      <w:bookmarkStart w:id="191" w:name="_Toc530748547"/>
      <w:r>
        <w:lastRenderedPageBreak/>
        <w:t>Statement of the problem</w:t>
      </w:r>
      <w:bookmarkEnd w:id="186"/>
      <w:bookmarkEnd w:id="187"/>
      <w:bookmarkEnd w:id="188"/>
      <w:bookmarkEnd w:id="189"/>
      <w:bookmarkEnd w:id="190"/>
      <w:bookmarkEnd w:id="191"/>
    </w:p>
    <w:p w:rsidR="00612FD3" w:rsidRDefault="00612FD3" w:rsidP="00612FD3">
      <w:pPr>
        <w:pStyle w:val="BodyText"/>
      </w:pPr>
      <w:r>
        <w:t>A key element of a RIS is defining the problem that Government is trying to address, including the nature and extent (potential size) of the problem.</w:t>
      </w:r>
    </w:p>
    <w:p w:rsidR="00612FD3" w:rsidRDefault="00612FD3" w:rsidP="00612FD3">
      <w:pPr>
        <w:pStyle w:val="Heading2"/>
        <w:numPr>
          <w:ilvl w:val="1"/>
          <w:numId w:val="5"/>
        </w:numPr>
      </w:pPr>
      <w:bookmarkStart w:id="192" w:name="_Toc509220782"/>
      <w:bookmarkStart w:id="193" w:name="_Toc529869831"/>
      <w:bookmarkStart w:id="194" w:name="_Toc530748548"/>
      <w:r>
        <w:t>The rationale for minimum energy efficiency standards for commercial buildings</w:t>
      </w:r>
      <w:bookmarkEnd w:id="192"/>
      <w:bookmarkEnd w:id="193"/>
      <w:bookmarkEnd w:id="194"/>
    </w:p>
    <w:p w:rsidR="00612FD3" w:rsidRDefault="00612FD3" w:rsidP="00612FD3">
      <w:pPr>
        <w:pStyle w:val="BodyText"/>
      </w:pPr>
      <w:r>
        <w:t>The rationale for minimum energy efficiency standards is based on the proposition that industry would not make socially optimal energy efficiency decisions in commercial buildings without government intervention. That is, there are energy efficiency opportunities where the benefits to the community (including public benefits) outweigh the associated costs that would not be taken up in the absence of regulation. This is often referred to as the ‘energy efficiency gap’.</w:t>
      </w:r>
    </w:p>
    <w:p w:rsidR="00612FD3" w:rsidRDefault="00612FD3" w:rsidP="00612FD3">
      <w:pPr>
        <w:pStyle w:val="Heading3"/>
        <w:numPr>
          <w:ilvl w:val="2"/>
          <w:numId w:val="5"/>
        </w:numPr>
      </w:pPr>
      <w:r>
        <w:t>Market failures and behavioural anomalies</w:t>
      </w:r>
    </w:p>
    <w:p w:rsidR="00612FD3" w:rsidRDefault="00612FD3" w:rsidP="00612FD3">
      <w:pPr>
        <w:pStyle w:val="BodyText"/>
      </w:pPr>
      <w:r>
        <w:t>One view is that the energy efficiency gap is caused mainly by a range of market failures and behavioural anomalies.</w:t>
      </w:r>
    </w:p>
    <w:p w:rsidR="00612FD3" w:rsidRPr="003015C9" w:rsidRDefault="00612FD3" w:rsidP="00612FD3">
      <w:pPr>
        <w:pStyle w:val="Heading4"/>
        <w:numPr>
          <w:ilvl w:val="3"/>
          <w:numId w:val="5"/>
        </w:numPr>
      </w:pPr>
      <w:r>
        <w:t>Market failures relating to energy pricing</w:t>
      </w:r>
    </w:p>
    <w:p w:rsidR="00612FD3" w:rsidRDefault="00612FD3" w:rsidP="00612FD3">
      <w:pPr>
        <w:pStyle w:val="BodyText"/>
      </w:pPr>
      <w:r>
        <w:t>A key market failure is that the cost of consuming energy is not fully reflected in energy prices. There are unpriced negative externalities associated with energy consumption, which means that energy users do not take these costs into account in their decisions on whether to invest in energy efficiency. Various studies have identified these externalities as including:</w:t>
      </w:r>
    </w:p>
    <w:p w:rsidR="00612FD3" w:rsidRDefault="00612FD3" w:rsidP="00612FD3">
      <w:pPr>
        <w:pStyle w:val="ListBullet"/>
        <w:numPr>
          <w:ilvl w:val="0"/>
          <w:numId w:val="36"/>
        </w:numPr>
      </w:pPr>
      <w:r>
        <w:t>greenhouse gas emissions — as greenhouse gas emissions contribute to climate change, the costs are borne by the whole (global) community (see box </w:t>
      </w:r>
      <w:r>
        <w:rPr>
          <w:noProof/>
        </w:rPr>
        <w:fldChar w:fldCharType="begin"/>
      </w:r>
      <w:r>
        <w:rPr>
          <w:noProof/>
        </w:rPr>
        <w:instrText xml:space="preserve"> REF _Caption5719 </w:instrText>
      </w:r>
      <w:r>
        <w:rPr>
          <w:noProof/>
        </w:rPr>
        <w:fldChar w:fldCharType="separate"/>
      </w:r>
      <w:r w:rsidR="006B79B8">
        <w:rPr>
          <w:noProof/>
        </w:rPr>
        <w:t>2</w:t>
      </w:r>
      <w:r w:rsidR="006B79B8" w:rsidRPr="00E05C8C">
        <w:rPr>
          <w:noProof/>
        </w:rPr>
        <w:t>.</w:t>
      </w:r>
      <w:r w:rsidR="006B79B8">
        <w:rPr>
          <w:noProof/>
        </w:rPr>
        <w:t>1</w:t>
      </w:r>
      <w:r>
        <w:rPr>
          <w:noProof/>
        </w:rPr>
        <w:fldChar w:fldCharType="end"/>
      </w:r>
      <w:r>
        <w:t xml:space="preserve"> for a discussion on the global context); and</w:t>
      </w:r>
    </w:p>
    <w:p w:rsidR="00612FD3" w:rsidRDefault="00612FD3" w:rsidP="00612FD3">
      <w:pPr>
        <w:pStyle w:val="ListBullet"/>
        <w:numPr>
          <w:ilvl w:val="0"/>
          <w:numId w:val="36"/>
        </w:numPr>
      </w:pPr>
      <w:r>
        <w:t>externalities associated with peak demand — network capacity and therefore infrastructure costs are driven by peak demand; however, costs relating to peak demand may not be fully reflected in energy prices.</w:t>
      </w:r>
    </w:p>
    <w:p w:rsidR="00612FD3" w:rsidRDefault="00612FD3" w:rsidP="00612FD3">
      <w:pPr>
        <w:pStyle w:val="Invisiblepara"/>
      </w:pPr>
    </w:p>
    <w:tbl>
      <w:tblPr>
        <w:tblW w:w="7938" w:type="dxa"/>
        <w:tblBorders>
          <w:top w:val="single" w:sz="2" w:space="0" w:color="auto"/>
          <w:left w:val="single" w:sz="2" w:space="0" w:color="auto"/>
          <w:bottom w:val="single" w:sz="2" w:space="0" w:color="auto"/>
          <w:right w:val="single" w:sz="2" w:space="0" w:color="auto"/>
        </w:tblBorders>
        <w:tblLayout w:type="fixed"/>
        <w:tblCellMar>
          <w:left w:w="142" w:type="dxa"/>
          <w:right w:w="142" w:type="dxa"/>
        </w:tblCellMar>
        <w:tblLook w:val="0000" w:firstRow="0" w:lastRow="0" w:firstColumn="0" w:lastColumn="0" w:noHBand="0" w:noVBand="0"/>
        <w:tblCaption w:val="Table 2.1: Global Context"/>
        <w:tblDescription w:val="This table explains that greenhouse gas batement is both non-excludeable and non-rival meaning there is little inncentive for each country to individually reduce greehouse gas emissions. It is likened to a global public good. "/>
      </w:tblPr>
      <w:tblGrid>
        <w:gridCol w:w="7938"/>
      </w:tblGrid>
      <w:tr w:rsidR="00612FD3" w:rsidRPr="00E05C8C" w:rsidTr="00301B6D">
        <w:trPr>
          <w:cantSplit/>
        </w:trPr>
        <w:tc>
          <w:tcPr>
            <w:tcW w:w="7938" w:type="dxa"/>
            <w:tcBorders>
              <w:top w:val="nil"/>
              <w:left w:val="nil"/>
              <w:bottom w:val="nil"/>
              <w:right w:val="nil"/>
            </w:tcBorders>
            <w:shd w:val="clear" w:color="auto" w:fill="C6BFAB" w:themeFill="accent3"/>
          </w:tcPr>
          <w:bookmarkStart w:id="195" w:name="_Toc529869895"/>
          <w:p w:rsidR="00612FD3" w:rsidRPr="00E05C8C" w:rsidRDefault="00612FD3" w:rsidP="00612FD3">
            <w:pPr>
              <w:pStyle w:val="Caption"/>
              <w:numPr>
                <w:ilvl w:val="0"/>
                <w:numId w:val="19"/>
              </w:numPr>
              <w:spacing w:before="120" w:after="100"/>
            </w:pPr>
            <w:r w:rsidRPr="00E05C8C">
              <w:fldChar w:fldCharType="begin"/>
            </w:r>
            <w:bookmarkEnd w:id="195"/>
            <w:r w:rsidRPr="00E05C8C">
              <w:instrText xml:space="preserve"> IF 1 = 1 "</w:instrText>
            </w:r>
            <w:r w:rsidRPr="00E05C8C">
              <w:fldChar w:fldCharType="begin"/>
            </w:r>
            <w:r w:rsidRPr="00E05C8C">
              <w:instrText xml:space="preserve"> IF </w:instrText>
            </w:r>
            <w:r>
              <w:rPr>
                <w:noProof/>
              </w:rPr>
              <w:fldChar w:fldCharType="begin"/>
            </w:r>
            <w:r>
              <w:rPr>
                <w:noProof/>
              </w:rPr>
              <w:instrText xml:space="preserve"> STYLEREF "Heading 6" \l \n </w:instrText>
            </w:r>
            <w:r>
              <w:rPr>
                <w:noProof/>
              </w:rPr>
              <w:fldChar w:fldCharType="separate"/>
            </w:r>
            <w:r w:rsidR="006B79B8">
              <w:rPr>
                <w:noProof/>
              </w:rPr>
              <w:instrText>0</w:instrText>
            </w:r>
            <w:r>
              <w:rPr>
                <w:noProof/>
              </w:rPr>
              <w:fldChar w:fldCharType="end"/>
            </w:r>
            <w:r w:rsidRPr="00E05C8C">
              <w:instrText xml:space="preserve"> = 0 "</w:instrText>
            </w:r>
            <w:r w:rsidRPr="00E05C8C">
              <w:fldChar w:fldCharType="begin"/>
            </w:r>
            <w:r w:rsidRPr="00E05C8C">
              <w:instrText xml:space="preserve"> IF </w:instrText>
            </w:r>
            <w:r>
              <w:rPr>
                <w:noProof/>
              </w:rPr>
              <w:fldChar w:fldCharType="begin"/>
            </w:r>
            <w:r>
              <w:rPr>
                <w:noProof/>
              </w:rPr>
              <w:instrText xml:space="preserve"> STYLEREF "Heading 1" \l \n </w:instrText>
            </w:r>
            <w:r>
              <w:rPr>
                <w:noProof/>
              </w:rPr>
              <w:fldChar w:fldCharType="separate"/>
            </w:r>
            <w:r w:rsidR="006B79B8">
              <w:rPr>
                <w:noProof/>
              </w:rPr>
              <w:instrText>2</w:instrText>
            </w:r>
            <w:r>
              <w:rPr>
                <w:noProof/>
              </w:rPr>
              <w:fldChar w:fldCharType="end"/>
            </w:r>
            <w:r w:rsidRPr="00E05C8C">
              <w:instrText xml:space="preserve"> = 0 "" "</w:instrText>
            </w:r>
            <w:r>
              <w:rPr>
                <w:noProof/>
              </w:rPr>
              <w:fldChar w:fldCharType="begin"/>
            </w:r>
            <w:r>
              <w:rPr>
                <w:noProof/>
              </w:rPr>
              <w:instrText xml:space="preserve"> STYLEREF "Heading 1" \l \n </w:instrText>
            </w:r>
            <w:r>
              <w:rPr>
                <w:noProof/>
              </w:rPr>
              <w:fldChar w:fldCharType="separate"/>
            </w:r>
            <w:r w:rsidR="006B79B8">
              <w:rPr>
                <w:noProof/>
              </w:rPr>
              <w:instrText>2</w:instrText>
            </w:r>
            <w:r>
              <w:rPr>
                <w:noProof/>
              </w:rPr>
              <w:fldChar w:fldCharType="end"/>
            </w:r>
            <w:r w:rsidRPr="00E05C8C">
              <w:instrText xml:space="preserve">." </w:instrText>
            </w:r>
            <w:r w:rsidRPr="00E05C8C">
              <w:fldChar w:fldCharType="separate"/>
            </w:r>
            <w:r w:rsidR="006B79B8">
              <w:rPr>
                <w:noProof/>
              </w:rPr>
              <w:instrText>2</w:instrText>
            </w:r>
            <w:r w:rsidR="006B79B8" w:rsidRPr="00E05C8C">
              <w:rPr>
                <w:noProof/>
              </w:rPr>
              <w:instrText>.</w:instrText>
            </w:r>
            <w:r w:rsidRPr="00E05C8C">
              <w:fldChar w:fldCharType="end"/>
            </w:r>
            <w:r w:rsidRPr="00E05C8C">
              <w:instrText>" "</w:instrText>
            </w:r>
            <w:r w:rsidR="001F6F43">
              <w:fldChar w:fldCharType="begin"/>
            </w:r>
            <w:r w:rsidR="001F6F43">
              <w:instrText xml:space="preserve"> STYLEREF "Heading 6" \l \n </w:instrText>
            </w:r>
            <w:r w:rsidR="001F6F43">
              <w:fldChar w:fldCharType="separate"/>
            </w:r>
            <w:r w:rsidRPr="00E05C8C">
              <w:instrText>B</w:instrText>
            </w:r>
            <w:r w:rsidR="001F6F43">
              <w:fldChar w:fldCharType="end"/>
            </w:r>
            <w:r w:rsidRPr="00E05C8C">
              <w:instrText xml:space="preserve">." </w:instrText>
            </w:r>
            <w:r w:rsidRPr="00E05C8C">
              <w:fldChar w:fldCharType="separate"/>
            </w:r>
            <w:r w:rsidR="00EA42ED">
              <w:rPr>
                <w:noProof/>
              </w:rPr>
              <w:instrText>2</w:instrText>
            </w:r>
            <w:r w:rsidR="00EA42ED" w:rsidRPr="00E05C8C">
              <w:rPr>
                <w:noProof/>
              </w:rPr>
              <w:instrText>.</w:instrText>
            </w:r>
            <w:r w:rsidRPr="00E05C8C">
              <w:fldChar w:fldCharType="end"/>
            </w:r>
            <w:r w:rsidRPr="00E05C8C">
              <w:fldChar w:fldCharType="begin"/>
            </w:r>
            <w:r w:rsidRPr="00E05C8C">
              <w:instrText xml:space="preserve"> SEQ Item \* ARABIC \s </w:instrText>
            </w:r>
            <w:r w:rsidRPr="00E05C8C">
              <w:fldChar w:fldCharType="begin"/>
            </w:r>
            <w:r w:rsidRPr="00E05C8C">
              <w:instrText xml:space="preserve"> IF </w:instrText>
            </w:r>
            <w:r>
              <w:rPr>
                <w:noProof/>
              </w:rPr>
              <w:fldChar w:fldCharType="begin"/>
            </w:r>
            <w:r>
              <w:rPr>
                <w:noProof/>
              </w:rPr>
              <w:instrText xml:space="preserve"> STYLEREF "Heading 6" \l \n </w:instrText>
            </w:r>
            <w:r>
              <w:rPr>
                <w:noProof/>
              </w:rPr>
              <w:fldChar w:fldCharType="separate"/>
            </w:r>
            <w:r w:rsidR="006B79B8">
              <w:rPr>
                <w:noProof/>
              </w:rPr>
              <w:instrText>0</w:instrText>
            </w:r>
            <w:r>
              <w:rPr>
                <w:noProof/>
              </w:rPr>
              <w:fldChar w:fldCharType="end"/>
            </w:r>
            <w:r w:rsidRPr="00E05C8C">
              <w:instrText xml:space="preserve"> = 0 "</w:instrText>
            </w:r>
            <w:r w:rsidRPr="00E05C8C">
              <w:fldChar w:fldCharType="begin"/>
            </w:r>
            <w:r w:rsidRPr="00E05C8C">
              <w:instrText xml:space="preserve"> IF </w:instrText>
            </w:r>
            <w:r>
              <w:rPr>
                <w:noProof/>
              </w:rPr>
              <w:fldChar w:fldCharType="begin"/>
            </w:r>
            <w:r>
              <w:rPr>
                <w:noProof/>
              </w:rPr>
              <w:instrText xml:space="preserve"> STYLEREF "Heading 1" \l \n </w:instrText>
            </w:r>
            <w:r>
              <w:rPr>
                <w:noProof/>
              </w:rPr>
              <w:fldChar w:fldCharType="separate"/>
            </w:r>
            <w:r w:rsidR="006B79B8">
              <w:rPr>
                <w:noProof/>
              </w:rPr>
              <w:instrText>2</w:instrText>
            </w:r>
            <w:r>
              <w:rPr>
                <w:noProof/>
              </w:rPr>
              <w:fldChar w:fldCharType="end"/>
            </w:r>
            <w:r w:rsidRPr="00E05C8C">
              <w:instrText xml:space="preserve"> = 0 "" "1" </w:instrText>
            </w:r>
            <w:r w:rsidRPr="00E05C8C">
              <w:fldChar w:fldCharType="separate"/>
            </w:r>
            <w:r w:rsidR="00EA42ED" w:rsidRPr="00E05C8C">
              <w:rPr>
                <w:noProof/>
              </w:rPr>
              <w:instrText>1</w:instrText>
            </w:r>
            <w:r w:rsidRPr="00E05C8C">
              <w:fldChar w:fldCharType="end"/>
            </w:r>
            <w:r w:rsidRPr="00E05C8C">
              <w:instrText xml:space="preserve">" "6" </w:instrText>
            </w:r>
            <w:r w:rsidRPr="00E05C8C">
              <w:fldChar w:fldCharType="separate"/>
            </w:r>
            <w:r w:rsidR="00EA42ED" w:rsidRPr="00E05C8C">
              <w:rPr>
                <w:noProof/>
              </w:rPr>
              <w:instrText>1</w:instrText>
            </w:r>
            <w:r w:rsidRPr="00E05C8C">
              <w:fldChar w:fldCharType="end"/>
            </w:r>
            <w:r w:rsidRPr="00E05C8C">
              <w:instrText xml:space="preserve"> </w:instrText>
            </w:r>
            <w:r w:rsidRPr="00E05C8C">
              <w:fldChar w:fldCharType="separate"/>
            </w:r>
            <w:r w:rsidR="006B79B8">
              <w:rPr>
                <w:noProof/>
              </w:rPr>
              <w:instrText>1</w:instrText>
            </w:r>
            <w:r w:rsidRPr="00E05C8C">
              <w:fldChar w:fldCharType="end"/>
            </w:r>
            <w:r w:rsidRPr="00E05C8C">
              <w:instrText xml:space="preserve">" "" </w:instrText>
            </w:r>
            <w:r w:rsidRPr="00E05C8C">
              <w:fldChar w:fldCharType="separate"/>
            </w:r>
            <w:bookmarkStart w:id="196" w:name="_Caption4312"/>
            <w:bookmarkStart w:id="197" w:name="_Caption9377"/>
            <w:bookmarkStart w:id="198" w:name="_Caption6875"/>
            <w:bookmarkStart w:id="199" w:name="_Caption3630"/>
            <w:bookmarkStart w:id="200" w:name="_Caption9254"/>
            <w:bookmarkStart w:id="201" w:name="_Caption1222"/>
            <w:bookmarkStart w:id="202" w:name="_Caption1041"/>
            <w:bookmarkStart w:id="203" w:name="_Caption6946"/>
            <w:bookmarkStart w:id="204" w:name="_Caption0411"/>
            <w:bookmarkStart w:id="205" w:name="_Caption6844"/>
            <w:bookmarkStart w:id="206" w:name="_Caption1446"/>
            <w:bookmarkStart w:id="207" w:name="_Caption4079"/>
            <w:bookmarkStart w:id="208" w:name="_Caption7659"/>
            <w:bookmarkStart w:id="209" w:name="_Caption6114"/>
            <w:bookmarkStart w:id="210" w:name="_Caption9346"/>
            <w:bookmarkStart w:id="211" w:name="_Caption4716"/>
            <w:bookmarkStart w:id="212" w:name="_Caption3731"/>
            <w:bookmarkStart w:id="213" w:name="_Caption0721"/>
            <w:bookmarkStart w:id="214" w:name="_Caption5443"/>
            <w:bookmarkStart w:id="215" w:name="_Caption9532"/>
            <w:bookmarkStart w:id="216" w:name="_Caption0925"/>
            <w:bookmarkStart w:id="217" w:name="_Caption8570"/>
            <w:bookmarkStart w:id="218" w:name="_Caption4387"/>
            <w:bookmarkStart w:id="219" w:name="_Caption7504"/>
            <w:bookmarkStart w:id="220" w:name="_Caption3595"/>
            <w:bookmarkStart w:id="221" w:name="_Caption3383"/>
            <w:bookmarkStart w:id="222" w:name="_Caption9869"/>
            <w:bookmarkStart w:id="223" w:name="_Caption3635"/>
            <w:bookmarkStart w:id="224" w:name="_Caption2784"/>
            <w:bookmarkStart w:id="225" w:name="_Caption0684"/>
            <w:bookmarkStart w:id="226" w:name="_Caption1844"/>
            <w:bookmarkStart w:id="227" w:name="_Caption6814"/>
            <w:bookmarkStart w:id="228" w:name="_Caption8447"/>
            <w:bookmarkStart w:id="229" w:name="_Caption0272"/>
            <w:bookmarkStart w:id="230" w:name="_Caption2147"/>
            <w:bookmarkStart w:id="231" w:name="_Caption6731"/>
            <w:bookmarkStart w:id="232" w:name="_Caption9408"/>
            <w:bookmarkStart w:id="233" w:name="_Caption8579"/>
            <w:bookmarkStart w:id="234" w:name="_Caption6813"/>
            <w:bookmarkStart w:id="235" w:name="_Caption3766"/>
            <w:bookmarkStart w:id="236" w:name="_Caption8639"/>
            <w:bookmarkStart w:id="237" w:name="_Caption6876"/>
            <w:bookmarkStart w:id="238" w:name="_Caption1882"/>
            <w:bookmarkStart w:id="239" w:name="_Caption7189"/>
            <w:bookmarkStart w:id="240" w:name="_Caption5915"/>
            <w:bookmarkStart w:id="241" w:name="_Caption1831"/>
            <w:bookmarkStart w:id="242" w:name="_Caption6804"/>
            <w:bookmarkStart w:id="243" w:name="_Caption2289"/>
            <w:bookmarkStart w:id="244" w:name="_Caption7118"/>
            <w:bookmarkStart w:id="245" w:name="_Caption1150"/>
            <w:bookmarkStart w:id="246" w:name="_Caption5143"/>
            <w:bookmarkStart w:id="247" w:name="_Caption5393"/>
            <w:bookmarkStart w:id="248" w:name="_Caption3420"/>
            <w:bookmarkStart w:id="249" w:name="_Caption0662"/>
            <w:bookmarkStart w:id="250" w:name="_Caption2361"/>
            <w:bookmarkStart w:id="251" w:name="_Caption8442"/>
            <w:bookmarkStart w:id="252" w:name="_Caption8754"/>
            <w:bookmarkStart w:id="253" w:name="_Caption7215"/>
            <w:bookmarkStart w:id="254" w:name="_Caption5719"/>
            <w:bookmarkStart w:id="255" w:name="_Caption5380"/>
            <w:bookmarkStart w:id="256" w:name="_Caption9843"/>
            <w:bookmarkStart w:id="257" w:name="_Caption1445"/>
            <w:bookmarkStart w:id="258" w:name="_Caption3177"/>
            <w:bookmarkStart w:id="259" w:name="_Caption0983"/>
            <w:bookmarkStart w:id="260" w:name="_Caption5305"/>
            <w:bookmarkStart w:id="261" w:name="_Caption1263"/>
            <w:bookmarkStart w:id="262" w:name="_Caption3737"/>
            <w:bookmarkStart w:id="263" w:name="_Caption6634"/>
            <w:bookmarkStart w:id="264" w:name="_Caption6183"/>
            <w:bookmarkStart w:id="265" w:name="_Caption0819"/>
            <w:bookmarkStart w:id="266" w:name="_Caption3144"/>
            <w:bookmarkStart w:id="267" w:name="_Caption2198"/>
            <w:bookmarkStart w:id="268" w:name="_Caption0244"/>
            <w:bookmarkStart w:id="269" w:name="_Caption3080"/>
            <w:bookmarkStart w:id="270" w:name="_Caption3055"/>
            <w:bookmarkStart w:id="271" w:name="_Caption8920"/>
            <w:bookmarkStart w:id="272" w:name="_Caption8785"/>
            <w:bookmarkStart w:id="273" w:name="_Caption4732"/>
            <w:bookmarkStart w:id="274" w:name="_Caption0014"/>
            <w:bookmarkStart w:id="275" w:name="_Caption7415"/>
            <w:bookmarkStart w:id="276" w:name="_Caption7747"/>
            <w:bookmarkStart w:id="277" w:name="_Caption9740"/>
            <w:bookmarkStart w:id="278" w:name="_Caption3118"/>
            <w:bookmarkStart w:id="279" w:name="_Caption5412"/>
            <w:bookmarkStart w:id="280" w:name="_Caption8990"/>
            <w:bookmarkStart w:id="281" w:name="_Caption8318"/>
            <w:bookmarkStart w:id="282" w:name="_Caption1064"/>
            <w:bookmarkStart w:id="283" w:name="_Caption5564"/>
            <w:bookmarkStart w:id="284" w:name="_Caption5526"/>
            <w:bookmarkStart w:id="285" w:name="_Caption0504"/>
            <w:bookmarkStart w:id="286" w:name="_Caption0314"/>
            <w:bookmarkStart w:id="287" w:name="_Caption0151"/>
            <w:bookmarkStart w:id="288" w:name="_Caption7078"/>
            <w:bookmarkStart w:id="289" w:name="_Caption7480"/>
            <w:bookmarkStart w:id="290" w:name="_Caption5175"/>
            <w:bookmarkStart w:id="291" w:name="_Caption5587"/>
            <w:bookmarkStart w:id="292" w:name="_Caption2705"/>
            <w:bookmarkStart w:id="293" w:name="_Caption5606"/>
            <w:bookmarkStart w:id="294" w:name="_Caption5557"/>
            <w:bookmarkStart w:id="295" w:name="_Caption3572"/>
            <w:bookmarkStart w:id="296" w:name="_Caption9628"/>
            <w:bookmarkStart w:id="297" w:name="_Caption2199"/>
            <w:bookmarkStart w:id="298" w:name="_Caption3235"/>
            <w:bookmarkStart w:id="299" w:name="_Caption2952"/>
            <w:bookmarkStart w:id="300" w:name="_Caption7373"/>
            <w:bookmarkStart w:id="301" w:name="_Caption4469"/>
            <w:bookmarkStart w:id="302" w:name="_Caption9563"/>
            <w:bookmarkStart w:id="303" w:name="_Caption9580"/>
            <w:bookmarkStart w:id="304" w:name="_Caption2377"/>
            <w:bookmarkStart w:id="305" w:name="_Caption5218"/>
            <w:bookmarkStart w:id="306" w:name="_Caption6327"/>
            <w:bookmarkStart w:id="307" w:name="_Caption2425"/>
            <w:bookmarkStart w:id="308" w:name="_Toc499847034"/>
            <w:bookmarkStart w:id="309" w:name="_Toc509220839"/>
            <w:bookmarkStart w:id="310" w:name="_Toc530748391"/>
            <w:r w:rsidR="00EA42ED">
              <w:rPr>
                <w:noProof/>
              </w:rPr>
              <w:t>2</w:t>
            </w:r>
            <w:r w:rsidR="00EA42ED" w:rsidRPr="00E05C8C">
              <w:rPr>
                <w:noProof/>
              </w:rPr>
              <w:t>.</w:t>
            </w:r>
            <w:r w:rsidR="00EA42ED">
              <w:rPr>
                <w:noProof/>
              </w:rPr>
              <w:t>1</w:t>
            </w:r>
            <w:bookmarkStart w:id="311" w:name="_Toc507523790"/>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r w:rsidRPr="00E05C8C">
              <w:fldChar w:fldCharType="end"/>
            </w:r>
            <w:r w:rsidRPr="00E05C8C">
              <w:tab/>
            </w:r>
            <w:r>
              <w:t>Global context</w:t>
            </w:r>
            <w:bookmarkEnd w:id="308"/>
            <w:bookmarkEnd w:id="309"/>
            <w:bookmarkEnd w:id="310"/>
            <w:bookmarkEnd w:id="311"/>
          </w:p>
        </w:tc>
      </w:tr>
      <w:tr w:rsidR="00612FD3" w:rsidTr="00301B6D">
        <w:tblPrEx>
          <w:tblBorders>
            <w:top w:val="none" w:sz="0" w:space="0" w:color="auto"/>
            <w:left w:val="none" w:sz="0" w:space="0" w:color="auto"/>
            <w:bottom w:val="none" w:sz="0" w:space="0" w:color="auto"/>
            <w:right w:val="none" w:sz="0" w:space="0" w:color="auto"/>
          </w:tblBorders>
          <w:shd w:val="clear" w:color="6F6652" w:fill="F1EFEA"/>
        </w:tblPrEx>
        <w:trPr>
          <w:cantSplit/>
        </w:trPr>
        <w:tc>
          <w:tcPr>
            <w:tcW w:w="7938" w:type="dxa"/>
            <w:shd w:val="clear" w:color="auto" w:fill="E9E8E5" w:themeFill="background2"/>
          </w:tcPr>
          <w:p w:rsidR="00612FD3" w:rsidRDefault="00612FD3" w:rsidP="00301B6D">
            <w:pPr>
              <w:pStyle w:val="BodyText"/>
            </w:pPr>
            <w:r>
              <w:t>Climate change caused by human activity is a global problem, requiring a global solution. Greenhouse gases in the atmosphere contribute to warming across the globe, regardless of where the emissions occur. In that sense, greenhouse gas abatement has the characteristics of a global public good. Specifically, greenhouse gas abatement is:</w:t>
            </w:r>
          </w:p>
          <w:p w:rsidR="00612FD3" w:rsidRDefault="00612FD3" w:rsidP="00612FD3">
            <w:pPr>
              <w:pStyle w:val="ListBullet"/>
              <w:numPr>
                <w:ilvl w:val="0"/>
                <w:numId w:val="36"/>
              </w:numPr>
            </w:pPr>
            <w:r>
              <w:t>non</w:t>
            </w:r>
            <w:r>
              <w:noBreakHyphen/>
              <w:t>excludable — individual countries cannot be excluded from receiving the benefits of limiting climate change; and</w:t>
            </w:r>
          </w:p>
          <w:p w:rsidR="00612FD3" w:rsidRDefault="00612FD3" w:rsidP="00612FD3">
            <w:pPr>
              <w:pStyle w:val="ListBullet"/>
              <w:numPr>
                <w:ilvl w:val="0"/>
                <w:numId w:val="36"/>
              </w:numPr>
            </w:pPr>
            <w:r>
              <w:t>non</w:t>
            </w:r>
            <w:r>
              <w:noBreakHyphen/>
              <w:t>rival — one country receiving benefits from limiting climate change does not prevent other countries from receiving the same benefits.</w:t>
            </w:r>
          </w:p>
          <w:p w:rsidR="00612FD3" w:rsidRDefault="00612FD3" w:rsidP="00301B6D">
            <w:pPr>
              <w:pStyle w:val="BodyText"/>
            </w:pPr>
            <w:r>
              <w:t>These characteristics mean that there is little incentive for each country individually to reduce greenhouse gas emissions to a level that will limit climate change. The costs associated with reducing greenhouse gas emissions are incurred domestically, while the benefits are spread across the globe. Each country therefore has an incentive to free</w:t>
            </w:r>
            <w:r>
              <w:noBreakHyphen/>
              <w:t>ride off the efforts of others.</w:t>
            </w:r>
          </w:p>
          <w:p w:rsidR="00612FD3" w:rsidRPr="00BF2F67" w:rsidRDefault="00612FD3" w:rsidP="00301B6D">
            <w:pPr>
              <w:pStyle w:val="BodyText"/>
            </w:pPr>
            <w:r>
              <w:t>International Agreements are therefore a crucial mechanism for achieving global action. The Paris Climate Agreement has been ratified by 168 of 197 Parties to the United Nations Framework Convention on Climate Change (UNFCCC).</w:t>
            </w:r>
            <w:r>
              <w:rPr>
                <w:rStyle w:val="FootnoteReference"/>
              </w:rPr>
              <w:footnoteReference w:id="21"/>
            </w:r>
            <w:r>
              <w:t xml:space="preserve"> It aims to limit global warming to less than 2 degrees Celsius and pursue efforts to limit the rise to 1.5 degrees Celsius.</w:t>
            </w:r>
          </w:p>
        </w:tc>
      </w:tr>
      <w:tr w:rsidR="00612FD3" w:rsidTr="00301B6D">
        <w:tblPrEx>
          <w:tblBorders>
            <w:top w:val="none" w:sz="0" w:space="0" w:color="auto"/>
            <w:left w:val="none" w:sz="0" w:space="0" w:color="auto"/>
            <w:bottom w:val="none" w:sz="0" w:space="0" w:color="auto"/>
            <w:right w:val="none" w:sz="0" w:space="0" w:color="auto"/>
          </w:tblBorders>
          <w:shd w:val="clear" w:color="6F6652" w:fill="F1EFEA"/>
        </w:tblPrEx>
        <w:trPr>
          <w:cantSplit/>
          <w:trHeight w:hRule="exact" w:val="142"/>
        </w:trPr>
        <w:tc>
          <w:tcPr>
            <w:tcW w:w="7938" w:type="dxa"/>
            <w:tcBorders>
              <w:bottom w:val="single" w:sz="6" w:space="0" w:color="9B917E" w:themeColor="accent4"/>
            </w:tcBorders>
            <w:shd w:val="clear" w:color="auto" w:fill="E9E8E5" w:themeFill="background2"/>
          </w:tcPr>
          <w:p w:rsidR="00612FD3" w:rsidRDefault="00612FD3" w:rsidP="00301B6D"/>
        </w:tc>
      </w:tr>
      <w:tr w:rsidR="00612FD3" w:rsidTr="00301B6D">
        <w:tblPrEx>
          <w:tblBorders>
            <w:top w:val="none" w:sz="0" w:space="0" w:color="auto"/>
            <w:left w:val="none" w:sz="0" w:space="0" w:color="auto"/>
            <w:bottom w:val="none" w:sz="0" w:space="0" w:color="auto"/>
            <w:right w:val="none" w:sz="0" w:space="0" w:color="auto"/>
          </w:tblBorders>
          <w:shd w:val="clear" w:color="6F6652" w:fill="F1EFEA"/>
        </w:tblPrEx>
        <w:trPr>
          <w:cantSplit/>
          <w:trHeight w:hRule="exact" w:val="198"/>
        </w:trPr>
        <w:tc>
          <w:tcPr>
            <w:tcW w:w="7938" w:type="dxa"/>
            <w:tcBorders>
              <w:top w:val="single" w:sz="6" w:space="0" w:color="9B917E" w:themeColor="accent4"/>
            </w:tcBorders>
            <w:shd w:val="clear" w:color="6F6652" w:fill="auto"/>
          </w:tcPr>
          <w:p w:rsidR="00612FD3" w:rsidRDefault="00612FD3" w:rsidP="00301B6D"/>
        </w:tc>
      </w:tr>
    </w:tbl>
    <w:p w:rsidR="00612FD3" w:rsidRDefault="00612FD3" w:rsidP="00612FD3">
      <w:pPr>
        <w:pStyle w:val="Heading4"/>
        <w:numPr>
          <w:ilvl w:val="3"/>
          <w:numId w:val="5"/>
        </w:numPr>
      </w:pPr>
      <w:r>
        <w:t>Other market failures and behavioural anomalies</w:t>
      </w:r>
    </w:p>
    <w:p w:rsidR="00612FD3" w:rsidRDefault="00612FD3" w:rsidP="00612FD3">
      <w:pPr>
        <w:pStyle w:val="BodyText"/>
      </w:pPr>
      <w:r>
        <w:t>Notwithstanding the market failures associated with energy pricing, it is often argued that policy measures to improve energy efficiency deliver ‘win</w:t>
      </w:r>
      <w:r>
        <w:noBreakHyphen/>
        <w:t>win’ outcomes in the sense that they deliver reduced greenhouse gas emissions, as well as private benefits through bill savings that outweigh the associated capital costs.</w:t>
      </w:r>
      <w:r>
        <w:rPr>
          <w:rStyle w:val="FootnoteReference"/>
        </w:rPr>
        <w:footnoteReference w:id="22"/>
      </w:r>
      <w:r>
        <w:t xml:space="preserve"> This implies there are energy efficiency opportunities that are privately cost effective that nevertheless fail to be adopted. This is often referred as the ‘energy efficiency paradox’.</w:t>
      </w:r>
      <w:r>
        <w:rPr>
          <w:rStyle w:val="FootnoteReference"/>
        </w:rPr>
        <w:footnoteReference w:id="23"/>
      </w:r>
    </w:p>
    <w:p w:rsidR="00612FD3" w:rsidRDefault="00612FD3" w:rsidP="00612FD3">
      <w:pPr>
        <w:pStyle w:val="BodyText"/>
      </w:pPr>
      <w:r>
        <w:t xml:space="preserve">Frequently cited market </w:t>
      </w:r>
      <w:r w:rsidR="006F25AA">
        <w:t xml:space="preserve">failures </w:t>
      </w:r>
      <w:r>
        <w:t xml:space="preserve">and behavioural </w:t>
      </w:r>
      <w:r w:rsidR="006F25AA">
        <w:t>anomalies/</w:t>
      </w:r>
      <w:r>
        <w:t>failures that contribute to the energy efficiency paradox in relation to commercial buildings, include the following:</w:t>
      </w:r>
    </w:p>
    <w:p w:rsidR="00612FD3" w:rsidRDefault="00612FD3" w:rsidP="00612FD3">
      <w:pPr>
        <w:pStyle w:val="ListBullet"/>
        <w:numPr>
          <w:ilvl w:val="0"/>
          <w:numId w:val="36"/>
        </w:numPr>
      </w:pPr>
      <w:r>
        <w:t>Information failures, including:</w:t>
      </w:r>
    </w:p>
    <w:p w:rsidR="00612FD3" w:rsidRDefault="00612FD3" w:rsidP="00612FD3">
      <w:pPr>
        <w:pStyle w:val="ListBullet2"/>
        <w:numPr>
          <w:ilvl w:val="1"/>
          <w:numId w:val="36"/>
        </w:numPr>
      </w:pPr>
      <w:r>
        <w:t>a lack of information available to consumers/tenants;</w:t>
      </w:r>
    </w:p>
    <w:p w:rsidR="00612FD3" w:rsidRDefault="00612FD3" w:rsidP="00612FD3">
      <w:pPr>
        <w:pStyle w:val="ListBullet2"/>
        <w:numPr>
          <w:ilvl w:val="1"/>
          <w:numId w:val="36"/>
        </w:numPr>
      </w:pPr>
      <w:r>
        <w:t>information asymmetries where the seller/landlord may have information on the energy efficiency of a building, but the buyer/tenant does not</w:t>
      </w:r>
      <w:r w:rsidR="00E510B9">
        <w:t>.</w:t>
      </w:r>
    </w:p>
    <w:p w:rsidR="00612FD3" w:rsidRDefault="00612FD3" w:rsidP="00612FD3">
      <w:pPr>
        <w:pStyle w:val="ListBullet"/>
        <w:numPr>
          <w:ilvl w:val="0"/>
          <w:numId w:val="36"/>
        </w:numPr>
      </w:pPr>
      <w:r>
        <w:lastRenderedPageBreak/>
        <w:t>Split incentives/principal-agent problem — this arises where the party making energy efficiency investment decisions is not responsible for paying the energy bills and can arise where the incentives affecting the builders making decisions that affect future buyers are not aligned to end-occupant/end-owner.</w:t>
      </w:r>
    </w:p>
    <w:p w:rsidR="00612FD3" w:rsidRDefault="00612FD3" w:rsidP="00612FD3">
      <w:pPr>
        <w:pStyle w:val="ListBullet2"/>
        <w:numPr>
          <w:ilvl w:val="1"/>
          <w:numId w:val="36"/>
        </w:numPr>
      </w:pPr>
      <w:r>
        <w:t>This split incentive problem typically occurs between building owner or the landlord who bears the cost of any investment in energy efficiency and tenant who pays the energy bills.</w:t>
      </w:r>
    </w:p>
    <w:p w:rsidR="00612FD3" w:rsidRDefault="00612FD3" w:rsidP="00612FD3">
      <w:pPr>
        <w:pStyle w:val="ListBullet2"/>
        <w:numPr>
          <w:ilvl w:val="1"/>
          <w:numId w:val="36"/>
        </w:numPr>
      </w:pPr>
      <w:r>
        <w:t>Split incentives may also occur between a building contractor and its owner and occupier. A building contractor makes many energy-related decisions, and given these energy efficient alternatives usually increase the cost of construction, the contractor has incentives to avoid these measures, especially if the measures are not immediately obvious to the owner or prospective buyers.</w:t>
      </w:r>
    </w:p>
    <w:p w:rsidR="00612FD3" w:rsidRDefault="00612FD3" w:rsidP="00612FD3">
      <w:pPr>
        <w:pStyle w:val="ListBullet2"/>
        <w:numPr>
          <w:ilvl w:val="1"/>
          <w:numId w:val="36"/>
        </w:numPr>
      </w:pPr>
      <w:r>
        <w:t>Another type of split incentive could occur within large organisations, where separate parts of the organisation are responsible for capital budgets and paying energy bills.</w:t>
      </w:r>
    </w:p>
    <w:p w:rsidR="006F25AA" w:rsidRDefault="006F25AA" w:rsidP="006F25AA">
      <w:pPr>
        <w:pStyle w:val="ListBullet"/>
      </w:pPr>
      <w:r>
        <w:t>Behavioural anomalies/failures</w:t>
      </w:r>
      <w:r w:rsidR="0053055B">
        <w:t xml:space="preserve"> — some studies </w:t>
      </w:r>
      <w:r w:rsidR="00E510B9">
        <w:t>suggest that</w:t>
      </w:r>
      <w:r w:rsidR="0053055B">
        <w:t xml:space="preserve"> behavioural anomalies contribut</w:t>
      </w:r>
      <w:r w:rsidR="00E510B9">
        <w:t>e to under</w:t>
      </w:r>
      <w:r w:rsidR="00E510B9">
        <w:noBreakHyphen/>
        <w:t xml:space="preserve">investment in energy efficiency. Here the problem is not the availability of information, rather the </w:t>
      </w:r>
      <w:r w:rsidR="00A57430">
        <w:t xml:space="preserve">available </w:t>
      </w:r>
      <w:r w:rsidR="00E510B9">
        <w:t>information may not be acted on due to</w:t>
      </w:r>
      <w:r>
        <w:t>:</w:t>
      </w:r>
    </w:p>
    <w:p w:rsidR="004062FB" w:rsidRDefault="006F25AA" w:rsidP="006F25AA">
      <w:pPr>
        <w:pStyle w:val="ListBullet2"/>
        <w:numPr>
          <w:ilvl w:val="1"/>
          <w:numId w:val="36"/>
        </w:numPr>
      </w:pPr>
      <w:r>
        <w:t>misinformed consumers — this includes issues such as</w:t>
      </w:r>
      <w:r w:rsidR="004062FB">
        <w:t>:</w:t>
      </w:r>
    </w:p>
    <w:p w:rsidR="004062FB" w:rsidRDefault="006F25AA" w:rsidP="002B3C0A">
      <w:pPr>
        <w:pStyle w:val="ListBullet3"/>
      </w:pPr>
      <w:r>
        <w:t>inattention</w:t>
      </w:r>
      <w:r w:rsidR="004062FB">
        <w:t xml:space="preserve"> — some building owner/developer may fail to consider the benefits of future energy savings;</w:t>
      </w:r>
    </w:p>
    <w:p w:rsidR="004062FB" w:rsidRDefault="006F25AA" w:rsidP="002B3C0A">
      <w:pPr>
        <w:pStyle w:val="ListBullet3"/>
      </w:pPr>
      <w:r>
        <w:t>lack of sufficient expertise</w:t>
      </w:r>
      <w:r w:rsidR="004062FB">
        <w:t>;</w:t>
      </w:r>
      <w:r>
        <w:t xml:space="preserve"> and/or</w:t>
      </w:r>
    </w:p>
    <w:p w:rsidR="006F25AA" w:rsidRDefault="006F25AA" w:rsidP="002B3C0A">
      <w:pPr>
        <w:pStyle w:val="ListBullet3"/>
      </w:pPr>
      <w:r>
        <w:t>the salience of energy costs</w:t>
      </w:r>
      <w:r w:rsidR="004062FB">
        <w:t xml:space="preserve"> — for many businesses</w:t>
      </w:r>
      <w:r w:rsidR="0042768D">
        <w:t>,</w:t>
      </w:r>
      <w:r w:rsidR="004062FB">
        <w:t xml:space="preserve"> energy costs are a relatively small component of total costs and therefore may receive little consideration from owners/developers during the building design phase.</w:t>
      </w:r>
    </w:p>
    <w:p w:rsidR="006F25AA" w:rsidRDefault="006F25AA" w:rsidP="006F25AA">
      <w:pPr>
        <w:pStyle w:val="ListBullet2"/>
        <w:numPr>
          <w:ilvl w:val="1"/>
          <w:numId w:val="36"/>
        </w:numPr>
      </w:pPr>
      <w:r>
        <w:t>systematic behavioural biases — in the face of the sheer complexity of understanding energy efficiency options, some owners/developers may make sub</w:t>
      </w:r>
      <w:r>
        <w:noBreakHyphen/>
        <w:t>optimal decisions due to:</w:t>
      </w:r>
    </w:p>
    <w:p w:rsidR="006F25AA" w:rsidRDefault="006F25AA" w:rsidP="006F25AA">
      <w:pPr>
        <w:pStyle w:val="ListBullet3"/>
      </w:pPr>
      <w:r>
        <w:t xml:space="preserve">bounded rationality — </w:t>
      </w:r>
      <w:r w:rsidR="004062FB">
        <w:t xml:space="preserve">cognitive limitations may mean that owners/developers have </w:t>
      </w:r>
      <w:r>
        <w:t>difficult</w:t>
      </w:r>
      <w:r w:rsidR="0042768D">
        <w:t>y</w:t>
      </w:r>
      <w:r>
        <w:t xml:space="preserve"> </w:t>
      </w:r>
      <w:r w:rsidR="004062FB">
        <w:t xml:space="preserve">weighing up the energy saving benefits against cost and </w:t>
      </w:r>
      <w:r w:rsidR="0042768D">
        <w:t xml:space="preserve">other factors such as </w:t>
      </w:r>
      <w:r w:rsidR="004062FB">
        <w:t xml:space="preserve">design </w:t>
      </w:r>
      <w:r w:rsidR="0042768D">
        <w:t>attributes</w:t>
      </w:r>
      <w:r>
        <w:t>; and/or</w:t>
      </w:r>
    </w:p>
    <w:p w:rsidR="006F25AA" w:rsidRDefault="006F25AA" w:rsidP="002B3C0A">
      <w:pPr>
        <w:pStyle w:val="ListBullet3"/>
      </w:pPr>
      <w:r>
        <w:t>heuristic decision making — heuristics are mental short</w:t>
      </w:r>
      <w:r>
        <w:noBreakHyphen/>
      </w:r>
      <w:r w:rsidR="0042768D">
        <w:t>cuts, which some owners/developers may rely on to make decisions (example</w:t>
      </w:r>
      <w:r w:rsidR="00E510B9">
        <w:t>s</w:t>
      </w:r>
      <w:r w:rsidR="0042768D">
        <w:t xml:space="preserve"> include: repeating entrenched practices or building to the minimum standards specified in the NCC).</w:t>
      </w:r>
    </w:p>
    <w:p w:rsidR="00CB5FAA" w:rsidRDefault="00CB5FAA" w:rsidP="002B3C0A">
      <w:pPr>
        <w:pStyle w:val="BodyText"/>
      </w:pPr>
      <w:r>
        <w:t xml:space="preserve">The nature of these behavioural </w:t>
      </w:r>
      <w:r w:rsidR="00EB5964">
        <w:t>anomalies</w:t>
      </w:r>
      <w:r>
        <w:t xml:space="preserve">/failures suggests that is it not the availability of information, but the way to act on information is the key problem, which have profound implication for policy design. In the context of </w:t>
      </w:r>
      <w:r w:rsidR="00782B84">
        <w:t xml:space="preserve">the </w:t>
      </w:r>
      <w:r>
        <w:t>building code, a regulatory change to the minimum standards may be more effective to overcome heuristic decision making than a voluntary option which provides more information or improves information availability.</w:t>
      </w:r>
    </w:p>
    <w:p w:rsidR="00612FD3" w:rsidRDefault="00612FD3" w:rsidP="00612FD3">
      <w:pPr>
        <w:pStyle w:val="Heading4"/>
        <w:numPr>
          <w:ilvl w:val="3"/>
          <w:numId w:val="5"/>
        </w:numPr>
      </w:pPr>
      <w:r>
        <w:lastRenderedPageBreak/>
        <w:t>Other market barriers</w:t>
      </w:r>
    </w:p>
    <w:p w:rsidR="00612FD3" w:rsidRDefault="007827BF" w:rsidP="00612FD3">
      <w:pPr>
        <w:pStyle w:val="BodyText"/>
      </w:pPr>
      <w:r>
        <w:t>I</w:t>
      </w:r>
      <w:r w:rsidR="00612FD3">
        <w:t xml:space="preserve">ndustry stakeholders </w:t>
      </w:r>
      <w:r>
        <w:t xml:space="preserve">including </w:t>
      </w:r>
      <w:r>
        <w:rPr>
          <w:lang w:val="en-GB"/>
        </w:rPr>
        <w:t xml:space="preserve">Australian Sustainable Built Environment Council and </w:t>
      </w:r>
      <w:r w:rsidR="00487211">
        <w:rPr>
          <w:lang w:val="en-GB"/>
        </w:rPr>
        <w:t>Climate Works</w:t>
      </w:r>
      <w:r>
        <w:rPr>
          <w:lang w:val="en-GB"/>
        </w:rPr>
        <w:t>, Property Council of Australia and Green Building Council of Australia</w:t>
      </w:r>
      <w:r>
        <w:t xml:space="preserve"> </w:t>
      </w:r>
      <w:r w:rsidR="00612FD3">
        <w:t>provided co</w:t>
      </w:r>
      <w:r w:rsidR="00612FD3">
        <w:noBreakHyphen/>
        <w:t>ordinated submissions that pointed to some additional barriers to improved energy efficiency in commercial buildings. These submissions note that some energy efficiency technologies may not yet be commercially attractive (relative to less energy efficient alternatives) and offer a low return on investment (relative to alternative potential projects).</w:t>
      </w:r>
    </w:p>
    <w:p w:rsidR="00612FD3" w:rsidRDefault="00612FD3" w:rsidP="00612FD3">
      <w:pPr>
        <w:pStyle w:val="BodyText"/>
      </w:pPr>
      <w:r>
        <w:t>In making the case for government intervention it is useful to distinguish between ‘market failures’ and ‘market barriers’. Market barriers are any disincentives to the use or adoption of a good. This includes market failures and behavioural anomalies, as well as a variety of other disincentives.</w:t>
      </w:r>
      <w:r>
        <w:rPr>
          <w:rStyle w:val="FootnoteReference"/>
        </w:rPr>
        <w:footnoteReference w:id="24"/>
      </w:r>
    </w:p>
    <w:p w:rsidR="00612FD3" w:rsidRDefault="00612FD3" w:rsidP="00612FD3">
      <w:pPr>
        <w:pStyle w:val="BodyText"/>
      </w:pPr>
      <w:r>
        <w:t>Where businesses choose not to invest in technologies that are not commercially attractive (relative to less energy efficient alternatives) and offer a low return on investment (relative to alternative potential projects), this would reflect businesses making rational choice in their own interests. As such, they can be considered market barriers, but not market failures or behavioural anomalies. Only market barriers that are also market failures or behavioural anomalies provide a sound justification for government intervention.</w:t>
      </w:r>
      <w:r>
        <w:rPr>
          <w:rStyle w:val="FootnoteReference"/>
        </w:rPr>
        <w:footnoteReference w:id="25"/>
      </w:r>
    </w:p>
    <w:p w:rsidR="00612FD3" w:rsidRDefault="00612FD3" w:rsidP="00612FD3">
      <w:pPr>
        <w:pStyle w:val="Heading3"/>
        <w:numPr>
          <w:ilvl w:val="2"/>
          <w:numId w:val="5"/>
        </w:numPr>
      </w:pPr>
      <w:r>
        <w:t>Review of direct evidence on market failures</w:t>
      </w:r>
      <w:r w:rsidR="004E60D5">
        <w:t xml:space="preserve"> and behavioural anomalies</w:t>
      </w:r>
    </w:p>
    <w:p w:rsidR="00612FD3" w:rsidRDefault="00612FD3" w:rsidP="00612FD3">
      <w:pPr>
        <w:pStyle w:val="BodyText"/>
      </w:pPr>
      <w:r>
        <w:t>The co</w:t>
      </w:r>
      <w:r>
        <w:noBreakHyphen/>
        <w:t>ordinated submissions from several industry groups (ASBEC and ClimateWorks, Green Building Council of Australia and the Property Council of Australia) argued that the presence of market failures (as discussed above) are well</w:t>
      </w:r>
      <w:r>
        <w:noBreakHyphen/>
        <w:t>accepted both in Australia and internationally. These submissions contended that it is therefore unnecessary to re</w:t>
      </w:r>
      <w:r>
        <w:noBreakHyphen/>
        <w:t xml:space="preserve">establish the presence of these market failures </w:t>
      </w:r>
      <w:r w:rsidR="004E60D5">
        <w:t xml:space="preserve">or behavioural anomalies </w:t>
      </w:r>
      <w:r>
        <w:t>for each regulatory intervention.</w:t>
      </w:r>
    </w:p>
    <w:p w:rsidR="00612FD3" w:rsidRDefault="00612FD3" w:rsidP="00612FD3">
      <w:pPr>
        <w:pStyle w:val="BodyText"/>
      </w:pPr>
      <w:r>
        <w:t>However, the proposition that there are significant privately cost</w:t>
      </w:r>
      <w:r>
        <w:noBreakHyphen/>
        <w:t xml:space="preserve">effective energy efficiency opportunities that are not voluntarily adopted by the industry due to various market </w:t>
      </w:r>
      <w:r w:rsidR="003C16DB">
        <w:t xml:space="preserve">failures </w:t>
      </w:r>
      <w:r>
        <w:t>and</w:t>
      </w:r>
      <w:r w:rsidR="004E60D5">
        <w:t>/or</w:t>
      </w:r>
      <w:r>
        <w:t xml:space="preserve"> behavioural </w:t>
      </w:r>
      <w:r w:rsidR="003C16DB">
        <w:t xml:space="preserve">anomalies </w:t>
      </w:r>
      <w:r>
        <w:t xml:space="preserve">is contested in the international literature. Stakeholder views were also mixed. </w:t>
      </w:r>
      <w:r w:rsidR="004E60D5">
        <w:t>M</w:t>
      </w:r>
      <w:r>
        <w:t xml:space="preserve">ost stakeholders tended to agree that there were some market failures </w:t>
      </w:r>
      <w:r w:rsidR="0042768D">
        <w:t xml:space="preserve">or behavioural anomalies </w:t>
      </w:r>
      <w:r>
        <w:t>in relation to the energy efficiency of commercial buildings</w:t>
      </w:r>
      <w:r w:rsidR="004E60D5">
        <w:t>. However</w:t>
      </w:r>
      <w:r>
        <w:t xml:space="preserve">, </w:t>
      </w:r>
      <w:r w:rsidR="004E60D5">
        <w:t xml:space="preserve">others felt that the case for market failures in the commercial building sector had been poorly demonstrated (G. James Glass and Aluminium) or </w:t>
      </w:r>
      <w:r>
        <w:t>argued that in some cases, the choice of less energy efficient premises may be a rational choice</w:t>
      </w:r>
      <w:r w:rsidR="004E60D5">
        <w:t xml:space="preserve"> (Master Builders Australia)</w:t>
      </w:r>
      <w:r>
        <w:t>.</w:t>
      </w:r>
    </w:p>
    <w:p w:rsidR="00612FD3" w:rsidRDefault="00612FD3" w:rsidP="00612FD3">
      <w:pPr>
        <w:pStyle w:val="BodyText"/>
      </w:pPr>
      <w:r>
        <w:t>The extent to which the various market failures and behavioural anomalies affect choices can also vary significantly, including:</w:t>
      </w:r>
    </w:p>
    <w:p w:rsidR="00612FD3" w:rsidRDefault="00612FD3" w:rsidP="00612FD3">
      <w:pPr>
        <w:pStyle w:val="ListBullet"/>
        <w:numPr>
          <w:ilvl w:val="0"/>
          <w:numId w:val="36"/>
        </w:numPr>
      </w:pPr>
      <w:r>
        <w:lastRenderedPageBreak/>
        <w:t>across different building types, due to existing policy and market mechanisms that apply to some buildings but not others, as well as other characteristics of specific markets and sub</w:t>
      </w:r>
      <w:r>
        <w:noBreakHyphen/>
        <w:t>markets; and</w:t>
      </w:r>
    </w:p>
    <w:p w:rsidR="00612FD3" w:rsidRDefault="00612FD3" w:rsidP="00612FD3">
      <w:pPr>
        <w:pStyle w:val="ListBullet"/>
        <w:numPr>
          <w:ilvl w:val="0"/>
          <w:numId w:val="36"/>
        </w:numPr>
      </w:pPr>
      <w:r>
        <w:t>over time due to market developments and policy changes.</w:t>
      </w:r>
    </w:p>
    <w:p w:rsidR="00612FD3" w:rsidRDefault="00612FD3" w:rsidP="00612FD3">
      <w:pPr>
        <w:pStyle w:val="BodyText"/>
      </w:pPr>
      <w:r>
        <w:t xml:space="preserve">It is therefore important to review the </w:t>
      </w:r>
      <w:r w:rsidRPr="00942BE3">
        <w:rPr>
          <w:b/>
        </w:rPr>
        <w:t>direct</w:t>
      </w:r>
      <w:r>
        <w:t xml:space="preserve"> evidence on the presence of these market and behavioural failures, consistent with the approach taken by Gerarden </w:t>
      </w:r>
      <w:r w:rsidRPr="005433AC">
        <w:rPr>
          <w:i/>
        </w:rPr>
        <w:t>et. al.</w:t>
      </w:r>
      <w:r>
        <w:t xml:space="preserve"> (2015), in their exploration of the causes of the energy efficiency gap. Based on a review of the relevant evidence and existing mechanisms designed to address them, the market failures and behavioural anomalies that apply to each building type are summarised in table 2.2, with a more detailed summary of the evidence provided in appendix A.</w:t>
      </w:r>
    </w:p>
    <w:bookmarkStart w:id="312" w:name="_Toc505120632"/>
    <w:p w:rsidR="00612FD3" w:rsidRDefault="00612FD3" w:rsidP="00612FD3">
      <w:pPr>
        <w:pStyle w:val="Caption"/>
      </w:pPr>
      <w:r w:rsidRPr="00695C93">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sidR="00B833F1">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sidR="00B833F1">
        <w:rPr>
          <w:noProof/>
        </w:rPr>
        <w:instrText>2</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sidR="00B833F1">
        <w:rPr>
          <w:noProof/>
        </w:rPr>
        <w:instrText>2</w:instrText>
      </w:r>
      <w:r>
        <w:rPr>
          <w:noProof/>
        </w:rPr>
        <w:fldChar w:fldCharType="end"/>
      </w:r>
      <w:r w:rsidRPr="00695C93">
        <w:instrText xml:space="preserve">." </w:instrText>
      </w:r>
      <w:r w:rsidRPr="00695C93">
        <w:fldChar w:fldCharType="separate"/>
      </w:r>
      <w:r w:rsidR="00B833F1">
        <w:rPr>
          <w:noProof/>
        </w:rPr>
        <w:instrText>2</w:instrText>
      </w:r>
      <w:r w:rsidR="00B833F1" w:rsidRPr="00695C93">
        <w:rPr>
          <w:noProof/>
        </w:rPr>
        <w:instrText>.</w:instrText>
      </w:r>
      <w:r w:rsidRPr="00695C93">
        <w:fldChar w:fldCharType="end"/>
      </w:r>
      <w:r w:rsidRPr="00695C93">
        <w:instrText>" "</w:instrText>
      </w:r>
      <w:r w:rsidR="001F6F43">
        <w:fldChar w:fldCharType="begin"/>
      </w:r>
      <w:r w:rsidR="001F6F43">
        <w:instrText xml:space="preserve"> STYLEREF "Heading 6" \l \n </w:instrText>
      </w:r>
      <w:r w:rsidR="001F6F43">
        <w:fldChar w:fldCharType="separate"/>
      </w:r>
      <w:r w:rsidRPr="00695C93">
        <w:instrText>B</w:instrText>
      </w:r>
      <w:r w:rsidR="001F6F43">
        <w:fldChar w:fldCharType="end"/>
      </w:r>
      <w:r w:rsidRPr="00695C93">
        <w:instrText xml:space="preserve">." </w:instrText>
      </w:r>
      <w:r w:rsidRPr="00695C93">
        <w:fldChar w:fldCharType="separate"/>
      </w:r>
      <w:r w:rsidR="00EA42ED">
        <w:rPr>
          <w:noProof/>
        </w:rPr>
        <w:instrText>2</w:instrText>
      </w:r>
      <w:r w:rsidR="00EA42ED"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sidR="00B833F1">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sidR="00B833F1">
        <w:rPr>
          <w:noProof/>
        </w:rPr>
        <w:instrText>2</w:instrText>
      </w:r>
      <w:r>
        <w:rPr>
          <w:noProof/>
        </w:rPr>
        <w:fldChar w:fldCharType="end"/>
      </w:r>
      <w:r w:rsidRPr="00695C93">
        <w:instrText xml:space="preserve"> = 0 "" "1" </w:instrText>
      </w:r>
      <w:r w:rsidRPr="00695C93">
        <w:fldChar w:fldCharType="separate"/>
      </w:r>
      <w:r w:rsidR="00EA42ED" w:rsidRPr="00695C93">
        <w:rPr>
          <w:noProof/>
        </w:rPr>
        <w:instrText>1</w:instrText>
      </w:r>
      <w:r w:rsidRPr="00695C93">
        <w:fldChar w:fldCharType="end"/>
      </w:r>
      <w:r w:rsidRPr="00695C93">
        <w:instrText xml:space="preserve">" "6" </w:instrText>
      </w:r>
      <w:r w:rsidRPr="00695C93">
        <w:fldChar w:fldCharType="separate"/>
      </w:r>
      <w:r w:rsidR="00EA42ED" w:rsidRPr="00695C93">
        <w:rPr>
          <w:noProof/>
        </w:rPr>
        <w:instrText>1</w:instrText>
      </w:r>
      <w:r w:rsidRPr="00695C93">
        <w:fldChar w:fldCharType="end"/>
      </w:r>
      <w:r w:rsidRPr="00695C93">
        <w:instrText xml:space="preserve"> </w:instrText>
      </w:r>
      <w:r w:rsidRPr="00695C93">
        <w:fldChar w:fldCharType="separate"/>
      </w:r>
      <w:r w:rsidR="00B833F1">
        <w:rPr>
          <w:noProof/>
        </w:rPr>
        <w:instrText>2</w:instrText>
      </w:r>
      <w:r w:rsidRPr="00695C93">
        <w:fldChar w:fldCharType="end"/>
      </w:r>
      <w:r w:rsidRPr="00695C93">
        <w:instrText xml:space="preserve">" "" </w:instrText>
      </w:r>
      <w:r w:rsidRPr="00695C93">
        <w:fldChar w:fldCharType="separate"/>
      </w:r>
      <w:bookmarkStart w:id="313" w:name="_Caption7837"/>
      <w:bookmarkStart w:id="314" w:name="_Caption3606"/>
      <w:bookmarkStart w:id="315" w:name="_Caption0135"/>
      <w:bookmarkStart w:id="316" w:name="_Caption5821"/>
      <w:bookmarkStart w:id="317" w:name="_Caption5158"/>
      <w:bookmarkStart w:id="318" w:name="_Caption6121"/>
      <w:bookmarkStart w:id="319" w:name="_Caption5435"/>
      <w:bookmarkStart w:id="320" w:name="_Caption0725"/>
      <w:bookmarkStart w:id="321" w:name="_Caption0610"/>
      <w:bookmarkStart w:id="322" w:name="_Caption0966"/>
      <w:bookmarkStart w:id="323" w:name="_Caption9936"/>
      <w:bookmarkStart w:id="324" w:name="_Caption5667"/>
      <w:bookmarkStart w:id="325" w:name="_Caption3427"/>
      <w:bookmarkStart w:id="326" w:name="_Caption0519"/>
      <w:bookmarkStart w:id="327" w:name="_Caption0227"/>
      <w:bookmarkStart w:id="328" w:name="_Caption7098"/>
      <w:bookmarkStart w:id="329" w:name="_Caption8375"/>
      <w:bookmarkStart w:id="330" w:name="_Caption3310"/>
      <w:bookmarkStart w:id="331" w:name="_Caption4777"/>
      <w:bookmarkStart w:id="332" w:name="_Caption7197"/>
      <w:bookmarkStart w:id="333" w:name="_Caption7961"/>
      <w:bookmarkStart w:id="334" w:name="_Caption8117"/>
      <w:bookmarkStart w:id="335" w:name="_Caption8501"/>
      <w:bookmarkStart w:id="336" w:name="_Caption9413"/>
      <w:bookmarkStart w:id="337" w:name="_Caption4810"/>
      <w:bookmarkStart w:id="338" w:name="_Caption2823"/>
      <w:bookmarkStart w:id="339" w:name="_Caption0484"/>
      <w:bookmarkStart w:id="340" w:name="_Caption3904"/>
      <w:bookmarkStart w:id="341" w:name="_Caption6991"/>
      <w:bookmarkStart w:id="342" w:name="_Caption7093"/>
      <w:bookmarkStart w:id="343" w:name="_Caption6478"/>
      <w:bookmarkStart w:id="344" w:name="_Caption9820"/>
      <w:bookmarkStart w:id="345" w:name="_Caption7791"/>
      <w:bookmarkStart w:id="346" w:name="_Caption4376"/>
      <w:bookmarkStart w:id="347" w:name="_Caption0548"/>
      <w:bookmarkStart w:id="348" w:name="_Caption1900"/>
      <w:bookmarkStart w:id="349" w:name="_Caption8268"/>
      <w:bookmarkStart w:id="350" w:name="_Caption8783"/>
      <w:bookmarkStart w:id="351" w:name="_Caption9207"/>
      <w:bookmarkStart w:id="352" w:name="_Caption2579"/>
      <w:bookmarkStart w:id="353" w:name="_Caption1183"/>
      <w:bookmarkStart w:id="354" w:name="_Caption1733"/>
      <w:bookmarkStart w:id="355" w:name="_Caption8594"/>
      <w:bookmarkStart w:id="356" w:name="_Caption2039"/>
      <w:bookmarkStart w:id="357" w:name="_Caption2431"/>
      <w:bookmarkStart w:id="358" w:name="_Caption8400"/>
      <w:bookmarkStart w:id="359" w:name="_Caption0047"/>
      <w:bookmarkStart w:id="360" w:name="_Caption9077"/>
      <w:bookmarkStart w:id="361" w:name="_Caption1872"/>
      <w:bookmarkStart w:id="362" w:name="_Caption9243"/>
      <w:bookmarkStart w:id="363" w:name="_Caption6459"/>
      <w:bookmarkStart w:id="364" w:name="_Caption3556"/>
      <w:bookmarkStart w:id="365" w:name="_Caption8382"/>
      <w:bookmarkStart w:id="366" w:name="_Caption4753"/>
      <w:bookmarkStart w:id="367" w:name="_Caption7773"/>
      <w:bookmarkStart w:id="368" w:name="_Caption1883"/>
      <w:bookmarkStart w:id="369" w:name="_Caption9889"/>
      <w:bookmarkStart w:id="370" w:name="_Caption6981"/>
      <w:bookmarkStart w:id="371" w:name="_Caption7642"/>
      <w:bookmarkStart w:id="372" w:name="_Caption1363"/>
      <w:bookmarkStart w:id="373" w:name="_Caption0892"/>
      <w:bookmarkStart w:id="374" w:name="_Caption8468"/>
      <w:bookmarkStart w:id="375" w:name="_Caption3625"/>
      <w:bookmarkStart w:id="376" w:name="_Caption3969"/>
      <w:bookmarkStart w:id="377" w:name="_Caption8806"/>
      <w:bookmarkStart w:id="378" w:name="_Caption9443"/>
      <w:bookmarkStart w:id="379" w:name="_Caption5797"/>
      <w:bookmarkStart w:id="380" w:name="_Caption0044"/>
      <w:bookmarkStart w:id="381" w:name="_Caption2396"/>
      <w:bookmarkStart w:id="382" w:name="_Caption0709"/>
      <w:bookmarkStart w:id="383" w:name="_Caption1798"/>
      <w:bookmarkStart w:id="384" w:name="_Caption9030"/>
      <w:bookmarkStart w:id="385" w:name="_Caption4348"/>
      <w:bookmarkStart w:id="386" w:name="_Caption7081"/>
      <w:bookmarkStart w:id="387" w:name="_Caption8032"/>
      <w:bookmarkStart w:id="388" w:name="_Caption9323"/>
      <w:bookmarkStart w:id="389" w:name="_Caption3939"/>
      <w:bookmarkStart w:id="390" w:name="_Caption1279"/>
      <w:bookmarkStart w:id="391" w:name="_Caption9208"/>
      <w:bookmarkStart w:id="392" w:name="_Caption8296"/>
      <w:bookmarkStart w:id="393" w:name="_Caption9178"/>
      <w:bookmarkStart w:id="394" w:name="_Caption5447"/>
      <w:bookmarkStart w:id="395" w:name="_Caption0091"/>
      <w:bookmarkStart w:id="396" w:name="_Caption3355"/>
      <w:bookmarkStart w:id="397" w:name="_Caption6793"/>
      <w:bookmarkStart w:id="398" w:name="_Caption8850"/>
      <w:bookmarkStart w:id="399" w:name="_Caption3537"/>
      <w:bookmarkStart w:id="400" w:name="_Caption5015"/>
      <w:bookmarkStart w:id="401" w:name="_Caption0577"/>
      <w:bookmarkStart w:id="402" w:name="_Caption7174"/>
      <w:bookmarkStart w:id="403" w:name="_Caption4887"/>
      <w:bookmarkStart w:id="404" w:name="_Caption9487"/>
      <w:bookmarkStart w:id="405" w:name="_Caption0259"/>
      <w:bookmarkStart w:id="406" w:name="_Caption5131"/>
      <w:bookmarkStart w:id="407" w:name="_Caption5502"/>
      <w:bookmarkStart w:id="408" w:name="_Caption9996"/>
      <w:bookmarkStart w:id="409" w:name="_Caption5274"/>
      <w:bookmarkStart w:id="410" w:name="_Caption9237"/>
      <w:bookmarkStart w:id="411" w:name="_Caption8238"/>
      <w:bookmarkStart w:id="412" w:name="_Caption8598"/>
      <w:bookmarkStart w:id="413" w:name="_Caption2368"/>
      <w:bookmarkStart w:id="414" w:name="_Caption6591"/>
      <w:bookmarkStart w:id="415" w:name="_Caption0233"/>
      <w:bookmarkStart w:id="416" w:name="_Caption6324"/>
      <w:bookmarkStart w:id="417" w:name="_Caption0564"/>
      <w:bookmarkStart w:id="418" w:name="_Caption2857"/>
      <w:bookmarkStart w:id="419" w:name="_Caption5172"/>
      <w:bookmarkStart w:id="420" w:name="_Caption1880"/>
      <w:bookmarkStart w:id="421" w:name="_Toc499847035"/>
      <w:bookmarkStart w:id="422" w:name="_Toc507523791"/>
      <w:bookmarkStart w:id="423" w:name="_Toc509220840"/>
      <w:bookmarkStart w:id="424" w:name="_Toc529869896"/>
      <w:bookmarkStart w:id="425" w:name="_Toc530748392"/>
      <w:r w:rsidR="00EA42ED">
        <w:rPr>
          <w:noProof/>
        </w:rPr>
        <w:t>2</w:t>
      </w:r>
      <w:r w:rsidR="00EA42ED" w:rsidRPr="00695C93">
        <w:rPr>
          <w:noProof/>
        </w:rPr>
        <w:t>.</w:t>
      </w:r>
      <w:r w:rsidR="00EA42ED">
        <w:rPr>
          <w:noProof/>
        </w:rPr>
        <w:t>2</w:t>
      </w:r>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r w:rsidRPr="00695C93">
        <w:fldChar w:fldCharType="end"/>
      </w:r>
      <w:r w:rsidRPr="00695C93">
        <w:tab/>
      </w:r>
      <w:r>
        <w:t>Summary of market and behavioural failures by building type</w:t>
      </w:r>
      <w:bookmarkEnd w:id="312"/>
      <w:bookmarkEnd w:id="421"/>
      <w:bookmarkEnd w:id="422"/>
      <w:bookmarkEnd w:id="423"/>
      <w:bookmarkEnd w:id="424"/>
      <w:bookmarkEnd w:id="425"/>
    </w:p>
    <w:tbl>
      <w:tblPr>
        <w:tblW w:w="7994" w:type="dxa"/>
        <w:tblLayout w:type="fixed"/>
        <w:tblLook w:val="0000" w:firstRow="0" w:lastRow="0" w:firstColumn="0" w:lastColumn="0" w:noHBand="0" w:noVBand="0"/>
        <w:tblCaption w:val="Table 2.2: Summary of market and behavioural failures by building type"/>
        <w:tblDescription w:val="This table idnetifies the types of behavioural and market failures which could be contributing the problem based on building type. Behavioural and market failures could include information asymmetries, split inncentives or regulatory gaps. "/>
      </w:tblPr>
      <w:tblGrid>
        <w:gridCol w:w="1418"/>
        <w:gridCol w:w="2192"/>
        <w:gridCol w:w="2192"/>
        <w:gridCol w:w="2192"/>
      </w:tblGrid>
      <w:tr w:rsidR="00612FD3" w:rsidTr="00301B6D">
        <w:trPr>
          <w:tblHeader/>
        </w:trPr>
        <w:tc>
          <w:tcPr>
            <w:tcW w:w="1418" w:type="dxa"/>
            <w:tcBorders>
              <w:bottom w:val="single" w:sz="8" w:space="0" w:color="FFFFFF" w:themeColor="background1"/>
            </w:tcBorders>
            <w:shd w:val="clear" w:color="auto" w:fill="6F6652"/>
            <w:tcMar>
              <w:left w:w="57" w:type="dxa"/>
              <w:right w:w="57" w:type="dxa"/>
            </w:tcMar>
          </w:tcPr>
          <w:p w:rsidR="00612FD3" w:rsidRDefault="00612FD3" w:rsidP="00301B6D">
            <w:pPr>
              <w:pStyle w:val="TableTextColumnHeading"/>
            </w:pPr>
            <w:r>
              <w:t>Type of building</w:t>
            </w:r>
          </w:p>
        </w:tc>
        <w:tc>
          <w:tcPr>
            <w:tcW w:w="2192" w:type="dxa"/>
            <w:tcBorders>
              <w:bottom w:val="single" w:sz="8" w:space="0" w:color="FFFFFF" w:themeColor="background1"/>
            </w:tcBorders>
            <w:shd w:val="clear" w:color="auto" w:fill="6F6652"/>
            <w:tcMar>
              <w:left w:w="57" w:type="dxa"/>
              <w:right w:w="57" w:type="dxa"/>
            </w:tcMar>
          </w:tcPr>
          <w:p w:rsidR="00612FD3" w:rsidRDefault="00612FD3" w:rsidP="00301B6D">
            <w:pPr>
              <w:pStyle w:val="TableTextColumnHeading"/>
            </w:pPr>
            <w:r>
              <w:t>Market failures relating to energy pricing</w:t>
            </w:r>
          </w:p>
        </w:tc>
        <w:tc>
          <w:tcPr>
            <w:tcW w:w="2192" w:type="dxa"/>
            <w:tcBorders>
              <w:bottom w:val="single" w:sz="8" w:space="0" w:color="FFFFFF" w:themeColor="background1"/>
            </w:tcBorders>
            <w:shd w:val="clear" w:color="auto" w:fill="6F6652"/>
            <w:tcMar>
              <w:left w:w="57" w:type="dxa"/>
              <w:right w:w="57" w:type="dxa"/>
            </w:tcMar>
          </w:tcPr>
          <w:p w:rsidR="00612FD3" w:rsidRDefault="00612FD3" w:rsidP="00301B6D">
            <w:pPr>
              <w:pStyle w:val="TableTextColumnHeading"/>
            </w:pPr>
            <w:r>
              <w:t>Information asymmetries</w:t>
            </w:r>
          </w:p>
        </w:tc>
        <w:tc>
          <w:tcPr>
            <w:tcW w:w="2192" w:type="dxa"/>
            <w:tcBorders>
              <w:bottom w:val="single" w:sz="8" w:space="0" w:color="FFFFFF" w:themeColor="background1"/>
            </w:tcBorders>
            <w:shd w:val="clear" w:color="auto" w:fill="6F6652"/>
            <w:tcMar>
              <w:left w:w="57" w:type="dxa"/>
              <w:right w:w="57" w:type="dxa"/>
            </w:tcMar>
          </w:tcPr>
          <w:p w:rsidR="00612FD3" w:rsidRDefault="00612FD3" w:rsidP="00301B6D">
            <w:pPr>
              <w:pStyle w:val="TableTextColumnHeading"/>
            </w:pPr>
            <w:r>
              <w:t>Behavioural anomalies</w:t>
            </w:r>
          </w:p>
        </w:tc>
      </w:tr>
      <w:tr w:rsidR="00612FD3" w:rsidTr="00301B6D">
        <w:tc>
          <w:tcPr>
            <w:tcW w:w="14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TextEntries"/>
            </w:pPr>
            <w:r>
              <w:t>Large office buildings (greater than 1000 m</w:t>
            </w:r>
            <w:r w:rsidRPr="00B80731">
              <w:rPr>
                <w:vertAlign w:val="superscript"/>
              </w:rPr>
              <w:t>2</w:t>
            </w:r>
            <w:r>
              <w:t>)</w:t>
            </w:r>
          </w:p>
        </w:tc>
        <w:tc>
          <w:tcPr>
            <w:tcW w:w="219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ListBullet"/>
            </w:pPr>
            <w:r>
              <w:t>Greenhouse gas emissions not internalised into energy prices.</w:t>
            </w:r>
          </w:p>
          <w:p w:rsidR="00612FD3" w:rsidRDefault="00612FD3" w:rsidP="00301B6D">
            <w:pPr>
              <w:pStyle w:val="TableListBullet"/>
            </w:pPr>
            <w:r>
              <w:t>The cost of supply mostly (although perhaps not fully) reflected in energy prices.</w:t>
            </w:r>
          </w:p>
        </w:tc>
        <w:tc>
          <w:tcPr>
            <w:tcW w:w="219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ListBullet"/>
            </w:pPr>
            <w:r>
              <w:t>Information asymmetries addressed through CBD program.</w:t>
            </w:r>
          </w:p>
        </w:tc>
        <w:tc>
          <w:tcPr>
            <w:tcW w:w="219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ListBullet"/>
            </w:pPr>
            <w:r>
              <w:t>Some evidence to suggest that energy savings are mostly capitalised into building value and rents (and vacancy rates).</w:t>
            </w:r>
          </w:p>
          <w:p w:rsidR="00612FD3" w:rsidRDefault="00612FD3" w:rsidP="00301B6D">
            <w:pPr>
              <w:pStyle w:val="TableListBullet"/>
            </w:pPr>
            <w:r>
              <w:t>As this market is generally targeted at larger premium and mid</w:t>
            </w:r>
            <w:r>
              <w:noBreakHyphen/>
              <w:t>tier tenants, behavioural anomalies are less likely, but cannot be ruled out completely.</w:t>
            </w:r>
          </w:p>
        </w:tc>
      </w:tr>
      <w:tr w:rsidR="00612FD3" w:rsidTr="00301B6D">
        <w:tc>
          <w:tcPr>
            <w:tcW w:w="14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TextEntries"/>
            </w:pPr>
            <w:r>
              <w:t>Small office buildings (less than 1000 m</w:t>
            </w:r>
            <w:r w:rsidRPr="006E1433">
              <w:rPr>
                <w:vertAlign w:val="superscript"/>
              </w:rPr>
              <w:t>2</w:t>
            </w:r>
            <w:r>
              <w:t>)</w:t>
            </w:r>
          </w:p>
        </w:tc>
        <w:tc>
          <w:tcPr>
            <w:tcW w:w="219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ListBullet"/>
            </w:pPr>
            <w:r>
              <w:t>Greenhouse gas emissions not internalised into energy prices.</w:t>
            </w:r>
          </w:p>
          <w:p w:rsidR="00612FD3" w:rsidRDefault="00612FD3" w:rsidP="00301B6D">
            <w:pPr>
              <w:pStyle w:val="TableListBullet"/>
            </w:pPr>
            <w:r>
              <w:t>The cost of supply mostly (although perhaps not fully) reflected in energy prices.</w:t>
            </w:r>
          </w:p>
        </w:tc>
        <w:tc>
          <w:tcPr>
            <w:tcW w:w="219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ListBullet"/>
            </w:pPr>
            <w:r>
              <w:t>Small office buildings are not covered by CBD program.</w:t>
            </w:r>
          </w:p>
          <w:p w:rsidR="00612FD3" w:rsidRDefault="00612FD3" w:rsidP="00301B6D">
            <w:pPr>
              <w:pStyle w:val="TableListBullet"/>
            </w:pPr>
            <w:r>
              <w:t>Although voluntary rating tools (NABERS and Green Star) are available, they are not particularly targeted for the smaller or ‘bottom end’ of the market, and these tools are not used by all small office buildings, suggesting that information asymmetries will apply to this market.</w:t>
            </w:r>
          </w:p>
          <w:p w:rsidR="00612FD3" w:rsidRDefault="00612FD3" w:rsidP="00301B6D">
            <w:pPr>
              <w:pStyle w:val="TableListBullet"/>
            </w:pPr>
            <w:r>
              <w:t>Split incentives between builder/end owner may occur where a building is developed speculatively or where a fixed price contract is given.</w:t>
            </w:r>
          </w:p>
        </w:tc>
        <w:tc>
          <w:tcPr>
            <w:tcW w:w="219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ListBullet"/>
            </w:pPr>
            <w:r>
              <w:t>Difficult to observe directly, but plausible that energy efficiency decisions (particularly by smaller businesses) are affected by:</w:t>
            </w:r>
          </w:p>
          <w:p w:rsidR="00612FD3" w:rsidRDefault="00612FD3" w:rsidP="00301B6D">
            <w:pPr>
              <w:pStyle w:val="TableListBullet2"/>
            </w:pPr>
            <w:r>
              <w:t>bounded rationality and heuristic decision-making; and</w:t>
            </w:r>
          </w:p>
          <w:p w:rsidR="00612FD3" w:rsidRDefault="00612FD3" w:rsidP="00301B6D">
            <w:pPr>
              <w:pStyle w:val="TableListBullet2"/>
            </w:pPr>
            <w:r>
              <w:t>inattention and non-salience of energy costs.</w:t>
            </w:r>
          </w:p>
        </w:tc>
      </w:tr>
      <w:tr w:rsidR="00612FD3" w:rsidTr="00301B6D">
        <w:tc>
          <w:tcPr>
            <w:tcW w:w="14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TextEntries"/>
            </w:pPr>
            <w:r>
              <w:lastRenderedPageBreak/>
              <w:t>Shopping centres</w:t>
            </w:r>
          </w:p>
        </w:tc>
        <w:tc>
          <w:tcPr>
            <w:tcW w:w="219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ListBullet"/>
            </w:pPr>
            <w:r>
              <w:t>Greenhouse gas emissions not internalised into energy prices.</w:t>
            </w:r>
          </w:p>
          <w:p w:rsidR="00612FD3" w:rsidRDefault="00612FD3" w:rsidP="00301B6D">
            <w:pPr>
              <w:pStyle w:val="TableListBullet"/>
            </w:pPr>
            <w:r>
              <w:t>The cost of supply mostly (although perhaps not fully) reflected in energy prices.</w:t>
            </w:r>
          </w:p>
        </w:tc>
        <w:tc>
          <w:tcPr>
            <w:tcW w:w="219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ListBullet"/>
            </w:pPr>
            <w:r>
              <w:t>Although a voluntary rating tool (NABERS) is available, this tool is not used by all shopping centres, suggesting that information asymmetries/split incentives will apply in this market.</w:t>
            </w:r>
          </w:p>
          <w:p w:rsidR="00612FD3" w:rsidRDefault="00612FD3" w:rsidP="00301B6D">
            <w:pPr>
              <w:pStyle w:val="TableListBullet"/>
            </w:pPr>
            <w:r>
              <w:t>In addition, NABERS only applies for shopping centres above 15 000 m</w:t>
            </w:r>
            <w:r w:rsidRPr="00084812">
              <w:rPr>
                <w:vertAlign w:val="superscript"/>
              </w:rPr>
              <w:t>2</w:t>
            </w:r>
            <w:r>
              <w:t>, higher than the average size of shopping centres.</w:t>
            </w:r>
            <w:r>
              <w:rPr>
                <w:rStyle w:val="NoteLabel"/>
              </w:rPr>
              <w:t>a</w:t>
            </w:r>
            <w:r>
              <w:t xml:space="preserve"> It also does not cover tenant energy (e.g. instore lighting).</w:t>
            </w:r>
          </w:p>
        </w:tc>
        <w:tc>
          <w:tcPr>
            <w:tcW w:w="219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ListBullet"/>
            </w:pPr>
            <w:r>
              <w:t>Difficult to observe directly, but plausible that energy efficiency decisions are affected by:</w:t>
            </w:r>
          </w:p>
          <w:p w:rsidR="00612FD3" w:rsidRDefault="00612FD3" w:rsidP="00301B6D">
            <w:pPr>
              <w:pStyle w:val="TableListBullet2"/>
            </w:pPr>
            <w:r>
              <w:t>bounded rationality and heuristic decision-making; and</w:t>
            </w:r>
          </w:p>
          <w:p w:rsidR="00612FD3" w:rsidRDefault="00612FD3" w:rsidP="00301B6D">
            <w:pPr>
              <w:pStyle w:val="TableListBullet2"/>
            </w:pPr>
            <w:r>
              <w:t>inattention and non-salience of energy costs.</w:t>
            </w:r>
          </w:p>
        </w:tc>
      </w:tr>
      <w:tr w:rsidR="00612FD3" w:rsidTr="00301B6D">
        <w:tc>
          <w:tcPr>
            <w:tcW w:w="14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TextEntries"/>
            </w:pPr>
            <w:r>
              <w:t>Other retail</w:t>
            </w:r>
          </w:p>
        </w:tc>
        <w:tc>
          <w:tcPr>
            <w:tcW w:w="219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ListBullet"/>
            </w:pPr>
            <w:r>
              <w:t>Greenhouse gas emissions not internalised into energy prices.</w:t>
            </w:r>
          </w:p>
          <w:p w:rsidR="00612FD3" w:rsidRDefault="00612FD3" w:rsidP="00301B6D">
            <w:pPr>
              <w:pStyle w:val="TableListBullet"/>
            </w:pPr>
            <w:r>
              <w:t>The cost of supply mostly (although perhaps not fully) reflected in energy prices.</w:t>
            </w:r>
          </w:p>
        </w:tc>
        <w:tc>
          <w:tcPr>
            <w:tcW w:w="219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ListBullet"/>
            </w:pPr>
            <w:r>
              <w:t>Information asymmetries/split incentives likely to be an issue in this market.</w:t>
            </w:r>
          </w:p>
        </w:tc>
        <w:tc>
          <w:tcPr>
            <w:tcW w:w="219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ListBullet"/>
            </w:pPr>
            <w:r>
              <w:t>Difficult to observe directly, but plausible that energy efficiency decisions are affected by:</w:t>
            </w:r>
          </w:p>
          <w:p w:rsidR="00612FD3" w:rsidRDefault="00612FD3" w:rsidP="00301B6D">
            <w:pPr>
              <w:pStyle w:val="TableListBullet2"/>
            </w:pPr>
            <w:r>
              <w:t>bounded rationality and heuristic decision-making; and</w:t>
            </w:r>
          </w:p>
          <w:p w:rsidR="00612FD3" w:rsidRDefault="00612FD3" w:rsidP="00301B6D">
            <w:pPr>
              <w:pStyle w:val="TableListBullet2"/>
            </w:pPr>
            <w:r>
              <w:t>inattention and non-salience of energy costs.</w:t>
            </w:r>
          </w:p>
        </w:tc>
      </w:tr>
      <w:tr w:rsidR="00612FD3" w:rsidTr="00301B6D">
        <w:tc>
          <w:tcPr>
            <w:tcW w:w="14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TextEntries"/>
            </w:pPr>
            <w:r>
              <w:t>Government schools and hospitals</w:t>
            </w:r>
          </w:p>
        </w:tc>
        <w:tc>
          <w:tcPr>
            <w:tcW w:w="219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ListBullet"/>
            </w:pPr>
            <w:r>
              <w:t>Greenhouse gas emissions not internalised into energy prices.</w:t>
            </w:r>
          </w:p>
          <w:p w:rsidR="00612FD3" w:rsidRDefault="00612FD3" w:rsidP="00301B6D">
            <w:pPr>
              <w:pStyle w:val="TableListBullet"/>
            </w:pPr>
            <w:r>
              <w:t>The cost of supply mostly (although perhaps not fully) reflected in energy prices.</w:t>
            </w:r>
          </w:p>
        </w:tc>
        <w:tc>
          <w:tcPr>
            <w:tcW w:w="219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ListBullet"/>
            </w:pPr>
            <w:r>
              <w:t>Information asymmetries less relevant as these buildings are less likely to be leased or sold.</w:t>
            </w:r>
          </w:p>
        </w:tc>
        <w:tc>
          <w:tcPr>
            <w:tcW w:w="219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ListBullet"/>
            </w:pPr>
            <w:r>
              <w:t>Anecdotal evidence of bounded rationality and heuristic decision-making and split incentives through Government budgeting processes.</w:t>
            </w:r>
          </w:p>
        </w:tc>
      </w:tr>
      <w:tr w:rsidR="00612FD3" w:rsidTr="00301B6D">
        <w:tc>
          <w:tcPr>
            <w:tcW w:w="14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TextEntries"/>
            </w:pPr>
            <w:r>
              <w:t>Hotels</w:t>
            </w:r>
          </w:p>
        </w:tc>
        <w:tc>
          <w:tcPr>
            <w:tcW w:w="219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ListBullet"/>
            </w:pPr>
            <w:r>
              <w:t>Greenhouse gas emissions not internalised into energy prices.</w:t>
            </w:r>
          </w:p>
          <w:p w:rsidR="00612FD3" w:rsidRDefault="00612FD3" w:rsidP="00301B6D">
            <w:pPr>
              <w:pStyle w:val="TableListBullet"/>
            </w:pPr>
            <w:r>
              <w:t>The cost of supply mostly (although perhaps not fully) reflected in energy prices.</w:t>
            </w:r>
          </w:p>
        </w:tc>
        <w:tc>
          <w:tcPr>
            <w:tcW w:w="219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ListBullet"/>
            </w:pPr>
            <w:r>
              <w:t>Various forms of information asymmetries less relevant as these buildings are less likely to be leased or sold.</w:t>
            </w:r>
          </w:p>
          <w:p w:rsidR="00612FD3" w:rsidRDefault="00612FD3" w:rsidP="00301B6D">
            <w:pPr>
              <w:pStyle w:val="TableListBullet2"/>
            </w:pPr>
            <w:r>
              <w:t>Information asymmetries likely to apply where hotels are sold.</w:t>
            </w:r>
          </w:p>
          <w:p w:rsidR="00612FD3" w:rsidRDefault="00612FD3" w:rsidP="00301B6D">
            <w:pPr>
              <w:pStyle w:val="TableListBullet2"/>
            </w:pPr>
            <w:r>
              <w:t>A voluntary rating tool (NABERS) is available; however, relatively few hotels have obtained a NABERS rating.</w:t>
            </w:r>
          </w:p>
          <w:p w:rsidR="00612FD3" w:rsidRDefault="00612FD3" w:rsidP="00301B6D">
            <w:pPr>
              <w:pStyle w:val="TableListBullet2"/>
            </w:pPr>
            <w:r>
              <w:t>Further, information asymmetries may be particularly relevant in major refurbishments.</w:t>
            </w:r>
            <w:r>
              <w:rPr>
                <w:rStyle w:val="NoteLabel"/>
              </w:rPr>
              <w:t>b</w:t>
            </w:r>
          </w:p>
        </w:tc>
        <w:tc>
          <w:tcPr>
            <w:tcW w:w="219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ListBullet"/>
            </w:pPr>
            <w:r>
              <w:t>Difficult to observe directly, but plausible that energy efficiency decisions are affected by:</w:t>
            </w:r>
          </w:p>
          <w:p w:rsidR="00612FD3" w:rsidRDefault="00612FD3" w:rsidP="00301B6D">
            <w:pPr>
              <w:pStyle w:val="TableListBullet2"/>
            </w:pPr>
            <w:r>
              <w:t>bounded rationality and heuristic decision-making; and</w:t>
            </w:r>
          </w:p>
          <w:p w:rsidR="00612FD3" w:rsidRDefault="00612FD3" w:rsidP="00301B6D">
            <w:pPr>
              <w:pStyle w:val="TableListBullet2"/>
            </w:pPr>
            <w:r>
              <w:t>inattention and non-salience of energy costs.</w:t>
            </w:r>
          </w:p>
        </w:tc>
      </w:tr>
      <w:tr w:rsidR="00612FD3" w:rsidTr="00301B6D">
        <w:tc>
          <w:tcPr>
            <w:tcW w:w="1418" w:type="dxa"/>
            <w:tcBorders>
              <w:top w:val="single" w:sz="8" w:space="0" w:color="FFFFFF" w:themeColor="background1"/>
              <w:bottom w:val="single" w:sz="6" w:space="0" w:color="6F6652"/>
            </w:tcBorders>
            <w:shd w:val="clear" w:color="auto" w:fill="E9E8E5" w:themeFill="background2"/>
            <w:tcMar>
              <w:left w:w="57" w:type="dxa"/>
              <w:right w:w="57" w:type="dxa"/>
            </w:tcMar>
          </w:tcPr>
          <w:p w:rsidR="00612FD3" w:rsidRDefault="00612FD3" w:rsidP="00301B6D">
            <w:pPr>
              <w:pStyle w:val="TableTextEntries"/>
            </w:pPr>
            <w:r>
              <w:t>Other commercial buildings</w:t>
            </w:r>
          </w:p>
        </w:tc>
        <w:tc>
          <w:tcPr>
            <w:tcW w:w="2192" w:type="dxa"/>
            <w:tcBorders>
              <w:top w:val="single" w:sz="8" w:space="0" w:color="FFFFFF" w:themeColor="background1"/>
              <w:bottom w:val="single" w:sz="6" w:space="0" w:color="6F6652"/>
            </w:tcBorders>
            <w:shd w:val="clear" w:color="auto" w:fill="E9E8E5" w:themeFill="background2"/>
            <w:tcMar>
              <w:left w:w="57" w:type="dxa"/>
              <w:right w:w="57" w:type="dxa"/>
            </w:tcMar>
          </w:tcPr>
          <w:p w:rsidR="00612FD3" w:rsidRDefault="00612FD3" w:rsidP="00301B6D">
            <w:pPr>
              <w:pStyle w:val="TableListBullet"/>
            </w:pPr>
            <w:r>
              <w:t>Greenhouse gas emissions not internalised into energy prices.</w:t>
            </w:r>
          </w:p>
          <w:p w:rsidR="00612FD3" w:rsidRDefault="00612FD3" w:rsidP="00301B6D">
            <w:pPr>
              <w:pStyle w:val="TableListBullet"/>
            </w:pPr>
            <w:r>
              <w:lastRenderedPageBreak/>
              <w:t>The cost of supply mostly (although perhaps not fully) reflected in energy prices.</w:t>
            </w:r>
          </w:p>
        </w:tc>
        <w:tc>
          <w:tcPr>
            <w:tcW w:w="2192" w:type="dxa"/>
            <w:tcBorders>
              <w:top w:val="single" w:sz="8" w:space="0" w:color="FFFFFF" w:themeColor="background1"/>
              <w:bottom w:val="single" w:sz="6" w:space="0" w:color="6F6652"/>
            </w:tcBorders>
            <w:shd w:val="clear" w:color="auto" w:fill="E9E8E5" w:themeFill="background2"/>
            <w:tcMar>
              <w:left w:w="57" w:type="dxa"/>
              <w:right w:w="57" w:type="dxa"/>
            </w:tcMar>
          </w:tcPr>
          <w:p w:rsidR="00612FD3" w:rsidRDefault="00612FD3" w:rsidP="00301B6D">
            <w:pPr>
              <w:pStyle w:val="TableListBullet"/>
            </w:pPr>
            <w:r>
              <w:lastRenderedPageBreak/>
              <w:t>Information asymmetries likely to apply when buildings are sold.</w:t>
            </w:r>
          </w:p>
        </w:tc>
        <w:tc>
          <w:tcPr>
            <w:tcW w:w="2192" w:type="dxa"/>
            <w:tcBorders>
              <w:top w:val="single" w:sz="8" w:space="0" w:color="FFFFFF" w:themeColor="background1"/>
              <w:bottom w:val="single" w:sz="6" w:space="0" w:color="6F6652"/>
            </w:tcBorders>
            <w:shd w:val="clear" w:color="auto" w:fill="E9E8E5" w:themeFill="background2"/>
            <w:tcMar>
              <w:left w:w="57" w:type="dxa"/>
              <w:right w:w="57" w:type="dxa"/>
            </w:tcMar>
          </w:tcPr>
          <w:p w:rsidR="00612FD3" w:rsidRDefault="00612FD3" w:rsidP="00301B6D">
            <w:pPr>
              <w:pStyle w:val="TableListBullet"/>
            </w:pPr>
            <w:r>
              <w:t>Difficult to observe directly, but plausible that energy efficiency decisions are affected by:</w:t>
            </w:r>
          </w:p>
          <w:p w:rsidR="00612FD3" w:rsidRDefault="00612FD3" w:rsidP="00301B6D">
            <w:pPr>
              <w:pStyle w:val="TableListBullet2"/>
            </w:pPr>
            <w:r>
              <w:lastRenderedPageBreak/>
              <w:t>bounded rationality and heuristic decision-making; and</w:t>
            </w:r>
          </w:p>
          <w:p w:rsidR="00612FD3" w:rsidRDefault="00612FD3" w:rsidP="00301B6D">
            <w:pPr>
              <w:pStyle w:val="TableListBullet2"/>
            </w:pPr>
            <w:r>
              <w:t>inattention and non-salience of energy costs.</w:t>
            </w:r>
          </w:p>
        </w:tc>
      </w:tr>
    </w:tbl>
    <w:p w:rsidR="00612FD3" w:rsidRDefault="00612FD3" w:rsidP="00612FD3">
      <w:pPr>
        <w:pStyle w:val="Note"/>
      </w:pPr>
      <w:r w:rsidRPr="005D74B3">
        <w:rPr>
          <w:rStyle w:val="NoteLabel"/>
        </w:rPr>
        <w:lastRenderedPageBreak/>
        <w:t>a</w:t>
      </w:r>
      <w:r>
        <w:t xml:space="preserve"> Of approximately 13 089 m</w:t>
      </w:r>
      <w:r w:rsidRPr="00084812">
        <w:rPr>
          <w:vertAlign w:val="superscript"/>
        </w:rPr>
        <w:t>2</w:t>
      </w:r>
      <w:r>
        <w:t xml:space="preserve"> in gross floor area, from 22.9 million m</w:t>
      </w:r>
      <w:r w:rsidRPr="00084812">
        <w:rPr>
          <w:vertAlign w:val="superscript"/>
        </w:rPr>
        <w:t>2</w:t>
      </w:r>
      <w:r>
        <w:t xml:space="preserve"> across 1 753 shopping centres. See Urbis, 2015, </w:t>
      </w:r>
      <w:r>
        <w:rPr>
          <w:i/>
        </w:rPr>
        <w:t>Australian shopping centre industry</w:t>
      </w:r>
      <w:r>
        <w:t xml:space="preserve">, prepared for the Shopping Centre Council of Australia. </w:t>
      </w:r>
      <w:hyperlink r:id="rId25" w:history="1">
        <w:r w:rsidRPr="00D51A92">
          <w:rPr>
            <w:rStyle w:val="Hyperlink"/>
          </w:rPr>
          <w:t>http://www.scca.org.au/wp-content/uploads/2015/06/Shopping-Centre-Industry-Statisctics-August-2015_FINAL.pdf</w:t>
        </w:r>
      </w:hyperlink>
      <w:r>
        <w:t xml:space="preserve">. </w:t>
      </w:r>
      <w:r w:rsidRPr="005D74B3">
        <w:rPr>
          <w:rStyle w:val="NoteLabel"/>
        </w:rPr>
        <w:t>b</w:t>
      </w:r>
      <w:r>
        <w:t xml:space="preserve"> Jones Lang LaSalle, 2012, </w:t>
      </w:r>
      <w:r w:rsidRPr="002F0185">
        <w:rPr>
          <w:i/>
        </w:rPr>
        <w:t>Maximising capex spend to impact hotel value</w:t>
      </w:r>
      <w:r>
        <w:t xml:space="preserve">. </w:t>
      </w:r>
      <w:r w:rsidRPr="00906BF6">
        <w:t>http://www.jll.com.au/australia/en-au/Research/JLL_Advance_Maximising_Capex_Spend_to_Impact_Hotel_Value.pdf</w:t>
      </w:r>
      <w:r>
        <w:t>.</w:t>
      </w:r>
    </w:p>
    <w:p w:rsidR="00612FD3" w:rsidRDefault="00612FD3" w:rsidP="00612FD3">
      <w:pPr>
        <w:pStyle w:val="Source"/>
      </w:pPr>
      <w:r>
        <w:rPr>
          <w:i/>
        </w:rPr>
        <w:t>Source</w:t>
      </w:r>
      <w:r w:rsidRPr="00E4232C">
        <w:rPr>
          <w:i/>
        </w:rPr>
        <w:t>:</w:t>
      </w:r>
      <w:r>
        <w:t xml:space="preserve"> CIE based on evidence cited above.</w:t>
      </w:r>
    </w:p>
    <w:p w:rsidR="00612FD3" w:rsidRDefault="00612FD3" w:rsidP="00612FD3">
      <w:pPr>
        <w:pStyle w:val="BodyText"/>
      </w:pPr>
      <w:r>
        <w:t>In general, there is a sound in</w:t>
      </w:r>
      <w:r>
        <w:noBreakHyphen/>
        <w:t xml:space="preserve">principle case for minimum energy efficiency standards for commercial buildings on the basis that retail energy prices do not reflect the full social cost of supply (including the private resource costs as well as costs to the environment). </w:t>
      </w:r>
    </w:p>
    <w:p w:rsidR="00612FD3" w:rsidRDefault="00612FD3" w:rsidP="00612FD3">
      <w:pPr>
        <w:pStyle w:val="ListBullet"/>
        <w:numPr>
          <w:ilvl w:val="0"/>
          <w:numId w:val="36"/>
        </w:numPr>
      </w:pPr>
      <w:r>
        <w:t xml:space="preserve">In particular, </w:t>
      </w:r>
      <w:r w:rsidRPr="00B156FD">
        <w:t xml:space="preserve">the external cost of greenhouse gas emissions are </w:t>
      </w:r>
      <w:r>
        <w:t>not internalised into</w:t>
      </w:r>
      <w:r w:rsidRPr="00B156FD">
        <w:t xml:space="preserve"> energy prices under current policy settings.</w:t>
      </w:r>
    </w:p>
    <w:p w:rsidR="00612FD3" w:rsidRDefault="00612FD3" w:rsidP="00612FD3">
      <w:pPr>
        <w:pStyle w:val="ListBullet"/>
        <w:numPr>
          <w:ilvl w:val="0"/>
          <w:numId w:val="36"/>
        </w:numPr>
      </w:pPr>
      <w:r>
        <w:t>On the other hand, under the Australian Energy Regulator’s (AER) current pricing principles, the costs associated with peak demand are mostly (although perhaps imperfectly) built into energy prices.</w:t>
      </w:r>
    </w:p>
    <w:p w:rsidR="00612FD3" w:rsidRDefault="00612FD3" w:rsidP="00612FD3">
      <w:pPr>
        <w:pStyle w:val="BodyText"/>
      </w:pPr>
      <w:r>
        <w:t>Energy prices that do not reflect the full social cost of supply creates an incentive for the commercial building industry to under</w:t>
      </w:r>
      <w:r>
        <w:noBreakHyphen/>
        <w:t>invest in energy efficiency in the absence of government intervention. Minimum energy efficiency standards can therefore encourage more socially efficient energy efficiency decisions.</w:t>
      </w:r>
    </w:p>
    <w:p w:rsidR="00612FD3" w:rsidRDefault="00612FD3" w:rsidP="00612FD3">
      <w:pPr>
        <w:pStyle w:val="BodyText"/>
      </w:pPr>
      <w:r>
        <w:t xml:space="preserve">The potential for minimum energy efficiency regulations to deliver a ‘win-win’ outcome (i.e. net </w:t>
      </w:r>
      <w:r w:rsidRPr="002B3C0A">
        <w:rPr>
          <w:b/>
        </w:rPr>
        <w:t>private</w:t>
      </w:r>
      <w:r>
        <w:t xml:space="preserve"> benefits in addition to the public benefits associated with reduced greenhouse gas emissions) relies on the proposition that there are additional market failures or behavioural anomalies that prevent building owners and tenants from making privately optimal energy efficiency.</w:t>
      </w:r>
    </w:p>
    <w:p w:rsidR="00612FD3" w:rsidRDefault="00612FD3" w:rsidP="00612FD3">
      <w:pPr>
        <w:pStyle w:val="ListBullet"/>
        <w:numPr>
          <w:ilvl w:val="0"/>
          <w:numId w:val="36"/>
        </w:numPr>
      </w:pPr>
      <w:r>
        <w:t xml:space="preserve">Evidence that building industry stakeholders are not making privately optimal energy efficiency decisions generally relies on modelling showing that bill savings associated with improved energy efficiency would outweigh the associated capital costs. However, there is limited </w:t>
      </w:r>
      <w:r w:rsidRPr="00D7630B">
        <w:rPr>
          <w:b/>
        </w:rPr>
        <w:t>direct</w:t>
      </w:r>
      <w:r>
        <w:t xml:space="preserve"> evidence of market failures and/or behavioural anomalies.</w:t>
      </w:r>
    </w:p>
    <w:p w:rsidR="00612FD3" w:rsidRDefault="00930E33" w:rsidP="00612FD3">
      <w:pPr>
        <w:pStyle w:val="ListBullet"/>
        <w:numPr>
          <w:ilvl w:val="0"/>
          <w:numId w:val="36"/>
        </w:numPr>
      </w:pPr>
      <w:r>
        <w:t>It is difficult to find direct evidence that b</w:t>
      </w:r>
      <w:r w:rsidR="00612FD3">
        <w:t>ehavioural anomalies, such as bounded rationality and heuristic decision making; and inattention to non</w:t>
      </w:r>
      <w:r w:rsidR="00612FD3">
        <w:noBreakHyphen/>
        <w:t xml:space="preserve">salient energy costs </w:t>
      </w:r>
      <w:r w:rsidR="004A435A">
        <w:t>contribute to the energy efficiency paradox, as decision</w:t>
      </w:r>
      <w:r w:rsidR="004A435A">
        <w:noBreakHyphen/>
        <w:t xml:space="preserve">making processes cannot be directly observed. Nevertheless, </w:t>
      </w:r>
      <w:r w:rsidR="002451BA">
        <w:t>consistent with the findings of the Productivity Commission</w:t>
      </w:r>
      <w:r w:rsidR="0053055B">
        <w:rPr>
          <w:rStyle w:val="FootnoteReference"/>
        </w:rPr>
        <w:footnoteReference w:id="26"/>
      </w:r>
      <w:r w:rsidR="002451BA">
        <w:t xml:space="preserve"> </w:t>
      </w:r>
      <w:r w:rsidR="0053055B">
        <w:t xml:space="preserve">and the views of most stakeholders, </w:t>
      </w:r>
      <w:r w:rsidR="004A435A">
        <w:t>we consider these behavioural anomalies</w:t>
      </w:r>
      <w:r w:rsidR="00612FD3">
        <w:t xml:space="preserve"> </w:t>
      </w:r>
      <w:r w:rsidR="002451BA">
        <w:t xml:space="preserve">to be </w:t>
      </w:r>
      <w:r w:rsidR="00612FD3">
        <w:t xml:space="preserve">plausible explanations for </w:t>
      </w:r>
      <w:r w:rsidR="004A435A">
        <w:t>sub</w:t>
      </w:r>
      <w:r w:rsidR="004A435A">
        <w:noBreakHyphen/>
        <w:t xml:space="preserve">optimal </w:t>
      </w:r>
      <w:r w:rsidR="0053055B">
        <w:t>energy efficiency choices</w:t>
      </w:r>
      <w:r w:rsidR="00612FD3">
        <w:t xml:space="preserve"> across all building types</w:t>
      </w:r>
      <w:r w:rsidR="0053055B">
        <w:t xml:space="preserve">, given the complexity of weighing up </w:t>
      </w:r>
      <w:r w:rsidR="00296E89">
        <w:t xml:space="preserve">the costs and benefits of </w:t>
      </w:r>
      <w:r w:rsidR="0053055B">
        <w:t>energy efficiency choices for commercial buildings</w:t>
      </w:r>
      <w:r w:rsidR="00A121A7">
        <w:t xml:space="preserve"> and</w:t>
      </w:r>
      <w:r w:rsidR="005257C9">
        <w:t xml:space="preserve"> competing priorities of design</w:t>
      </w:r>
      <w:r w:rsidR="0053055B">
        <w:t>.</w:t>
      </w:r>
    </w:p>
    <w:p w:rsidR="00612FD3" w:rsidRDefault="00612FD3" w:rsidP="00612FD3">
      <w:pPr>
        <w:pStyle w:val="ListBullet"/>
        <w:numPr>
          <w:ilvl w:val="0"/>
          <w:numId w:val="36"/>
        </w:numPr>
      </w:pPr>
      <w:r>
        <w:lastRenderedPageBreak/>
        <w:t>Information asymmetries and the landlord</w:t>
      </w:r>
      <w:r>
        <w:noBreakHyphen/>
        <w:t>tenant/builder-occupant split incentives problem are also likely to contribute to the energy efficiency paradox for smaller office buildings and leased retail premises (including shopping centres) and when buildings of all types are sold.</w:t>
      </w:r>
    </w:p>
    <w:p w:rsidR="00612FD3" w:rsidRDefault="00612FD3" w:rsidP="00612FD3">
      <w:pPr>
        <w:pStyle w:val="ListBullet2"/>
        <w:numPr>
          <w:ilvl w:val="1"/>
          <w:numId w:val="36"/>
        </w:numPr>
      </w:pPr>
      <w:r>
        <w:t>Commercial Building Disclosure (CBD) requirements do not apply to smaller office buildings. Although voluntary rating tools (including NABERS and Green Star) are available, they are not used by all building owners/managers in this market. Also, smaller office buildings are more likely to have small business tenants, where the behavioural anomalies discussed above are most likely to apply.</w:t>
      </w:r>
    </w:p>
    <w:p w:rsidR="00612FD3" w:rsidRDefault="00612FD3" w:rsidP="00612FD3">
      <w:pPr>
        <w:pStyle w:val="ListBullet2"/>
        <w:numPr>
          <w:ilvl w:val="1"/>
          <w:numId w:val="36"/>
        </w:numPr>
      </w:pPr>
      <w:r>
        <w:t>Similarly, information asymmetries are likely to apply to retail buildings, which consume around 40 per cent of the energy used by new commercial buildings. A voluntary rating tool is available for shopping centres, but not all shopping centres have obtained a rating.</w:t>
      </w:r>
    </w:p>
    <w:p w:rsidR="00612FD3" w:rsidRDefault="00612FD3" w:rsidP="00612FD3">
      <w:pPr>
        <w:pStyle w:val="ListBullet"/>
        <w:numPr>
          <w:ilvl w:val="0"/>
          <w:numId w:val="36"/>
        </w:numPr>
      </w:pPr>
      <w:r>
        <w:t>For larger office buildings, mandatory energy efficiency disclosure requirements are likely to address information asymmetries and the landlord</w:t>
      </w:r>
      <w:r>
        <w:noBreakHyphen/>
        <w:t>tenant problem. There is some (albeit limited) evidence to suggest that energy savings are capitalised into building sale prices and rents for larger commercial buildings.</w:t>
      </w:r>
    </w:p>
    <w:p w:rsidR="00612FD3" w:rsidRDefault="00612FD3" w:rsidP="00612FD3">
      <w:pPr>
        <w:pStyle w:val="Heading3"/>
        <w:numPr>
          <w:ilvl w:val="2"/>
          <w:numId w:val="5"/>
        </w:numPr>
        <w:rPr>
          <w:lang w:eastAsia="en-US"/>
        </w:rPr>
      </w:pPr>
      <w:r>
        <w:rPr>
          <w:lang w:eastAsia="en-US"/>
        </w:rPr>
        <w:t>Risk of regulatory failure</w:t>
      </w:r>
    </w:p>
    <w:p w:rsidR="00612FD3" w:rsidRDefault="00612FD3" w:rsidP="00612FD3">
      <w:pPr>
        <w:pStyle w:val="BodyText"/>
      </w:pPr>
      <w:r>
        <w:t>While market failures provide an ‘in principle’ justification for minimum energy efficiency standards for commercial buildings, it is also important to acknowledge the risk of regulatory failure. Regulatory failure in relation to minimum energy efficiency standards for commercial buildings could occur in several ways, including the following.</w:t>
      </w:r>
    </w:p>
    <w:p w:rsidR="00612FD3" w:rsidRDefault="00612FD3" w:rsidP="00612FD3">
      <w:pPr>
        <w:pStyle w:val="ListBullet"/>
        <w:numPr>
          <w:ilvl w:val="0"/>
          <w:numId w:val="36"/>
        </w:numPr>
      </w:pPr>
      <w:r>
        <w:t xml:space="preserve">Minimum standards are overly stringent — where minimum energy efficiency standards are set too high, the cost of achieving the minimum standard may outweigh the benefits for at least some buildings. The optimal level of energy efficiency will vary significantly across buildings due to a wide range of factors. The NCC takes into account differences across </w:t>
      </w:r>
      <w:r w:rsidR="00E31EE8">
        <w:t>Climate Zone</w:t>
      </w:r>
      <w:r>
        <w:t>s and building type. However, this will not address all of the variation across buildings, with the optimal level of energy efficiency also affected by factors such as: the microclimate and energy prices in the specific location; differences in occupancy patterns within a building type; and the design preferences of the building owner. Given this variation, setting the minimum standard at the correct level is a difficult challenge.</w:t>
      </w:r>
    </w:p>
    <w:p w:rsidR="00612FD3" w:rsidRDefault="00612FD3" w:rsidP="00612FD3">
      <w:pPr>
        <w:pStyle w:val="ListBullet"/>
        <w:numPr>
          <w:ilvl w:val="0"/>
          <w:numId w:val="36"/>
        </w:numPr>
      </w:pPr>
      <w:r>
        <w:t xml:space="preserve">The minimum standards are poorly specified — specifying minimum energy efficiency standards in a way that achieves the intended improvement in energy performance in without unduly increasing costs is a complex exercise. Poor specification of the minimum standards could lead to some perverse outcomes. For example, </w:t>
      </w:r>
      <w:r w:rsidR="003F28DD">
        <w:t>EA</w:t>
      </w:r>
      <w:r>
        <w:t xml:space="preserve">’s modelling suggests that the glazing </w:t>
      </w:r>
      <w:r w:rsidR="00271F6A">
        <w:t>provisions</w:t>
      </w:r>
      <w:r>
        <w:t xml:space="preserve"> in the </w:t>
      </w:r>
      <w:r w:rsidR="00271F6A">
        <w:t xml:space="preserve">current </w:t>
      </w:r>
      <w:r>
        <w:t>NCC overemphasise the importance of the U-value and underemphasises the importance of the solar heat gain coefficient (SHGC), particularly for daytime operating buildings. In some cases, this may be preventing developers from choosing glazing constructions that are both cheaper and perform better than the cheapest compliant option.</w:t>
      </w:r>
    </w:p>
    <w:p w:rsidR="00612FD3" w:rsidRDefault="00612FD3" w:rsidP="00612FD3">
      <w:pPr>
        <w:pStyle w:val="BodyText"/>
        <w:rPr>
          <w:lang w:eastAsia="en-US"/>
        </w:rPr>
      </w:pPr>
      <w:r>
        <w:rPr>
          <w:lang w:eastAsia="en-US"/>
        </w:rPr>
        <w:t xml:space="preserve">An additional downside of </w:t>
      </w:r>
      <w:r w:rsidR="00487211" w:rsidRPr="00E372D7">
        <w:rPr>
          <w:lang w:eastAsia="en-US"/>
        </w:rPr>
        <w:t>higher</w:t>
      </w:r>
      <w:r w:rsidR="00B749FC" w:rsidRPr="00E372D7">
        <w:rPr>
          <w:lang w:eastAsia="en-US"/>
        </w:rPr>
        <w:t xml:space="preserve"> than </w:t>
      </w:r>
      <w:r w:rsidR="00487211" w:rsidRPr="00E372D7">
        <w:rPr>
          <w:lang w:eastAsia="en-US"/>
        </w:rPr>
        <w:t>necessary</w:t>
      </w:r>
      <w:r w:rsidR="00B749FC">
        <w:rPr>
          <w:lang w:eastAsia="en-US"/>
        </w:rPr>
        <w:t xml:space="preserve"> </w:t>
      </w:r>
      <w:r>
        <w:rPr>
          <w:lang w:eastAsia="en-US"/>
        </w:rPr>
        <w:t xml:space="preserve">minimum standards is that they restrict competition by excluding products that do not meet the specified standard. </w:t>
      </w:r>
    </w:p>
    <w:p w:rsidR="00612FD3" w:rsidRDefault="00612FD3" w:rsidP="00612FD3">
      <w:pPr>
        <w:pStyle w:val="Heading2"/>
        <w:numPr>
          <w:ilvl w:val="1"/>
          <w:numId w:val="5"/>
        </w:numPr>
      </w:pPr>
      <w:bookmarkStart w:id="426" w:name="_Toc509220783"/>
      <w:bookmarkStart w:id="427" w:name="_Toc529869832"/>
      <w:bookmarkStart w:id="428" w:name="_Toc530748549"/>
      <w:r>
        <w:lastRenderedPageBreak/>
        <w:t>The case for change</w:t>
      </w:r>
      <w:bookmarkEnd w:id="426"/>
      <w:bookmarkEnd w:id="427"/>
      <w:bookmarkEnd w:id="428"/>
    </w:p>
    <w:p w:rsidR="00612FD3" w:rsidRDefault="00612FD3" w:rsidP="00612FD3">
      <w:pPr>
        <w:pStyle w:val="BodyText"/>
      </w:pPr>
      <w:r>
        <w:t xml:space="preserve">As outlined above, minimum energy efficiency requirements for commercial buildings have been specified in the NCC since </w:t>
      </w:r>
      <w:r w:rsidRPr="00702D02">
        <w:t>200</w:t>
      </w:r>
      <w:r w:rsidRPr="00C86CAF">
        <w:t>6</w:t>
      </w:r>
      <w:r>
        <w:t>. The stringency of these minimum standards was increased in 2010, but have not been updated since. The case for change is set out below.</w:t>
      </w:r>
    </w:p>
    <w:p w:rsidR="00612FD3" w:rsidRDefault="00612FD3" w:rsidP="00612FD3">
      <w:pPr>
        <w:pStyle w:val="Heading3"/>
        <w:numPr>
          <w:ilvl w:val="2"/>
          <w:numId w:val="5"/>
        </w:numPr>
      </w:pPr>
      <w:r>
        <w:t>Policy drivers</w:t>
      </w:r>
    </w:p>
    <w:p w:rsidR="00612FD3" w:rsidRDefault="00612FD3" w:rsidP="00612FD3">
      <w:pPr>
        <w:pStyle w:val="BodyText"/>
      </w:pPr>
      <w:r>
        <w:t>As discussed above, a number of recent policy developments are driving the case to increase the stringency of the minimum energy efficiency requirements for commercial buildings set out in the NCC.</w:t>
      </w:r>
    </w:p>
    <w:p w:rsidR="00612FD3" w:rsidRDefault="00612FD3" w:rsidP="00612FD3">
      <w:pPr>
        <w:pStyle w:val="BodyText"/>
      </w:pPr>
      <w:r>
        <w:t>Under the Paris Agreement, Australia has committed to implementing an economy-wide target to reduce greenhouse gas emissions by 26 to 28 per cent below the 2005 level by 2030.</w:t>
      </w:r>
      <w:r>
        <w:rPr>
          <w:rStyle w:val="FootnoteReference"/>
        </w:rPr>
        <w:footnoteReference w:id="27"/>
      </w:r>
      <w:r>
        <w:t xml:space="preserve"> The domestic challenge is to achieve these targets at least cost. Energy efficiency is often cited as a low (or in some cases negative) cost approach to achieving greenhouse gas abatement.</w:t>
      </w:r>
      <w:r>
        <w:rPr>
          <w:rStyle w:val="FootnoteReference"/>
        </w:rPr>
        <w:footnoteReference w:id="28"/>
      </w:r>
    </w:p>
    <w:p w:rsidR="00612FD3" w:rsidRDefault="00612FD3" w:rsidP="00612FD3">
      <w:pPr>
        <w:pStyle w:val="BodyText"/>
      </w:pPr>
      <w:r>
        <w:t>In addition, the National Energy Productivity Plan (NEPP) sets a target of achieving a 40 per cent improvement in energy productivity between 2015 and 2030. Changes to the minimum energy efficiency requirements for commercial buildings in the NCC has been identified as an approach that is likely to deliver strong productivity and emissions reduction benefits.</w:t>
      </w:r>
      <w:r>
        <w:rPr>
          <w:rStyle w:val="FootnoteReference"/>
        </w:rPr>
        <w:footnoteReference w:id="29"/>
      </w:r>
    </w:p>
    <w:p w:rsidR="00612FD3" w:rsidRDefault="00612FD3" w:rsidP="00612FD3">
      <w:pPr>
        <w:pStyle w:val="Heading3"/>
        <w:numPr>
          <w:ilvl w:val="2"/>
          <w:numId w:val="5"/>
        </w:numPr>
      </w:pPr>
      <w:r>
        <w:t>Market developments</w:t>
      </w:r>
    </w:p>
    <w:p w:rsidR="00612FD3" w:rsidRDefault="00612FD3" w:rsidP="00612FD3">
      <w:pPr>
        <w:pStyle w:val="BodyText"/>
      </w:pPr>
      <w:r>
        <w:t>The cost effectiveness of energy efficiency measures depends fundamentally on the price of energy and the cost of energy efficient technologies and designs relative to alternatives. Since the minimum energy efficiency standards for commercial buildings were last updated:</w:t>
      </w:r>
    </w:p>
    <w:p w:rsidR="00612FD3" w:rsidRDefault="00612FD3" w:rsidP="00612FD3">
      <w:pPr>
        <w:pStyle w:val="ListBullet"/>
        <w:numPr>
          <w:ilvl w:val="0"/>
          <w:numId w:val="36"/>
        </w:numPr>
      </w:pPr>
      <w:r>
        <w:t>Energy prices have increased significantly — in particular:</w:t>
      </w:r>
    </w:p>
    <w:p w:rsidR="00612FD3" w:rsidRDefault="00612FD3" w:rsidP="00612FD3">
      <w:pPr>
        <w:pStyle w:val="ListBullet2"/>
        <w:numPr>
          <w:ilvl w:val="1"/>
          <w:numId w:val="36"/>
        </w:numPr>
      </w:pPr>
      <w:r>
        <w:t>retail electricity prices have increased by between 80 and 90 per cent in real terms over the past ten years;</w:t>
      </w:r>
      <w:r>
        <w:rPr>
          <w:rStyle w:val="FootnoteReference"/>
        </w:rPr>
        <w:footnoteReference w:id="30"/>
      </w:r>
      <w:r>
        <w:t xml:space="preserve"> and</w:t>
      </w:r>
    </w:p>
    <w:p w:rsidR="00612FD3" w:rsidRDefault="00487211" w:rsidP="00612FD3">
      <w:pPr>
        <w:pStyle w:val="ListBullet2"/>
        <w:numPr>
          <w:ilvl w:val="1"/>
          <w:numId w:val="36"/>
        </w:numPr>
      </w:pPr>
      <w:r>
        <w:t>Gas</w:t>
      </w:r>
      <w:r w:rsidR="00612FD3">
        <w:t xml:space="preserve"> prices have doubled in the Southern States (South Australia, New South Wales, the Australian Capital Territory, Victoria and Tasmania) over the past year and increased by over 50 per cent in Queensland.</w:t>
      </w:r>
      <w:r w:rsidR="00612FD3">
        <w:rPr>
          <w:rStyle w:val="FootnoteReference"/>
        </w:rPr>
        <w:footnoteReference w:id="31"/>
      </w:r>
    </w:p>
    <w:p w:rsidR="00612FD3" w:rsidRDefault="00612FD3" w:rsidP="00612FD3">
      <w:pPr>
        <w:pStyle w:val="ListBullet"/>
        <w:numPr>
          <w:ilvl w:val="0"/>
          <w:numId w:val="36"/>
        </w:numPr>
      </w:pPr>
      <w:r>
        <w:t>The cost of some energy efficient technologies have decreased significantly — for example:</w:t>
      </w:r>
    </w:p>
    <w:p w:rsidR="00612FD3" w:rsidRDefault="00612FD3" w:rsidP="00612FD3">
      <w:pPr>
        <w:pStyle w:val="ListBullet2"/>
        <w:numPr>
          <w:ilvl w:val="1"/>
          <w:numId w:val="36"/>
        </w:numPr>
      </w:pPr>
      <w:r>
        <w:t>the lighting industry reported that the cost of energy efficient light emitting diode (LED) lighting has fallen by more than 50 per cent in recent years; and</w:t>
      </w:r>
    </w:p>
    <w:p w:rsidR="00612FD3" w:rsidRDefault="00612FD3" w:rsidP="00612FD3">
      <w:pPr>
        <w:pStyle w:val="ListBullet2"/>
        <w:numPr>
          <w:ilvl w:val="1"/>
          <w:numId w:val="36"/>
        </w:numPr>
      </w:pPr>
      <w:r>
        <w:t>glazing industry representatives also reported significant reductions in the cost of energy efficient glazing in the Australian market over recent years.</w:t>
      </w:r>
    </w:p>
    <w:p w:rsidR="00612FD3" w:rsidRDefault="00612FD3" w:rsidP="00612FD3">
      <w:pPr>
        <w:pStyle w:val="BodyText"/>
      </w:pPr>
      <w:r>
        <w:t>As a result, the range of cost</w:t>
      </w:r>
      <w:r>
        <w:noBreakHyphen/>
        <w:t>effective energy efficiency opportunities will have expanded significantly.</w:t>
      </w:r>
    </w:p>
    <w:p w:rsidR="00612FD3" w:rsidRDefault="00612FD3" w:rsidP="00612FD3">
      <w:pPr>
        <w:pStyle w:val="Heading3"/>
        <w:numPr>
          <w:ilvl w:val="2"/>
          <w:numId w:val="5"/>
        </w:numPr>
      </w:pPr>
      <w:r>
        <w:t>Inefficiencies in the existing NCC</w:t>
      </w:r>
    </w:p>
    <w:p w:rsidR="00612FD3" w:rsidRDefault="00612FD3" w:rsidP="00612FD3">
      <w:pPr>
        <w:pStyle w:val="BodyText"/>
      </w:pPr>
      <w:r>
        <w:t>The review of Section J has identified a number of inefficiencies in the existing NCC, including:</w:t>
      </w:r>
    </w:p>
    <w:p w:rsidR="00612FD3" w:rsidRDefault="00612FD3" w:rsidP="00612FD3">
      <w:pPr>
        <w:pStyle w:val="ListBullet"/>
        <w:numPr>
          <w:ilvl w:val="0"/>
          <w:numId w:val="36"/>
        </w:numPr>
      </w:pPr>
      <w:r>
        <w:t>complex and ambiguous requirements that may not be easily understood by users and may potentially be leading to inadvertent non</w:t>
      </w:r>
      <w:r>
        <w:noBreakHyphen/>
        <w:t>compliance; and</w:t>
      </w:r>
    </w:p>
    <w:p w:rsidR="00612FD3" w:rsidRDefault="00612FD3" w:rsidP="00612FD3">
      <w:pPr>
        <w:pStyle w:val="ListBullet"/>
        <w:numPr>
          <w:ilvl w:val="0"/>
          <w:numId w:val="36"/>
        </w:numPr>
      </w:pPr>
      <w:r>
        <w:t>sub</w:t>
      </w:r>
      <w:r>
        <w:noBreakHyphen/>
        <w:t>optimal approaches to some building elements, which may be preventing users from choosing more cost</w:t>
      </w:r>
      <w:r>
        <w:noBreakHyphen/>
        <w:t>effective energy efficiency options.</w:t>
      </w:r>
    </w:p>
    <w:p w:rsidR="00612FD3" w:rsidRDefault="00612FD3" w:rsidP="00612FD3">
      <w:pPr>
        <w:pStyle w:val="BodyText"/>
      </w:pPr>
      <w:r>
        <w:t>This is a regulatory failure, rather than a market failure. Nevertheless, addressing these inefficiencies could deliver more energy efficient buildings at minimal (or even negative) additional cost.</w:t>
      </w:r>
    </w:p>
    <w:p w:rsidR="00612FD3" w:rsidRDefault="00612FD3" w:rsidP="00612FD3">
      <w:pPr>
        <w:pStyle w:val="Heading3"/>
        <w:numPr>
          <w:ilvl w:val="2"/>
          <w:numId w:val="5"/>
        </w:numPr>
      </w:pPr>
      <w:r>
        <w:t>Modelling showing cost effective energy efficiency opportunities in commercial buildings</w:t>
      </w:r>
    </w:p>
    <w:p w:rsidR="00612FD3" w:rsidRDefault="00612FD3" w:rsidP="00612FD3">
      <w:pPr>
        <w:pStyle w:val="BodyText"/>
      </w:pPr>
      <w:r>
        <w:t xml:space="preserve">Estimating the size of the energy efficiency gap for commercial buildings is a challenging exercise. In its year-long </w:t>
      </w:r>
      <w:r w:rsidRPr="007B3C62">
        <w:rPr>
          <w:i/>
        </w:rPr>
        <w:t>Inquiry into the private cost effectiveness of energy efficiency</w:t>
      </w:r>
      <w:r>
        <w:t xml:space="preserve"> (completed in 2005), the Productivity Commission found that there was such uncertainty (and so many unknowns) about the size of the energy efficiency gap across the Australian economy (not just for commercial buildings) that it is impossible to say how big it is.</w:t>
      </w:r>
      <w:r>
        <w:rPr>
          <w:rStyle w:val="FootnoteReference"/>
        </w:rPr>
        <w:footnoteReference w:id="32"/>
      </w:r>
    </w:p>
    <w:p w:rsidR="00612FD3" w:rsidRDefault="00612FD3" w:rsidP="00612FD3">
      <w:pPr>
        <w:pStyle w:val="BodyText"/>
      </w:pPr>
      <w:r>
        <w:t>Nevertheless, several studies have tried to quantify the extent to which ‘cost</w:t>
      </w:r>
      <w:r>
        <w:noBreakHyphen/>
        <w:t>effective’ energy savings could be made relative to the minimum standards currently specified in the NCC.</w:t>
      </w:r>
    </w:p>
    <w:p w:rsidR="00612FD3" w:rsidRDefault="00612FD3" w:rsidP="00612FD3">
      <w:pPr>
        <w:pStyle w:val="BodyText"/>
      </w:pPr>
      <w:r>
        <w:t>In 2012, the (then) Department of Climate Change and Energy Efficiency commissioned a report to identify cost effective savings in the energy consumption of new buildings that could be achieved in Australia by 2020. The report covered both residential and commercial buildings (the report was updated in 2016).</w:t>
      </w:r>
      <w:r w:rsidR="00A57430">
        <w:rPr>
          <w:rStyle w:val="FootnoteReference"/>
        </w:rPr>
        <w:footnoteReference w:id="33"/>
      </w:r>
    </w:p>
    <w:p w:rsidR="00612FD3" w:rsidRDefault="00612FD3" w:rsidP="00612FD3">
      <w:pPr>
        <w:pStyle w:val="BodyText"/>
      </w:pPr>
      <w:r>
        <w:t>The updated report suggested substantial savings could be achieved in new commercial buildings (table 2.3). With a learning rate of 3 per cent per year (i.e. the additional cost of achieving higher energy efficiency standards declines by 3 per cent per year), by 2020:</w:t>
      </w:r>
    </w:p>
    <w:p w:rsidR="00612FD3" w:rsidRDefault="00612FD3" w:rsidP="00612FD3">
      <w:pPr>
        <w:pStyle w:val="ListBullet"/>
        <w:numPr>
          <w:ilvl w:val="0"/>
          <w:numId w:val="36"/>
        </w:numPr>
      </w:pPr>
      <w:r>
        <w:t>energy savings of around 37 per cent (in weighted average terms) could be achieved by 2020, with savings ranging from around 17 per cent in Melbourne up to around 73 per cent in Darwin, in a scenario without carbon price.</w:t>
      </w:r>
    </w:p>
    <w:p w:rsidR="00612FD3" w:rsidRDefault="00612FD3" w:rsidP="00612FD3">
      <w:pPr>
        <w:pStyle w:val="ListBullet"/>
        <w:numPr>
          <w:ilvl w:val="0"/>
          <w:numId w:val="36"/>
        </w:numPr>
      </w:pPr>
      <w:r>
        <w:t>energy savings of around 53 per cent (in weighted average terms) could be achieved, with savings ranging from around 29 per cent in Hobart up to around 79 per cent in Darwin, in a scenario with medium price (the shadow price of carbon begins at $5.49/t CO</w:t>
      </w:r>
      <w:r>
        <w:rPr>
          <w:vertAlign w:val="subscript"/>
        </w:rPr>
        <w:t>2</w:t>
      </w:r>
      <w:r>
        <w:t>-e in 2015 and rise to $30.14 in 2020, $36.67 in 2025, $44.61 in 2030 and $56.45 in 2036).</w:t>
      </w:r>
      <w:r>
        <w:rPr>
          <w:rStyle w:val="FootnoteReference"/>
        </w:rPr>
        <w:footnoteReference w:id="34"/>
      </w:r>
    </w:p>
    <w:bookmarkStart w:id="429" w:name="_Toc505120633"/>
    <w:p w:rsidR="00612FD3" w:rsidRDefault="00612FD3" w:rsidP="00612FD3">
      <w:pPr>
        <w:pStyle w:val="Caption"/>
      </w:pPr>
      <w:r w:rsidRPr="00695C93">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sidR="00B833F1">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sidR="00B833F1">
        <w:rPr>
          <w:noProof/>
        </w:rPr>
        <w:instrText>2</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sidR="00B833F1">
        <w:rPr>
          <w:noProof/>
        </w:rPr>
        <w:instrText>2</w:instrText>
      </w:r>
      <w:r>
        <w:rPr>
          <w:noProof/>
        </w:rPr>
        <w:fldChar w:fldCharType="end"/>
      </w:r>
      <w:r w:rsidRPr="00695C93">
        <w:instrText xml:space="preserve">." </w:instrText>
      </w:r>
      <w:r w:rsidRPr="00695C93">
        <w:fldChar w:fldCharType="separate"/>
      </w:r>
      <w:r w:rsidR="00B833F1">
        <w:rPr>
          <w:noProof/>
        </w:rPr>
        <w:instrText>2</w:instrText>
      </w:r>
      <w:r w:rsidR="00B833F1" w:rsidRPr="00695C93">
        <w:rPr>
          <w:noProof/>
        </w:rPr>
        <w:instrText>.</w:instrText>
      </w:r>
      <w:r w:rsidRPr="00695C93">
        <w:fldChar w:fldCharType="end"/>
      </w:r>
      <w:r w:rsidRPr="00695C93">
        <w:instrText>" "</w:instrText>
      </w:r>
      <w:r w:rsidR="001F6F43">
        <w:fldChar w:fldCharType="begin"/>
      </w:r>
      <w:r w:rsidR="001F6F43">
        <w:instrText xml:space="preserve"> STYLEREF "Heading 6" \l \n </w:instrText>
      </w:r>
      <w:r w:rsidR="001F6F43">
        <w:fldChar w:fldCharType="separate"/>
      </w:r>
      <w:r w:rsidRPr="00695C93">
        <w:instrText>B</w:instrText>
      </w:r>
      <w:r w:rsidR="001F6F43">
        <w:fldChar w:fldCharType="end"/>
      </w:r>
      <w:r w:rsidRPr="00695C93">
        <w:instrText xml:space="preserve">." </w:instrText>
      </w:r>
      <w:r w:rsidRPr="00695C93">
        <w:fldChar w:fldCharType="separate"/>
      </w:r>
      <w:r w:rsidR="00EA42ED">
        <w:rPr>
          <w:noProof/>
        </w:rPr>
        <w:instrText>2</w:instrText>
      </w:r>
      <w:r w:rsidR="00EA42ED"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sidR="00B833F1">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sidR="00B833F1">
        <w:rPr>
          <w:noProof/>
        </w:rPr>
        <w:instrText>2</w:instrText>
      </w:r>
      <w:r>
        <w:rPr>
          <w:noProof/>
        </w:rPr>
        <w:fldChar w:fldCharType="end"/>
      </w:r>
      <w:r w:rsidRPr="00695C93">
        <w:instrText xml:space="preserve"> = 0 "" "1" </w:instrText>
      </w:r>
      <w:r w:rsidRPr="00695C93">
        <w:fldChar w:fldCharType="separate"/>
      </w:r>
      <w:r w:rsidR="00EA42ED" w:rsidRPr="00695C93">
        <w:rPr>
          <w:noProof/>
        </w:rPr>
        <w:instrText>1</w:instrText>
      </w:r>
      <w:r w:rsidRPr="00695C93">
        <w:fldChar w:fldCharType="end"/>
      </w:r>
      <w:r w:rsidRPr="00695C93">
        <w:instrText xml:space="preserve">" "6" </w:instrText>
      </w:r>
      <w:r w:rsidRPr="00695C93">
        <w:fldChar w:fldCharType="separate"/>
      </w:r>
      <w:r w:rsidR="00EA42ED" w:rsidRPr="00695C93">
        <w:rPr>
          <w:noProof/>
        </w:rPr>
        <w:instrText>1</w:instrText>
      </w:r>
      <w:r w:rsidRPr="00695C93">
        <w:fldChar w:fldCharType="end"/>
      </w:r>
      <w:r w:rsidRPr="00695C93">
        <w:instrText xml:space="preserve"> </w:instrText>
      </w:r>
      <w:r w:rsidRPr="00695C93">
        <w:fldChar w:fldCharType="separate"/>
      </w:r>
      <w:r w:rsidR="00B833F1">
        <w:rPr>
          <w:noProof/>
        </w:rPr>
        <w:instrText>3</w:instrText>
      </w:r>
      <w:r w:rsidRPr="00695C93">
        <w:fldChar w:fldCharType="end"/>
      </w:r>
      <w:r w:rsidRPr="00695C93">
        <w:instrText xml:space="preserve">" "" </w:instrText>
      </w:r>
      <w:r w:rsidRPr="00695C93">
        <w:fldChar w:fldCharType="separate"/>
      </w:r>
      <w:bookmarkStart w:id="430" w:name="_Caption5810"/>
      <w:bookmarkStart w:id="431" w:name="_Caption4487"/>
      <w:bookmarkStart w:id="432" w:name="_Caption9678"/>
      <w:bookmarkStart w:id="433" w:name="_Caption5744"/>
      <w:bookmarkStart w:id="434" w:name="_Caption5106"/>
      <w:bookmarkStart w:id="435" w:name="_Caption7915"/>
      <w:bookmarkStart w:id="436" w:name="_Caption7413"/>
      <w:bookmarkStart w:id="437" w:name="_Caption4645"/>
      <w:bookmarkStart w:id="438" w:name="_Caption7417"/>
      <w:bookmarkStart w:id="439" w:name="_Caption3648"/>
      <w:bookmarkStart w:id="440" w:name="_Caption1402"/>
      <w:bookmarkStart w:id="441" w:name="_Caption5162"/>
      <w:bookmarkStart w:id="442" w:name="_Caption5832"/>
      <w:bookmarkStart w:id="443" w:name="_Caption0574"/>
      <w:bookmarkStart w:id="444" w:name="_Caption0625"/>
      <w:bookmarkStart w:id="445" w:name="_Caption6133"/>
      <w:bookmarkStart w:id="446" w:name="_Caption6606"/>
      <w:bookmarkStart w:id="447" w:name="_Caption5542"/>
      <w:bookmarkStart w:id="448" w:name="_Caption4907"/>
      <w:bookmarkStart w:id="449" w:name="_Caption4556"/>
      <w:bookmarkStart w:id="450" w:name="_Caption7478"/>
      <w:bookmarkStart w:id="451" w:name="_Caption5084"/>
      <w:bookmarkStart w:id="452" w:name="_Caption7568"/>
      <w:bookmarkStart w:id="453" w:name="_Caption4311"/>
      <w:bookmarkStart w:id="454" w:name="_Caption4443"/>
      <w:bookmarkStart w:id="455" w:name="_Caption7323"/>
      <w:bookmarkStart w:id="456" w:name="_Caption1621"/>
      <w:bookmarkStart w:id="457" w:name="_Caption3424"/>
      <w:bookmarkStart w:id="458" w:name="_Caption4995"/>
      <w:bookmarkStart w:id="459" w:name="_Caption0514"/>
      <w:bookmarkStart w:id="460" w:name="_Caption4610"/>
      <w:bookmarkStart w:id="461" w:name="_Caption6115"/>
      <w:bookmarkStart w:id="462" w:name="_Caption2413"/>
      <w:bookmarkStart w:id="463" w:name="_Caption6535"/>
      <w:bookmarkStart w:id="464" w:name="_Caption2171"/>
      <w:bookmarkStart w:id="465" w:name="_Caption5740"/>
      <w:bookmarkStart w:id="466" w:name="_Caption0109"/>
      <w:bookmarkStart w:id="467" w:name="_Caption6168"/>
      <w:bookmarkStart w:id="468" w:name="_Caption5559"/>
      <w:bookmarkStart w:id="469" w:name="_Caption6572"/>
      <w:bookmarkStart w:id="470" w:name="_Caption3468"/>
      <w:bookmarkStart w:id="471" w:name="_Caption0220"/>
      <w:bookmarkStart w:id="472" w:name="_Caption4263"/>
      <w:bookmarkStart w:id="473" w:name="_Caption2480"/>
      <w:bookmarkStart w:id="474" w:name="_Caption4470"/>
      <w:bookmarkStart w:id="475" w:name="_Caption6206"/>
      <w:bookmarkStart w:id="476" w:name="_Caption8455"/>
      <w:bookmarkStart w:id="477" w:name="_Caption3138"/>
      <w:bookmarkStart w:id="478" w:name="_Caption4242"/>
      <w:bookmarkStart w:id="479" w:name="_Caption7409"/>
      <w:bookmarkStart w:id="480" w:name="_Caption6688"/>
      <w:bookmarkStart w:id="481" w:name="_Caption7321"/>
      <w:bookmarkStart w:id="482" w:name="_Caption0084"/>
      <w:bookmarkStart w:id="483" w:name="_Caption4314"/>
      <w:bookmarkStart w:id="484" w:name="_Caption2976"/>
      <w:bookmarkStart w:id="485" w:name="_Caption5184"/>
      <w:bookmarkStart w:id="486" w:name="_Caption7850"/>
      <w:bookmarkStart w:id="487" w:name="_Caption5170"/>
      <w:bookmarkStart w:id="488" w:name="_Caption6367"/>
      <w:bookmarkStart w:id="489" w:name="_Caption0245"/>
      <w:bookmarkStart w:id="490" w:name="_Caption4898"/>
      <w:bookmarkStart w:id="491" w:name="_Caption2606"/>
      <w:bookmarkStart w:id="492" w:name="_Caption8023"/>
      <w:bookmarkStart w:id="493" w:name="_Caption7778"/>
      <w:bookmarkStart w:id="494" w:name="_Caption7080"/>
      <w:bookmarkStart w:id="495" w:name="_Caption7539"/>
      <w:bookmarkStart w:id="496" w:name="_Caption1914"/>
      <w:bookmarkStart w:id="497" w:name="_Caption7981"/>
      <w:bookmarkStart w:id="498" w:name="_Caption0389"/>
      <w:bookmarkStart w:id="499" w:name="_Caption8862"/>
      <w:bookmarkStart w:id="500" w:name="_Caption6325"/>
      <w:bookmarkStart w:id="501" w:name="_Caption8912"/>
      <w:bookmarkStart w:id="502" w:name="_Caption1261"/>
      <w:bookmarkStart w:id="503" w:name="_Caption2256"/>
      <w:bookmarkStart w:id="504" w:name="_Caption9486"/>
      <w:bookmarkStart w:id="505" w:name="_Caption7847"/>
      <w:bookmarkStart w:id="506" w:name="_Caption0119"/>
      <w:bookmarkStart w:id="507" w:name="_Caption3356"/>
      <w:bookmarkStart w:id="508" w:name="_Caption0157"/>
      <w:bookmarkStart w:id="509" w:name="_Caption0808"/>
      <w:bookmarkStart w:id="510" w:name="_Caption4303"/>
      <w:bookmarkStart w:id="511" w:name="_Caption5330"/>
      <w:bookmarkStart w:id="512" w:name="_Caption7574"/>
      <w:bookmarkStart w:id="513" w:name="_Caption8615"/>
      <w:bookmarkStart w:id="514" w:name="_Caption9626"/>
      <w:bookmarkStart w:id="515" w:name="_Caption7592"/>
      <w:bookmarkStart w:id="516" w:name="_Caption1217"/>
      <w:bookmarkStart w:id="517" w:name="_Caption7562"/>
      <w:bookmarkStart w:id="518" w:name="_Caption7297"/>
      <w:bookmarkStart w:id="519" w:name="_Caption4590"/>
      <w:bookmarkStart w:id="520" w:name="_Caption8822"/>
      <w:bookmarkStart w:id="521" w:name="_Caption3748"/>
      <w:bookmarkStart w:id="522" w:name="_Caption7448"/>
      <w:bookmarkStart w:id="523" w:name="_Caption8317"/>
      <w:bookmarkStart w:id="524" w:name="_Caption0798"/>
      <w:bookmarkStart w:id="525" w:name="_Caption0942"/>
      <w:bookmarkStart w:id="526" w:name="_Caption1638"/>
      <w:bookmarkStart w:id="527" w:name="_Caption8945"/>
      <w:bookmarkStart w:id="528" w:name="_Caption7134"/>
      <w:bookmarkStart w:id="529" w:name="_Caption0327"/>
      <w:bookmarkStart w:id="530" w:name="_Caption5083"/>
      <w:bookmarkStart w:id="531" w:name="_Caption5283"/>
      <w:bookmarkStart w:id="532" w:name="_Caption8063"/>
      <w:bookmarkStart w:id="533" w:name="_Caption7055"/>
      <w:bookmarkStart w:id="534" w:name="_Caption1213"/>
      <w:bookmarkStart w:id="535" w:name="_Caption7770"/>
      <w:bookmarkStart w:id="536" w:name="_Caption5356"/>
      <w:bookmarkStart w:id="537" w:name="_Caption3909"/>
      <w:bookmarkStart w:id="538" w:name="_Caption2966"/>
      <w:bookmarkStart w:id="539" w:name="_Caption4223"/>
      <w:bookmarkStart w:id="540" w:name="_Caption2790"/>
      <w:bookmarkStart w:id="541" w:name="_Toc499847036"/>
      <w:bookmarkStart w:id="542" w:name="_Toc509220841"/>
      <w:bookmarkStart w:id="543" w:name="_Toc529869897"/>
      <w:bookmarkStart w:id="544" w:name="_Toc530748393"/>
      <w:r w:rsidR="00EA42ED">
        <w:rPr>
          <w:noProof/>
        </w:rPr>
        <w:t>2</w:t>
      </w:r>
      <w:r w:rsidR="00EA42ED" w:rsidRPr="00695C93">
        <w:rPr>
          <w:noProof/>
        </w:rPr>
        <w:t>.</w:t>
      </w:r>
      <w:r w:rsidR="00EA42ED">
        <w:rPr>
          <w:noProof/>
        </w:rPr>
        <w:t>3</w:t>
      </w:r>
      <w:bookmarkStart w:id="545" w:name="_Toc507523792"/>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r w:rsidRPr="00695C93">
        <w:fldChar w:fldCharType="end"/>
      </w:r>
      <w:r w:rsidRPr="00695C93">
        <w:tab/>
      </w:r>
      <w:r>
        <w:t xml:space="preserve">Cost-effective energy savings in 2020 relative to </w:t>
      </w:r>
      <w:bookmarkEnd w:id="429"/>
      <w:bookmarkEnd w:id="541"/>
      <w:bookmarkEnd w:id="545"/>
      <w:r>
        <w:t>BCA 2010</w:t>
      </w:r>
      <w:bookmarkEnd w:id="542"/>
      <w:bookmarkEnd w:id="543"/>
      <w:bookmarkEnd w:id="544"/>
    </w:p>
    <w:tbl>
      <w:tblPr>
        <w:tblW w:w="7937" w:type="dxa"/>
        <w:tblLayout w:type="fixed"/>
        <w:tblLook w:val="0000" w:firstRow="0" w:lastRow="0" w:firstColumn="0" w:lastColumn="0" w:noHBand="0" w:noVBand="0"/>
        <w:tblCaption w:val="Table 2.3: Cost-effective energy savings in 2020 relative to BCA 2010"/>
        <w:tblDescription w:val="This table shows the estimated energy savings in percentage terms using the NCC 2010 as a baseline. The weighted average is 37% with no carbon price and 53% with a carbon price. "/>
      </w:tblPr>
      <w:tblGrid>
        <w:gridCol w:w="2645"/>
        <w:gridCol w:w="2646"/>
        <w:gridCol w:w="2646"/>
      </w:tblGrid>
      <w:tr w:rsidR="00612FD3" w:rsidTr="00301B6D">
        <w:trPr>
          <w:tblHeader/>
        </w:trPr>
        <w:tc>
          <w:tcPr>
            <w:tcW w:w="2645" w:type="dxa"/>
            <w:shd w:val="clear" w:color="auto" w:fill="6F6652"/>
            <w:tcMar>
              <w:left w:w="57" w:type="dxa"/>
              <w:right w:w="57" w:type="dxa"/>
            </w:tcMar>
          </w:tcPr>
          <w:p w:rsidR="00612FD3" w:rsidRDefault="00612FD3" w:rsidP="00301B6D">
            <w:pPr>
              <w:pStyle w:val="TableDataColumnHeading"/>
              <w:jc w:val="left"/>
            </w:pPr>
          </w:p>
        </w:tc>
        <w:tc>
          <w:tcPr>
            <w:tcW w:w="2646" w:type="dxa"/>
            <w:shd w:val="clear" w:color="auto" w:fill="6F6652"/>
            <w:tcMar>
              <w:left w:w="57" w:type="dxa"/>
              <w:right w:w="57" w:type="dxa"/>
            </w:tcMar>
          </w:tcPr>
          <w:p w:rsidR="00612FD3" w:rsidRDefault="00612FD3" w:rsidP="00301B6D">
            <w:pPr>
              <w:pStyle w:val="TableDataColumnHeading"/>
            </w:pPr>
            <w:r>
              <w:t>No carbon price</w:t>
            </w:r>
          </w:p>
        </w:tc>
        <w:tc>
          <w:tcPr>
            <w:tcW w:w="2646" w:type="dxa"/>
            <w:shd w:val="clear" w:color="auto" w:fill="6F6652"/>
            <w:tcMar>
              <w:left w:w="57" w:type="dxa"/>
              <w:right w:w="57" w:type="dxa"/>
            </w:tcMar>
          </w:tcPr>
          <w:p w:rsidR="00612FD3" w:rsidRDefault="00612FD3" w:rsidP="00301B6D">
            <w:pPr>
              <w:pStyle w:val="TableDataColumnHeading"/>
            </w:pPr>
            <w:r>
              <w:t>Medium carbon price</w:t>
            </w:r>
          </w:p>
        </w:tc>
      </w:tr>
      <w:tr w:rsidR="00612FD3" w:rsidTr="00301B6D">
        <w:trPr>
          <w:tblHeader/>
        </w:trPr>
        <w:tc>
          <w:tcPr>
            <w:tcW w:w="2645"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jc w:val="left"/>
            </w:pPr>
          </w:p>
        </w:tc>
        <w:tc>
          <w:tcPr>
            <w:tcW w:w="2646"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pPr>
            <w:r>
              <w:t>Per cent</w:t>
            </w:r>
          </w:p>
        </w:tc>
        <w:tc>
          <w:tcPr>
            <w:tcW w:w="2646"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pPr>
            <w:r>
              <w:t>Per cent</w:t>
            </w:r>
          </w:p>
        </w:tc>
      </w:tr>
      <w:tr w:rsidR="00612FD3" w:rsidTr="00301B6D">
        <w:tc>
          <w:tcPr>
            <w:tcW w:w="264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jc w:val="left"/>
            </w:pPr>
            <w:r>
              <w:t>Sydney (</w:t>
            </w:r>
            <w:r w:rsidR="00E31EE8">
              <w:t>Climate Zone</w:t>
            </w:r>
            <w:r>
              <w:t xml:space="preserve"> 5)</w:t>
            </w: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pPr>
            <w:r>
              <w:t>41</w:t>
            </w: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pPr>
            <w:r>
              <w:t>56</w:t>
            </w:r>
          </w:p>
        </w:tc>
      </w:tr>
      <w:tr w:rsidR="00612FD3" w:rsidTr="00301B6D">
        <w:tc>
          <w:tcPr>
            <w:tcW w:w="264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jc w:val="left"/>
            </w:pPr>
            <w:r>
              <w:t>Darwin (</w:t>
            </w:r>
            <w:r w:rsidR="00E31EE8">
              <w:t>Climate Zone</w:t>
            </w:r>
            <w:r>
              <w:t xml:space="preserve"> 1)</w:t>
            </w: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pPr>
            <w:r>
              <w:t>73</w:t>
            </w: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pPr>
            <w:r>
              <w:t>79</w:t>
            </w:r>
          </w:p>
        </w:tc>
      </w:tr>
      <w:tr w:rsidR="00612FD3" w:rsidTr="00301B6D">
        <w:tc>
          <w:tcPr>
            <w:tcW w:w="264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jc w:val="left"/>
            </w:pPr>
            <w:r>
              <w:t>Brisbane (</w:t>
            </w:r>
            <w:r w:rsidR="00E31EE8">
              <w:t>Climate Zone</w:t>
            </w:r>
            <w:r>
              <w:t xml:space="preserve"> 2)</w:t>
            </w: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pPr>
            <w:r>
              <w:t>53</w:t>
            </w: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pPr>
            <w:r>
              <w:t>64</w:t>
            </w:r>
          </w:p>
        </w:tc>
      </w:tr>
      <w:tr w:rsidR="00612FD3" w:rsidTr="00301B6D">
        <w:tc>
          <w:tcPr>
            <w:tcW w:w="264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jc w:val="left"/>
            </w:pPr>
            <w:r>
              <w:t>Adelaide (</w:t>
            </w:r>
            <w:r w:rsidR="00E31EE8">
              <w:t>Climate Zone</w:t>
            </w:r>
            <w:r>
              <w:t xml:space="preserve"> 5)</w:t>
            </w: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pPr>
            <w:r>
              <w:t>38</w:t>
            </w: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pPr>
            <w:r>
              <w:t>50</w:t>
            </w:r>
          </w:p>
        </w:tc>
      </w:tr>
      <w:tr w:rsidR="00612FD3" w:rsidTr="00301B6D">
        <w:tc>
          <w:tcPr>
            <w:tcW w:w="264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jc w:val="left"/>
            </w:pPr>
            <w:r>
              <w:t>Hobart (</w:t>
            </w:r>
            <w:r w:rsidR="00E31EE8">
              <w:t>Climate Zone</w:t>
            </w:r>
            <w:r>
              <w:t xml:space="preserve"> 7)</w:t>
            </w: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pPr>
            <w:r>
              <w:t>33</w:t>
            </w: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pPr>
            <w:r>
              <w:t>29</w:t>
            </w:r>
          </w:p>
        </w:tc>
      </w:tr>
      <w:tr w:rsidR="00612FD3" w:rsidTr="00301B6D">
        <w:tc>
          <w:tcPr>
            <w:tcW w:w="264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jc w:val="left"/>
            </w:pPr>
            <w:r>
              <w:t>Melbourne (</w:t>
            </w:r>
            <w:r w:rsidR="00E31EE8">
              <w:t>Climate Zone</w:t>
            </w:r>
            <w:r>
              <w:t xml:space="preserve"> 6)</w:t>
            </w: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pPr>
            <w:r>
              <w:t>17</w:t>
            </w: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pPr>
            <w:r>
              <w:t>43</w:t>
            </w:r>
          </w:p>
        </w:tc>
      </w:tr>
      <w:tr w:rsidR="00612FD3" w:rsidTr="00301B6D">
        <w:tc>
          <w:tcPr>
            <w:tcW w:w="264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jc w:val="left"/>
            </w:pPr>
            <w:r>
              <w:t>Perth (</w:t>
            </w:r>
            <w:r w:rsidR="00E31EE8">
              <w:t>Climate Zone</w:t>
            </w:r>
            <w:r>
              <w:t xml:space="preserve"> 5)</w:t>
            </w: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pPr>
            <w:r>
              <w:t>46</w:t>
            </w: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pPr>
            <w:r>
              <w:t>56</w:t>
            </w:r>
          </w:p>
        </w:tc>
      </w:tr>
      <w:tr w:rsidR="00612FD3" w:rsidTr="00301B6D">
        <w:tc>
          <w:tcPr>
            <w:tcW w:w="264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jc w:val="left"/>
            </w:pPr>
            <w:r>
              <w:t>Canberra (</w:t>
            </w:r>
            <w:r w:rsidR="00E31EE8">
              <w:t>Climate Zone</w:t>
            </w:r>
            <w:r>
              <w:t xml:space="preserve"> 7)</w:t>
            </w: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pPr>
            <w:r>
              <w:t>38</w:t>
            </w: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pPr>
            <w:r>
              <w:t>52</w:t>
            </w:r>
          </w:p>
        </w:tc>
      </w:tr>
      <w:tr w:rsidR="00612FD3" w:rsidRPr="00C23D18" w:rsidTr="00301B6D">
        <w:tc>
          <w:tcPr>
            <w:tcW w:w="2645"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rsidR="00612FD3" w:rsidRPr="00C23D18" w:rsidRDefault="00612FD3" w:rsidP="00301B6D">
            <w:pPr>
              <w:pStyle w:val="TableDataEntries"/>
              <w:jc w:val="left"/>
              <w:rPr>
                <w:rFonts w:ascii="Franklin Gothic Demi" w:hAnsi="Franklin Gothic Demi"/>
              </w:rPr>
            </w:pPr>
            <w:r w:rsidRPr="00C23D18">
              <w:rPr>
                <w:rFonts w:ascii="Franklin Gothic Demi" w:hAnsi="Franklin Gothic Demi"/>
              </w:rPr>
              <w:t>Weighted average</w:t>
            </w:r>
          </w:p>
        </w:tc>
        <w:tc>
          <w:tcPr>
            <w:tcW w:w="2646"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rsidR="00612FD3" w:rsidRPr="00C23D18" w:rsidRDefault="00612FD3" w:rsidP="00301B6D">
            <w:pPr>
              <w:pStyle w:val="TableDataEntries"/>
              <w:rPr>
                <w:rFonts w:ascii="Franklin Gothic Demi" w:hAnsi="Franklin Gothic Demi"/>
              </w:rPr>
            </w:pPr>
            <w:r w:rsidRPr="00C23D18">
              <w:rPr>
                <w:rFonts w:ascii="Franklin Gothic Demi" w:hAnsi="Franklin Gothic Demi"/>
              </w:rPr>
              <w:t>37</w:t>
            </w:r>
          </w:p>
        </w:tc>
        <w:tc>
          <w:tcPr>
            <w:tcW w:w="2646"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rsidR="00612FD3" w:rsidRPr="00C23D18" w:rsidRDefault="00612FD3" w:rsidP="00301B6D">
            <w:pPr>
              <w:pStyle w:val="TableDataEntries"/>
              <w:rPr>
                <w:rFonts w:ascii="Franklin Gothic Demi" w:hAnsi="Franklin Gothic Demi"/>
              </w:rPr>
            </w:pPr>
            <w:r w:rsidRPr="00C23D18">
              <w:rPr>
                <w:rFonts w:ascii="Franklin Gothic Demi" w:hAnsi="Franklin Gothic Demi"/>
              </w:rPr>
              <w:t>53</w:t>
            </w:r>
          </w:p>
        </w:tc>
      </w:tr>
    </w:tbl>
    <w:p w:rsidR="00612FD3" w:rsidRDefault="00612FD3" w:rsidP="00612FD3">
      <w:pPr>
        <w:pStyle w:val="Source"/>
      </w:pPr>
      <w:r>
        <w:rPr>
          <w:i/>
        </w:rPr>
        <w:t>Source</w:t>
      </w:r>
      <w:r w:rsidRPr="00E4232C">
        <w:rPr>
          <w:i/>
        </w:rPr>
        <w:t>:</w:t>
      </w:r>
      <w:r>
        <w:t xml:space="preserve"> pitt&amp;sherry 2016, </w:t>
      </w:r>
      <w:r w:rsidRPr="00BC7A16">
        <w:rPr>
          <w:i/>
        </w:rPr>
        <w:t>Pathway to 2020 for Increased Stringency in New Building Energy Efficiency Standards: Benefit Cost Analysis: 2016 Update</w:t>
      </w:r>
      <w:r>
        <w:t>, Final Report, Prepared for the Department of Climate Change and Energy Efficiency, May, pp.6-7.</w:t>
      </w:r>
    </w:p>
    <w:p w:rsidR="00612FD3" w:rsidRDefault="00612FD3" w:rsidP="00612FD3">
      <w:pPr>
        <w:pStyle w:val="BodyText"/>
        <w:spacing w:before="360"/>
      </w:pPr>
      <w:r>
        <w:t xml:space="preserve">As discussed above, the ABCB was tasked with proposing changes to the NCC that were economically feasible. Based on the approach adopted by pitt&amp;sherry changes were developed by </w:t>
      </w:r>
      <w:r w:rsidR="003F28DD">
        <w:t>EA</w:t>
      </w:r>
      <w:r>
        <w:t xml:space="preserve">, and modelled changes in annual energy use across </w:t>
      </w:r>
      <w:r w:rsidR="00E31EE8">
        <w:t>Climate Zone</w:t>
      </w:r>
      <w:r>
        <w:t xml:space="preserve">s and building types are shown in table 2.4. </w:t>
      </w:r>
    </w:p>
    <w:p w:rsidR="00612FD3" w:rsidRDefault="00612FD3" w:rsidP="00612FD3">
      <w:pPr>
        <w:pStyle w:val="BodyText"/>
      </w:pPr>
      <w:r>
        <w:t>Table 2.5 shows the associated change in greenhouse gas emissions.</w:t>
      </w:r>
    </w:p>
    <w:p w:rsidR="00612FD3" w:rsidRDefault="00612FD3" w:rsidP="00612FD3">
      <w:pPr>
        <w:pStyle w:val="Caption"/>
        <w:numPr>
          <w:ilvl w:val="0"/>
          <w:numId w:val="7"/>
        </w:numPr>
      </w:pPr>
      <w:r w:rsidRPr="00695C93">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sidR="00B833F1">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sidR="00B833F1">
        <w:rPr>
          <w:noProof/>
        </w:rPr>
        <w:instrText>2</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sidR="00B833F1">
        <w:rPr>
          <w:noProof/>
        </w:rPr>
        <w:instrText>2</w:instrText>
      </w:r>
      <w:r>
        <w:rPr>
          <w:noProof/>
        </w:rPr>
        <w:fldChar w:fldCharType="end"/>
      </w:r>
      <w:r w:rsidRPr="00695C93">
        <w:instrText xml:space="preserve">." </w:instrText>
      </w:r>
      <w:r w:rsidRPr="00695C93">
        <w:fldChar w:fldCharType="separate"/>
      </w:r>
      <w:r w:rsidR="00B833F1">
        <w:rPr>
          <w:noProof/>
        </w:rPr>
        <w:instrText>2</w:instrText>
      </w:r>
      <w:r w:rsidR="00B833F1" w:rsidRPr="00695C93">
        <w:rPr>
          <w:noProof/>
        </w:rPr>
        <w:instrText>.</w:instrText>
      </w:r>
      <w:r w:rsidRPr="00695C93">
        <w:fldChar w:fldCharType="end"/>
      </w:r>
      <w:r w:rsidRPr="00695C93">
        <w:instrText>" "</w:instrText>
      </w:r>
      <w:r w:rsidR="001F6F43">
        <w:fldChar w:fldCharType="begin"/>
      </w:r>
      <w:r w:rsidR="001F6F43">
        <w:instrText xml:space="preserve"> STYLEREF "Heading 6" \l \n </w:instrText>
      </w:r>
      <w:r w:rsidR="001F6F43">
        <w:fldChar w:fldCharType="separate"/>
      </w:r>
      <w:r w:rsidRPr="00695C93">
        <w:instrText>B</w:instrText>
      </w:r>
      <w:r w:rsidR="001F6F43">
        <w:fldChar w:fldCharType="end"/>
      </w:r>
      <w:r w:rsidRPr="00695C93">
        <w:instrText xml:space="preserve">." </w:instrText>
      </w:r>
      <w:r w:rsidRPr="00695C93">
        <w:fldChar w:fldCharType="separate"/>
      </w:r>
      <w:r w:rsidR="00EA42ED">
        <w:rPr>
          <w:noProof/>
        </w:rPr>
        <w:instrText>2</w:instrText>
      </w:r>
      <w:r w:rsidR="00EA42ED"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sidR="00B833F1">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sidR="00B833F1">
        <w:rPr>
          <w:noProof/>
        </w:rPr>
        <w:instrText>2</w:instrText>
      </w:r>
      <w:r>
        <w:rPr>
          <w:noProof/>
        </w:rPr>
        <w:fldChar w:fldCharType="end"/>
      </w:r>
      <w:r w:rsidRPr="00695C93">
        <w:instrText xml:space="preserve"> = 0 "" "1" </w:instrText>
      </w:r>
      <w:r w:rsidRPr="00695C93">
        <w:fldChar w:fldCharType="separate"/>
      </w:r>
      <w:r w:rsidR="00EA42ED" w:rsidRPr="00695C93">
        <w:rPr>
          <w:noProof/>
        </w:rPr>
        <w:instrText>1</w:instrText>
      </w:r>
      <w:r w:rsidRPr="00695C93">
        <w:fldChar w:fldCharType="end"/>
      </w:r>
      <w:r w:rsidRPr="00695C93">
        <w:instrText xml:space="preserve">" "6" </w:instrText>
      </w:r>
      <w:r w:rsidRPr="00695C93">
        <w:fldChar w:fldCharType="separate"/>
      </w:r>
      <w:r w:rsidR="00EA42ED" w:rsidRPr="00695C93">
        <w:rPr>
          <w:noProof/>
        </w:rPr>
        <w:instrText>1</w:instrText>
      </w:r>
      <w:r w:rsidRPr="00695C93">
        <w:fldChar w:fldCharType="end"/>
      </w:r>
      <w:r w:rsidRPr="00695C93">
        <w:instrText xml:space="preserve"> </w:instrText>
      </w:r>
      <w:r w:rsidRPr="00695C93">
        <w:fldChar w:fldCharType="separate"/>
      </w:r>
      <w:r w:rsidR="00B833F1">
        <w:rPr>
          <w:noProof/>
        </w:rPr>
        <w:instrText>4</w:instrText>
      </w:r>
      <w:r w:rsidRPr="00695C93">
        <w:fldChar w:fldCharType="end"/>
      </w:r>
      <w:r w:rsidRPr="00695C93">
        <w:instrText xml:space="preserve">" "" </w:instrText>
      </w:r>
      <w:r w:rsidRPr="00695C93">
        <w:fldChar w:fldCharType="separate"/>
      </w:r>
      <w:bookmarkStart w:id="546" w:name="_Caption6930"/>
      <w:bookmarkStart w:id="547" w:name="_Caption9997"/>
      <w:bookmarkStart w:id="548" w:name="_Caption4812"/>
      <w:bookmarkStart w:id="549" w:name="_Caption1644"/>
      <w:bookmarkStart w:id="550" w:name="_Caption4333"/>
      <w:bookmarkStart w:id="551" w:name="_Caption2320"/>
      <w:bookmarkStart w:id="552" w:name="_Caption7748"/>
      <w:bookmarkStart w:id="553" w:name="_Caption2778"/>
      <w:bookmarkStart w:id="554" w:name="_Caption7016"/>
      <w:bookmarkStart w:id="555" w:name="_Caption8882"/>
      <w:bookmarkStart w:id="556" w:name="_Caption4592"/>
      <w:bookmarkStart w:id="557" w:name="_Caption8086"/>
      <w:bookmarkStart w:id="558" w:name="_Caption5338"/>
      <w:bookmarkStart w:id="559" w:name="_Caption9875"/>
      <w:bookmarkStart w:id="560" w:name="_Caption8128"/>
      <w:bookmarkStart w:id="561" w:name="_Caption9566"/>
      <w:bookmarkStart w:id="562" w:name="_Caption1866"/>
      <w:bookmarkStart w:id="563" w:name="_Caption0256"/>
      <w:bookmarkStart w:id="564" w:name="_Caption4841"/>
      <w:bookmarkStart w:id="565" w:name="_Caption2642"/>
      <w:bookmarkStart w:id="566" w:name="_Caption3339"/>
      <w:bookmarkStart w:id="567" w:name="_Caption5486"/>
      <w:bookmarkStart w:id="568" w:name="_Caption1775"/>
      <w:bookmarkStart w:id="569" w:name="_Caption0238"/>
      <w:bookmarkStart w:id="570" w:name="_Caption4752"/>
      <w:bookmarkStart w:id="571" w:name="_Caption4001"/>
      <w:bookmarkStart w:id="572" w:name="_Caption3090"/>
      <w:bookmarkStart w:id="573" w:name="_Caption4227"/>
      <w:bookmarkStart w:id="574" w:name="_Caption3474"/>
      <w:bookmarkStart w:id="575" w:name="_Caption7289"/>
      <w:bookmarkStart w:id="576" w:name="_Caption5524"/>
      <w:bookmarkStart w:id="577" w:name="_Caption9721"/>
      <w:bookmarkStart w:id="578" w:name="_Caption1989"/>
      <w:bookmarkStart w:id="579" w:name="_Caption4432"/>
      <w:bookmarkStart w:id="580" w:name="_Caption2066"/>
      <w:bookmarkStart w:id="581" w:name="_Caption0387"/>
      <w:bookmarkStart w:id="582" w:name="_Caption6218"/>
      <w:bookmarkStart w:id="583" w:name="_Caption7895"/>
      <w:bookmarkStart w:id="584" w:name="_Caption3476"/>
      <w:bookmarkStart w:id="585" w:name="_Caption8280"/>
      <w:bookmarkStart w:id="586" w:name="_Caption0693"/>
      <w:bookmarkStart w:id="587" w:name="_Caption4364"/>
      <w:bookmarkStart w:id="588" w:name="_Caption2795"/>
      <w:bookmarkStart w:id="589" w:name="_Caption2485"/>
      <w:bookmarkStart w:id="590" w:name="_Caption3574"/>
      <w:bookmarkStart w:id="591" w:name="_Caption5753"/>
      <w:bookmarkStart w:id="592" w:name="_Caption1562"/>
      <w:bookmarkStart w:id="593" w:name="_Caption9469"/>
      <w:bookmarkStart w:id="594" w:name="_Caption9409"/>
      <w:bookmarkStart w:id="595" w:name="_Caption2007"/>
      <w:bookmarkStart w:id="596" w:name="_Caption7527"/>
      <w:bookmarkStart w:id="597" w:name="_Caption4509"/>
      <w:bookmarkStart w:id="598" w:name="_Caption3535"/>
      <w:bookmarkStart w:id="599" w:name="_Caption4772"/>
      <w:bookmarkStart w:id="600" w:name="_Caption0445"/>
      <w:bookmarkStart w:id="601" w:name="_Caption2426"/>
      <w:bookmarkStart w:id="602" w:name="_Caption1338"/>
      <w:bookmarkStart w:id="603" w:name="_Caption2879"/>
      <w:bookmarkStart w:id="604" w:name="_Caption6585"/>
      <w:bookmarkStart w:id="605" w:name="_Caption9475"/>
      <w:bookmarkStart w:id="606" w:name="_Caption2912"/>
      <w:bookmarkStart w:id="607" w:name="_Caption7443"/>
      <w:bookmarkStart w:id="608" w:name="_Caption2607"/>
      <w:bookmarkStart w:id="609" w:name="_Caption1087"/>
      <w:bookmarkStart w:id="610" w:name="_Caption7129"/>
      <w:bookmarkStart w:id="611" w:name="_Caption6755"/>
      <w:bookmarkStart w:id="612" w:name="_Caption9657"/>
      <w:bookmarkStart w:id="613" w:name="_Caption8177"/>
      <w:bookmarkStart w:id="614" w:name="_Caption9977"/>
      <w:bookmarkStart w:id="615" w:name="_Caption1767"/>
      <w:bookmarkStart w:id="616" w:name="_Caption6479"/>
      <w:bookmarkStart w:id="617" w:name="_Caption4244"/>
      <w:bookmarkStart w:id="618" w:name="_Caption0875"/>
      <w:bookmarkStart w:id="619" w:name="_Caption0364"/>
      <w:bookmarkStart w:id="620" w:name="_Caption8856"/>
      <w:bookmarkStart w:id="621" w:name="_Caption1441"/>
      <w:bookmarkStart w:id="622" w:name="_Caption4584"/>
      <w:bookmarkStart w:id="623" w:name="_Caption5646"/>
      <w:bookmarkStart w:id="624" w:name="_Caption6083"/>
      <w:bookmarkStart w:id="625" w:name="_Caption4830"/>
      <w:bookmarkStart w:id="626" w:name="_Caption9860"/>
      <w:bookmarkStart w:id="627" w:name="_Caption4901"/>
      <w:bookmarkStart w:id="628" w:name="_Caption6901"/>
      <w:bookmarkStart w:id="629" w:name="_Caption2797"/>
      <w:bookmarkStart w:id="630" w:name="_Caption1361"/>
      <w:bookmarkStart w:id="631" w:name="_Caption7987"/>
      <w:bookmarkStart w:id="632" w:name="_Caption2726"/>
      <w:bookmarkStart w:id="633" w:name="_Caption5848"/>
      <w:bookmarkStart w:id="634" w:name="_Caption4075"/>
      <w:bookmarkStart w:id="635" w:name="_Caption4498"/>
      <w:bookmarkStart w:id="636" w:name="_Caption5584"/>
      <w:bookmarkStart w:id="637" w:name="_Caption3656"/>
      <w:bookmarkStart w:id="638" w:name="_Caption3190"/>
      <w:bookmarkStart w:id="639" w:name="_Caption5790"/>
      <w:bookmarkStart w:id="640" w:name="_Caption4617"/>
      <w:bookmarkStart w:id="641" w:name="_Caption8592"/>
      <w:bookmarkStart w:id="642" w:name="_Caption9056"/>
      <w:bookmarkStart w:id="643" w:name="_Caption3804"/>
      <w:bookmarkStart w:id="644" w:name="_Caption8523"/>
      <w:bookmarkStart w:id="645" w:name="_Caption8603"/>
      <w:bookmarkStart w:id="646" w:name="_Caption7193"/>
      <w:bookmarkStart w:id="647" w:name="_Caption0926"/>
      <w:bookmarkStart w:id="648" w:name="_Caption5009"/>
      <w:bookmarkStart w:id="649" w:name="_Caption1622"/>
      <w:bookmarkStart w:id="650" w:name="_Caption9604"/>
      <w:bookmarkStart w:id="651" w:name="_Caption7903"/>
      <w:bookmarkStart w:id="652" w:name="_Caption6789"/>
      <w:bookmarkStart w:id="653" w:name="_Caption6141"/>
      <w:bookmarkStart w:id="654" w:name="_Caption8134"/>
      <w:bookmarkStart w:id="655" w:name="_Caption6365"/>
      <w:bookmarkStart w:id="656" w:name="_Caption9868"/>
      <w:bookmarkStart w:id="657" w:name="_Toc499847037"/>
      <w:bookmarkStart w:id="658" w:name="_Toc509220842"/>
      <w:bookmarkStart w:id="659" w:name="_Toc529869898"/>
      <w:bookmarkStart w:id="660" w:name="_Toc530748394"/>
      <w:r w:rsidR="00EA42ED">
        <w:rPr>
          <w:noProof/>
        </w:rPr>
        <w:t>2</w:t>
      </w:r>
      <w:r w:rsidR="00EA42ED" w:rsidRPr="00695C93">
        <w:rPr>
          <w:noProof/>
        </w:rPr>
        <w:t>.</w:t>
      </w:r>
      <w:r w:rsidR="00EA42ED">
        <w:rPr>
          <w:noProof/>
        </w:rPr>
        <w:t>4</w:t>
      </w:r>
      <w:bookmarkStart w:id="661" w:name="_Toc507523793"/>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r w:rsidRPr="00695C93">
        <w:fldChar w:fldCharType="end"/>
      </w:r>
      <w:r w:rsidRPr="00695C93">
        <w:tab/>
      </w:r>
      <w:r>
        <w:t>Estimated change in annual energy use</w:t>
      </w:r>
      <w:bookmarkEnd w:id="657"/>
      <w:bookmarkEnd w:id="658"/>
      <w:bookmarkEnd w:id="659"/>
      <w:bookmarkEnd w:id="660"/>
      <w:bookmarkEnd w:id="661"/>
    </w:p>
    <w:tbl>
      <w:tblPr>
        <w:tblW w:w="7940" w:type="dxa"/>
        <w:tblLayout w:type="fixed"/>
        <w:tblLook w:val="0000" w:firstRow="0" w:lastRow="0" w:firstColumn="0" w:lastColumn="0" w:noHBand="0" w:noVBand="0"/>
        <w:tblCaption w:val="Table 2.4: Estimated change in annual energy use"/>
        <w:tblDescription w:val="This table shows the estiamted change in energy use based on the proposed changes. The annual average reduction in energy use is 20% with a weighted average of 23%. "/>
      </w:tblPr>
      <w:tblGrid>
        <w:gridCol w:w="1220"/>
        <w:gridCol w:w="2056"/>
        <w:gridCol w:w="933"/>
        <w:gridCol w:w="932"/>
        <w:gridCol w:w="933"/>
        <w:gridCol w:w="933"/>
        <w:gridCol w:w="933"/>
      </w:tblGrid>
      <w:tr w:rsidR="00612FD3" w:rsidTr="00301B6D">
        <w:trPr>
          <w:trHeight w:val="288"/>
          <w:tblHeader/>
        </w:trPr>
        <w:tc>
          <w:tcPr>
            <w:tcW w:w="1220" w:type="dxa"/>
            <w:shd w:val="clear" w:color="auto" w:fill="6F6652"/>
            <w:tcMar>
              <w:left w:w="57" w:type="dxa"/>
              <w:right w:w="57" w:type="dxa"/>
            </w:tcMar>
          </w:tcPr>
          <w:p w:rsidR="00612FD3" w:rsidRDefault="00E31EE8" w:rsidP="00301B6D">
            <w:pPr>
              <w:pStyle w:val="TableDataColumnHeading"/>
              <w:jc w:val="left"/>
              <w:rPr>
                <w:lang w:val="en-GB"/>
              </w:rPr>
            </w:pPr>
            <w:r>
              <w:rPr>
                <w:lang w:val="en-GB"/>
              </w:rPr>
              <w:t>Climate Zone</w:t>
            </w:r>
          </w:p>
        </w:tc>
        <w:tc>
          <w:tcPr>
            <w:tcW w:w="2056" w:type="dxa"/>
            <w:shd w:val="clear" w:color="auto" w:fill="6F6652"/>
            <w:tcMar>
              <w:left w:w="57" w:type="dxa"/>
              <w:right w:w="57" w:type="dxa"/>
            </w:tcMar>
          </w:tcPr>
          <w:p w:rsidR="00612FD3" w:rsidRDefault="00612FD3" w:rsidP="00301B6D">
            <w:pPr>
              <w:pStyle w:val="TableTextColumnHeading"/>
              <w:rPr>
                <w:lang w:val="en-GB"/>
              </w:rPr>
            </w:pPr>
            <w:r>
              <w:rPr>
                <w:lang w:val="en-GB"/>
              </w:rPr>
              <w:t>Location modelled</w:t>
            </w:r>
          </w:p>
        </w:tc>
        <w:tc>
          <w:tcPr>
            <w:tcW w:w="933" w:type="dxa"/>
            <w:shd w:val="clear" w:color="auto" w:fill="6F6652"/>
            <w:tcMar>
              <w:left w:w="57" w:type="dxa"/>
              <w:right w:w="57" w:type="dxa"/>
            </w:tcMar>
          </w:tcPr>
          <w:p w:rsidR="00612FD3" w:rsidRDefault="00612FD3" w:rsidP="00301B6D">
            <w:pPr>
              <w:pStyle w:val="TableDataColumnHeading"/>
              <w:rPr>
                <w:lang w:val="en-GB"/>
              </w:rPr>
            </w:pPr>
            <w:r>
              <w:rPr>
                <w:lang w:val="en-GB"/>
              </w:rPr>
              <w:t>Hotel</w:t>
            </w:r>
          </w:p>
        </w:tc>
        <w:tc>
          <w:tcPr>
            <w:tcW w:w="932" w:type="dxa"/>
            <w:shd w:val="clear" w:color="auto" w:fill="6F6652"/>
            <w:tcMar>
              <w:left w:w="57" w:type="dxa"/>
              <w:right w:w="57" w:type="dxa"/>
            </w:tcMar>
          </w:tcPr>
          <w:p w:rsidR="00612FD3" w:rsidRDefault="00612FD3" w:rsidP="00301B6D">
            <w:pPr>
              <w:pStyle w:val="TableDataColumnHeading"/>
              <w:rPr>
                <w:lang w:val="en-GB"/>
              </w:rPr>
            </w:pPr>
            <w:r>
              <w:rPr>
                <w:lang w:val="en-GB"/>
              </w:rPr>
              <w:t>Office</w:t>
            </w:r>
          </w:p>
        </w:tc>
        <w:tc>
          <w:tcPr>
            <w:tcW w:w="933" w:type="dxa"/>
            <w:shd w:val="clear" w:color="auto" w:fill="6F6652"/>
            <w:tcMar>
              <w:left w:w="57" w:type="dxa"/>
              <w:right w:w="57" w:type="dxa"/>
            </w:tcMar>
          </w:tcPr>
          <w:p w:rsidR="00612FD3" w:rsidRDefault="00612FD3" w:rsidP="00301B6D">
            <w:pPr>
              <w:pStyle w:val="TableDataColumnHeading"/>
              <w:rPr>
                <w:lang w:val="en-GB"/>
              </w:rPr>
            </w:pPr>
            <w:r>
              <w:rPr>
                <w:lang w:val="en-GB"/>
              </w:rPr>
              <w:t>Retail</w:t>
            </w:r>
          </w:p>
        </w:tc>
        <w:tc>
          <w:tcPr>
            <w:tcW w:w="933" w:type="dxa"/>
            <w:shd w:val="clear" w:color="auto" w:fill="6F6652"/>
            <w:tcMar>
              <w:left w:w="57" w:type="dxa"/>
              <w:right w:w="57" w:type="dxa"/>
            </w:tcMar>
          </w:tcPr>
          <w:p w:rsidR="00612FD3" w:rsidRDefault="00612FD3" w:rsidP="00301B6D">
            <w:pPr>
              <w:pStyle w:val="TableDataColumnHeading"/>
              <w:rPr>
                <w:lang w:val="en-GB"/>
              </w:rPr>
            </w:pPr>
            <w:r>
              <w:rPr>
                <w:lang w:val="en-GB"/>
              </w:rPr>
              <w:t>Health</w:t>
            </w:r>
          </w:p>
        </w:tc>
        <w:tc>
          <w:tcPr>
            <w:tcW w:w="933" w:type="dxa"/>
            <w:shd w:val="clear" w:color="auto" w:fill="6F6652"/>
            <w:tcMar>
              <w:left w:w="57" w:type="dxa"/>
              <w:right w:w="57" w:type="dxa"/>
            </w:tcMar>
          </w:tcPr>
          <w:p w:rsidR="00612FD3" w:rsidRDefault="00612FD3" w:rsidP="00301B6D">
            <w:pPr>
              <w:pStyle w:val="TableDataColumnHeading"/>
              <w:rPr>
                <w:lang w:val="en-GB"/>
              </w:rPr>
            </w:pPr>
            <w:r>
              <w:rPr>
                <w:lang w:val="en-GB"/>
              </w:rPr>
              <w:t>Average</w:t>
            </w:r>
          </w:p>
        </w:tc>
      </w:tr>
      <w:tr w:rsidR="00612FD3" w:rsidTr="00301B6D">
        <w:trPr>
          <w:trHeight w:val="288"/>
          <w:tblHeader/>
        </w:trPr>
        <w:tc>
          <w:tcPr>
            <w:tcW w:w="1220"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jc w:val="left"/>
              <w:rPr>
                <w:lang w:val="en-GB"/>
              </w:rPr>
            </w:pPr>
          </w:p>
        </w:tc>
        <w:tc>
          <w:tcPr>
            <w:tcW w:w="2056"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p>
        </w:tc>
        <w:tc>
          <w:tcPr>
            <w:tcW w:w="93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Per cent</w:t>
            </w:r>
          </w:p>
        </w:tc>
        <w:tc>
          <w:tcPr>
            <w:tcW w:w="932"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Per cent</w:t>
            </w:r>
          </w:p>
        </w:tc>
        <w:tc>
          <w:tcPr>
            <w:tcW w:w="93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Per cent</w:t>
            </w:r>
          </w:p>
        </w:tc>
        <w:tc>
          <w:tcPr>
            <w:tcW w:w="93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Per cent</w:t>
            </w:r>
          </w:p>
        </w:tc>
        <w:tc>
          <w:tcPr>
            <w:tcW w:w="93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Per cent</w:t>
            </w:r>
          </w:p>
        </w:tc>
      </w:tr>
      <w:tr w:rsidR="00612FD3" w:rsidTr="00301B6D">
        <w:trPr>
          <w:trHeight w:val="288"/>
        </w:trPr>
        <w:tc>
          <w:tcPr>
            <w:tcW w:w="122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jc w:val="left"/>
              <w:rPr>
                <w:lang w:val="en-GB"/>
              </w:rPr>
            </w:pPr>
            <w:r>
              <w:rPr>
                <w:lang w:val="en-GB"/>
              </w:rPr>
              <w:t>1</w:t>
            </w:r>
          </w:p>
        </w:tc>
        <w:tc>
          <w:tcPr>
            <w:tcW w:w="20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TextEntries"/>
              <w:spacing w:before="40" w:after="40"/>
              <w:rPr>
                <w:lang w:val="en-GB"/>
              </w:rPr>
            </w:pPr>
            <w:r>
              <w:rPr>
                <w:lang w:val="en-GB"/>
              </w:rPr>
              <w:t>Darwin</w:t>
            </w:r>
          </w:p>
        </w:tc>
        <w:tc>
          <w:tcPr>
            <w:tcW w:w="93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rPr>
                <w:szCs w:val="16"/>
              </w:rPr>
              <w:t>-25</w:t>
            </w:r>
          </w:p>
        </w:tc>
        <w:tc>
          <w:tcPr>
            <w:tcW w:w="93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rPr>
                <w:szCs w:val="16"/>
              </w:rPr>
              <w:t>-27</w:t>
            </w:r>
          </w:p>
        </w:tc>
        <w:tc>
          <w:tcPr>
            <w:tcW w:w="93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rPr>
                <w:szCs w:val="16"/>
              </w:rPr>
              <w:t>-21</w:t>
            </w:r>
          </w:p>
        </w:tc>
        <w:tc>
          <w:tcPr>
            <w:tcW w:w="93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rPr>
                <w:szCs w:val="16"/>
              </w:rPr>
              <w:t>-32</w:t>
            </w:r>
          </w:p>
        </w:tc>
        <w:tc>
          <w:tcPr>
            <w:tcW w:w="93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rPr>
                <w:szCs w:val="16"/>
              </w:rPr>
              <w:t>-24</w:t>
            </w:r>
          </w:p>
        </w:tc>
      </w:tr>
      <w:tr w:rsidR="00612FD3" w:rsidTr="00301B6D">
        <w:trPr>
          <w:trHeight w:val="288"/>
        </w:trPr>
        <w:tc>
          <w:tcPr>
            <w:tcW w:w="122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jc w:val="left"/>
              <w:rPr>
                <w:lang w:val="en-GB"/>
              </w:rPr>
            </w:pPr>
            <w:r>
              <w:rPr>
                <w:lang w:val="en-GB"/>
              </w:rPr>
              <w:t>2</w:t>
            </w:r>
          </w:p>
        </w:tc>
        <w:tc>
          <w:tcPr>
            <w:tcW w:w="20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TextEntries"/>
              <w:spacing w:before="40" w:after="40"/>
              <w:rPr>
                <w:lang w:val="en-GB"/>
              </w:rPr>
            </w:pPr>
            <w:r>
              <w:rPr>
                <w:lang w:val="en-GB"/>
              </w:rPr>
              <w:t>Brisbane</w:t>
            </w:r>
          </w:p>
        </w:tc>
        <w:tc>
          <w:tcPr>
            <w:tcW w:w="93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rPr>
                <w:szCs w:val="16"/>
              </w:rPr>
              <w:t>-33</w:t>
            </w:r>
          </w:p>
        </w:tc>
        <w:tc>
          <w:tcPr>
            <w:tcW w:w="93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rPr>
                <w:szCs w:val="16"/>
              </w:rPr>
              <w:t>-35</w:t>
            </w:r>
          </w:p>
        </w:tc>
        <w:tc>
          <w:tcPr>
            <w:tcW w:w="93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rPr>
                <w:szCs w:val="16"/>
              </w:rPr>
              <w:t>-15</w:t>
            </w:r>
          </w:p>
        </w:tc>
        <w:tc>
          <w:tcPr>
            <w:tcW w:w="93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rPr>
                <w:szCs w:val="16"/>
              </w:rPr>
              <w:t>-39</w:t>
            </w:r>
          </w:p>
        </w:tc>
        <w:tc>
          <w:tcPr>
            <w:tcW w:w="93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rPr>
                <w:szCs w:val="16"/>
              </w:rPr>
              <w:t>-24</w:t>
            </w:r>
          </w:p>
        </w:tc>
      </w:tr>
      <w:tr w:rsidR="00612FD3" w:rsidTr="00301B6D">
        <w:trPr>
          <w:trHeight w:val="288"/>
        </w:trPr>
        <w:tc>
          <w:tcPr>
            <w:tcW w:w="122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jc w:val="left"/>
              <w:rPr>
                <w:lang w:val="en-GB"/>
              </w:rPr>
            </w:pPr>
            <w:r>
              <w:rPr>
                <w:lang w:val="en-GB"/>
              </w:rPr>
              <w:t>3</w:t>
            </w:r>
          </w:p>
        </w:tc>
        <w:tc>
          <w:tcPr>
            <w:tcW w:w="20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TextEntries"/>
              <w:spacing w:before="40" w:after="40"/>
              <w:rPr>
                <w:lang w:val="en-GB"/>
              </w:rPr>
            </w:pPr>
            <w:r>
              <w:rPr>
                <w:lang w:val="en-GB"/>
              </w:rPr>
              <w:t>Alice Springs</w:t>
            </w:r>
          </w:p>
        </w:tc>
        <w:tc>
          <w:tcPr>
            <w:tcW w:w="93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rPr>
                <w:szCs w:val="16"/>
              </w:rPr>
              <w:t>-30</w:t>
            </w:r>
          </w:p>
        </w:tc>
        <w:tc>
          <w:tcPr>
            <w:tcW w:w="93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rPr>
                <w:szCs w:val="16"/>
              </w:rPr>
              <w:t>-21</w:t>
            </w:r>
          </w:p>
        </w:tc>
        <w:tc>
          <w:tcPr>
            <w:tcW w:w="93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rPr>
                <w:szCs w:val="16"/>
              </w:rPr>
              <w:t>-20</w:t>
            </w:r>
          </w:p>
        </w:tc>
        <w:tc>
          <w:tcPr>
            <w:tcW w:w="93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rPr>
                <w:szCs w:val="16"/>
              </w:rPr>
              <w:t>-34</w:t>
            </w:r>
          </w:p>
        </w:tc>
        <w:tc>
          <w:tcPr>
            <w:tcW w:w="93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rPr>
                <w:szCs w:val="16"/>
              </w:rPr>
              <w:t>-23</w:t>
            </w:r>
          </w:p>
        </w:tc>
      </w:tr>
      <w:tr w:rsidR="00612FD3" w:rsidTr="00301B6D">
        <w:trPr>
          <w:trHeight w:val="288"/>
        </w:trPr>
        <w:tc>
          <w:tcPr>
            <w:tcW w:w="122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jc w:val="left"/>
              <w:rPr>
                <w:lang w:val="en-GB"/>
              </w:rPr>
            </w:pPr>
            <w:r>
              <w:rPr>
                <w:lang w:val="en-GB"/>
              </w:rPr>
              <w:t>4</w:t>
            </w:r>
          </w:p>
        </w:tc>
        <w:tc>
          <w:tcPr>
            <w:tcW w:w="20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TextEntries"/>
              <w:spacing w:before="40" w:after="40"/>
              <w:rPr>
                <w:lang w:val="en-GB"/>
              </w:rPr>
            </w:pPr>
            <w:r>
              <w:rPr>
                <w:lang w:val="en-GB"/>
              </w:rPr>
              <w:t>Wagga Wagga</w:t>
            </w:r>
          </w:p>
        </w:tc>
        <w:tc>
          <w:tcPr>
            <w:tcW w:w="93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rPr>
                <w:szCs w:val="16"/>
              </w:rPr>
              <w:t>-34</w:t>
            </w:r>
          </w:p>
        </w:tc>
        <w:tc>
          <w:tcPr>
            <w:tcW w:w="93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rPr>
                <w:szCs w:val="16"/>
              </w:rPr>
              <w:t>-31</w:t>
            </w:r>
          </w:p>
        </w:tc>
        <w:tc>
          <w:tcPr>
            <w:tcW w:w="93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rPr>
                <w:szCs w:val="16"/>
              </w:rPr>
              <w:t>-10</w:t>
            </w:r>
          </w:p>
        </w:tc>
        <w:tc>
          <w:tcPr>
            <w:tcW w:w="93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rPr>
                <w:szCs w:val="16"/>
              </w:rPr>
              <w:t>-19</w:t>
            </w:r>
          </w:p>
        </w:tc>
        <w:tc>
          <w:tcPr>
            <w:tcW w:w="93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rPr>
                <w:szCs w:val="16"/>
              </w:rPr>
              <w:t>-16</w:t>
            </w:r>
          </w:p>
        </w:tc>
      </w:tr>
      <w:tr w:rsidR="00612FD3" w:rsidTr="00301B6D">
        <w:trPr>
          <w:trHeight w:val="288"/>
        </w:trPr>
        <w:tc>
          <w:tcPr>
            <w:tcW w:w="122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jc w:val="left"/>
              <w:rPr>
                <w:lang w:val="en-GB"/>
              </w:rPr>
            </w:pPr>
            <w:r>
              <w:rPr>
                <w:lang w:val="en-GB"/>
              </w:rPr>
              <w:t>5</w:t>
            </w:r>
          </w:p>
        </w:tc>
        <w:tc>
          <w:tcPr>
            <w:tcW w:w="20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TextEntries"/>
              <w:spacing w:before="40" w:after="40"/>
              <w:rPr>
                <w:lang w:val="en-GB"/>
              </w:rPr>
            </w:pPr>
            <w:r>
              <w:rPr>
                <w:lang w:val="en-GB"/>
              </w:rPr>
              <w:t>Sydney</w:t>
            </w:r>
          </w:p>
        </w:tc>
        <w:tc>
          <w:tcPr>
            <w:tcW w:w="93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rPr>
                <w:szCs w:val="16"/>
              </w:rPr>
              <w:t>-35</w:t>
            </w:r>
          </w:p>
        </w:tc>
        <w:tc>
          <w:tcPr>
            <w:tcW w:w="93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rPr>
                <w:szCs w:val="16"/>
              </w:rPr>
              <w:t>-37</w:t>
            </w:r>
          </w:p>
        </w:tc>
        <w:tc>
          <w:tcPr>
            <w:tcW w:w="93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rPr>
                <w:szCs w:val="16"/>
              </w:rPr>
              <w:t>-20</w:t>
            </w:r>
          </w:p>
        </w:tc>
        <w:tc>
          <w:tcPr>
            <w:tcW w:w="93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rPr>
                <w:szCs w:val="16"/>
              </w:rPr>
              <w:t>-37</w:t>
            </w:r>
          </w:p>
        </w:tc>
        <w:tc>
          <w:tcPr>
            <w:tcW w:w="93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rPr>
                <w:szCs w:val="16"/>
              </w:rPr>
              <w:t>-29</w:t>
            </w:r>
          </w:p>
        </w:tc>
      </w:tr>
      <w:tr w:rsidR="00612FD3" w:rsidTr="00301B6D">
        <w:trPr>
          <w:trHeight w:val="288"/>
        </w:trPr>
        <w:tc>
          <w:tcPr>
            <w:tcW w:w="122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jc w:val="left"/>
              <w:rPr>
                <w:lang w:val="en-GB"/>
              </w:rPr>
            </w:pPr>
            <w:r>
              <w:rPr>
                <w:lang w:val="en-GB"/>
              </w:rPr>
              <w:t>6</w:t>
            </w:r>
          </w:p>
        </w:tc>
        <w:tc>
          <w:tcPr>
            <w:tcW w:w="20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TextEntries"/>
              <w:spacing w:before="40" w:after="40"/>
              <w:rPr>
                <w:lang w:val="en-GB"/>
              </w:rPr>
            </w:pPr>
            <w:r>
              <w:rPr>
                <w:lang w:val="en-GB"/>
              </w:rPr>
              <w:t>Melbourne</w:t>
            </w:r>
          </w:p>
        </w:tc>
        <w:tc>
          <w:tcPr>
            <w:tcW w:w="93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rPr>
                <w:szCs w:val="16"/>
              </w:rPr>
              <w:t>-34</w:t>
            </w:r>
          </w:p>
        </w:tc>
        <w:tc>
          <w:tcPr>
            <w:tcW w:w="93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rPr>
                <w:szCs w:val="16"/>
              </w:rPr>
              <w:t>-30</w:t>
            </w:r>
          </w:p>
        </w:tc>
        <w:tc>
          <w:tcPr>
            <w:tcW w:w="93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rPr>
                <w:szCs w:val="16"/>
              </w:rPr>
              <w:t>-8</w:t>
            </w:r>
          </w:p>
        </w:tc>
        <w:tc>
          <w:tcPr>
            <w:tcW w:w="93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rPr>
                <w:szCs w:val="16"/>
              </w:rPr>
              <w:t>-21</w:t>
            </w:r>
          </w:p>
        </w:tc>
        <w:tc>
          <w:tcPr>
            <w:tcW w:w="93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rPr>
                <w:szCs w:val="16"/>
              </w:rPr>
              <w:t>-15</w:t>
            </w:r>
          </w:p>
        </w:tc>
      </w:tr>
      <w:tr w:rsidR="00612FD3" w:rsidTr="00301B6D">
        <w:trPr>
          <w:trHeight w:val="288"/>
        </w:trPr>
        <w:tc>
          <w:tcPr>
            <w:tcW w:w="122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jc w:val="left"/>
              <w:rPr>
                <w:lang w:val="en-GB"/>
              </w:rPr>
            </w:pPr>
            <w:r>
              <w:rPr>
                <w:lang w:val="en-GB"/>
              </w:rPr>
              <w:t>7</w:t>
            </w:r>
          </w:p>
        </w:tc>
        <w:tc>
          <w:tcPr>
            <w:tcW w:w="20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TextEntries"/>
              <w:spacing w:before="40" w:after="40"/>
              <w:rPr>
                <w:lang w:val="en-GB"/>
              </w:rPr>
            </w:pPr>
            <w:r>
              <w:rPr>
                <w:lang w:val="en-GB"/>
              </w:rPr>
              <w:t>Canberra</w:t>
            </w:r>
          </w:p>
        </w:tc>
        <w:tc>
          <w:tcPr>
            <w:tcW w:w="93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rPr>
                <w:szCs w:val="16"/>
              </w:rPr>
              <w:t>-39</w:t>
            </w:r>
          </w:p>
        </w:tc>
        <w:tc>
          <w:tcPr>
            <w:tcW w:w="93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rPr>
                <w:szCs w:val="16"/>
              </w:rPr>
              <w:t>-29</w:t>
            </w:r>
          </w:p>
        </w:tc>
        <w:tc>
          <w:tcPr>
            <w:tcW w:w="93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rPr>
                <w:szCs w:val="16"/>
              </w:rPr>
              <w:t>0</w:t>
            </w:r>
          </w:p>
        </w:tc>
        <w:tc>
          <w:tcPr>
            <w:tcW w:w="93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rPr>
                <w:szCs w:val="16"/>
              </w:rPr>
              <w:t>-4</w:t>
            </w:r>
          </w:p>
        </w:tc>
        <w:tc>
          <w:tcPr>
            <w:tcW w:w="93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rPr>
                <w:szCs w:val="16"/>
              </w:rPr>
              <w:t>-17</w:t>
            </w:r>
          </w:p>
        </w:tc>
      </w:tr>
      <w:tr w:rsidR="00612FD3" w:rsidTr="00301B6D">
        <w:trPr>
          <w:trHeight w:val="288"/>
        </w:trPr>
        <w:tc>
          <w:tcPr>
            <w:tcW w:w="122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jc w:val="left"/>
              <w:rPr>
                <w:lang w:val="en-GB"/>
              </w:rPr>
            </w:pPr>
            <w:r>
              <w:rPr>
                <w:lang w:val="en-GB"/>
              </w:rPr>
              <w:t>8</w:t>
            </w:r>
          </w:p>
        </w:tc>
        <w:tc>
          <w:tcPr>
            <w:tcW w:w="20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TextEntries"/>
              <w:spacing w:before="40" w:after="40"/>
              <w:rPr>
                <w:lang w:val="en-GB"/>
              </w:rPr>
            </w:pPr>
            <w:r>
              <w:rPr>
                <w:lang w:val="en-GB"/>
              </w:rPr>
              <w:t>Thredbo</w:t>
            </w:r>
          </w:p>
        </w:tc>
        <w:tc>
          <w:tcPr>
            <w:tcW w:w="93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rPr>
                <w:szCs w:val="16"/>
              </w:rPr>
              <w:t>-36</w:t>
            </w:r>
          </w:p>
        </w:tc>
        <w:tc>
          <w:tcPr>
            <w:tcW w:w="93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rPr>
                <w:szCs w:val="16"/>
              </w:rPr>
              <w:t>20</w:t>
            </w:r>
          </w:p>
        </w:tc>
        <w:tc>
          <w:tcPr>
            <w:tcW w:w="93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rPr>
                <w:szCs w:val="16"/>
              </w:rPr>
              <w:t>23</w:t>
            </w:r>
          </w:p>
        </w:tc>
        <w:tc>
          <w:tcPr>
            <w:tcW w:w="93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rPr>
                <w:szCs w:val="16"/>
              </w:rPr>
              <w:t>29</w:t>
            </w:r>
          </w:p>
        </w:tc>
        <w:tc>
          <w:tcPr>
            <w:tcW w:w="93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rPr>
                <w:szCs w:val="16"/>
              </w:rPr>
              <w:t>-14</w:t>
            </w:r>
          </w:p>
        </w:tc>
      </w:tr>
      <w:tr w:rsidR="00612FD3" w:rsidRPr="00C23D18" w:rsidTr="00301B6D">
        <w:trPr>
          <w:trHeight w:val="288"/>
        </w:trPr>
        <w:tc>
          <w:tcPr>
            <w:tcW w:w="1220"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612FD3" w:rsidRPr="00C23D18" w:rsidRDefault="00612FD3" w:rsidP="00301B6D">
            <w:pPr>
              <w:pStyle w:val="TableDataEntries"/>
              <w:jc w:val="left"/>
              <w:rPr>
                <w:rFonts w:ascii="Franklin Gothic Demi" w:hAnsi="Franklin Gothic Demi"/>
                <w:lang w:val="en-GB"/>
              </w:rPr>
            </w:pPr>
          </w:p>
        </w:tc>
        <w:tc>
          <w:tcPr>
            <w:tcW w:w="20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612FD3" w:rsidRPr="00C23D18" w:rsidRDefault="00612FD3" w:rsidP="00301B6D">
            <w:pPr>
              <w:pStyle w:val="TableTextEntries"/>
              <w:spacing w:before="40" w:after="40"/>
              <w:rPr>
                <w:rFonts w:ascii="Franklin Gothic Demi" w:hAnsi="Franklin Gothic Demi"/>
                <w:lang w:val="en-GB"/>
              </w:rPr>
            </w:pPr>
            <w:r w:rsidRPr="00C23D18">
              <w:rPr>
                <w:rFonts w:ascii="Franklin Gothic Demi" w:hAnsi="Franklin Gothic Demi"/>
                <w:lang w:val="en-GB"/>
              </w:rPr>
              <w:t>Average</w:t>
            </w:r>
          </w:p>
        </w:tc>
        <w:tc>
          <w:tcPr>
            <w:tcW w:w="93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612FD3" w:rsidRPr="00C23D18" w:rsidRDefault="00612FD3" w:rsidP="00301B6D">
            <w:pPr>
              <w:pStyle w:val="TableDataEntries"/>
              <w:rPr>
                <w:rFonts w:ascii="Franklin Gothic Demi" w:hAnsi="Franklin Gothic Demi"/>
                <w:lang w:val="en-GB"/>
              </w:rPr>
            </w:pPr>
          </w:p>
        </w:tc>
        <w:tc>
          <w:tcPr>
            <w:tcW w:w="932"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612FD3" w:rsidRPr="00C23D18" w:rsidRDefault="00612FD3" w:rsidP="00301B6D">
            <w:pPr>
              <w:pStyle w:val="TableDataEntries"/>
              <w:rPr>
                <w:rFonts w:ascii="Franklin Gothic Demi" w:hAnsi="Franklin Gothic Demi"/>
                <w:lang w:val="en-GB"/>
              </w:rPr>
            </w:pPr>
          </w:p>
        </w:tc>
        <w:tc>
          <w:tcPr>
            <w:tcW w:w="93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612FD3" w:rsidRPr="00C23D18" w:rsidRDefault="00612FD3" w:rsidP="00301B6D">
            <w:pPr>
              <w:pStyle w:val="TableDataEntries"/>
              <w:rPr>
                <w:rFonts w:ascii="Franklin Gothic Demi" w:hAnsi="Franklin Gothic Demi"/>
                <w:lang w:val="en-GB"/>
              </w:rPr>
            </w:pPr>
          </w:p>
        </w:tc>
        <w:tc>
          <w:tcPr>
            <w:tcW w:w="93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612FD3" w:rsidRPr="00C23D18" w:rsidRDefault="00612FD3" w:rsidP="00301B6D">
            <w:pPr>
              <w:pStyle w:val="TableDataEntries"/>
              <w:rPr>
                <w:rFonts w:ascii="Franklin Gothic Demi" w:hAnsi="Franklin Gothic Demi"/>
                <w:lang w:val="en-GB"/>
              </w:rPr>
            </w:pPr>
          </w:p>
        </w:tc>
        <w:tc>
          <w:tcPr>
            <w:tcW w:w="93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612FD3" w:rsidRPr="00C23D18" w:rsidRDefault="00612FD3" w:rsidP="00301B6D">
            <w:pPr>
              <w:pStyle w:val="TableDataEntries"/>
              <w:rPr>
                <w:rFonts w:ascii="Franklin Gothic Demi" w:hAnsi="Franklin Gothic Demi"/>
                <w:lang w:val="en-GB"/>
              </w:rPr>
            </w:pPr>
            <w:r w:rsidRPr="00C23D18">
              <w:rPr>
                <w:rFonts w:ascii="Franklin Gothic Demi" w:hAnsi="Franklin Gothic Demi"/>
                <w:szCs w:val="16"/>
              </w:rPr>
              <w:t>-20</w:t>
            </w:r>
          </w:p>
        </w:tc>
      </w:tr>
      <w:tr w:rsidR="00612FD3" w:rsidRPr="00C23D18" w:rsidTr="00301B6D">
        <w:trPr>
          <w:trHeight w:val="288"/>
        </w:trPr>
        <w:tc>
          <w:tcPr>
            <w:tcW w:w="1220"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rsidR="00612FD3" w:rsidRPr="00C23D18" w:rsidRDefault="00612FD3" w:rsidP="00301B6D">
            <w:pPr>
              <w:pStyle w:val="TableDataEntries"/>
              <w:jc w:val="left"/>
              <w:rPr>
                <w:rFonts w:ascii="Franklin Gothic Demi" w:hAnsi="Franklin Gothic Demi"/>
                <w:lang w:val="en-GB"/>
              </w:rPr>
            </w:pPr>
          </w:p>
        </w:tc>
        <w:tc>
          <w:tcPr>
            <w:tcW w:w="2056"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rsidR="00612FD3" w:rsidRPr="00C23D18" w:rsidRDefault="00612FD3" w:rsidP="00301B6D">
            <w:pPr>
              <w:pStyle w:val="TableTextEntries"/>
              <w:spacing w:before="40" w:after="40"/>
              <w:rPr>
                <w:rFonts w:ascii="Franklin Gothic Demi" w:hAnsi="Franklin Gothic Demi"/>
                <w:lang w:val="en-GB"/>
              </w:rPr>
            </w:pPr>
            <w:r w:rsidRPr="00C23D18">
              <w:rPr>
                <w:rFonts w:ascii="Franklin Gothic Demi" w:hAnsi="Franklin Gothic Demi"/>
                <w:lang w:val="en-GB"/>
              </w:rPr>
              <w:t>Weighted average</w:t>
            </w:r>
          </w:p>
        </w:tc>
        <w:tc>
          <w:tcPr>
            <w:tcW w:w="93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612FD3" w:rsidRPr="00C23D18" w:rsidRDefault="00612FD3" w:rsidP="00301B6D">
            <w:pPr>
              <w:pStyle w:val="TableDataEntries"/>
              <w:rPr>
                <w:rFonts w:ascii="Franklin Gothic Demi" w:hAnsi="Franklin Gothic Demi"/>
                <w:lang w:val="en-GB"/>
              </w:rPr>
            </w:pPr>
          </w:p>
        </w:tc>
        <w:tc>
          <w:tcPr>
            <w:tcW w:w="932"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612FD3" w:rsidRPr="00C23D18" w:rsidRDefault="00612FD3" w:rsidP="00301B6D">
            <w:pPr>
              <w:pStyle w:val="TableDataEntries"/>
              <w:rPr>
                <w:rFonts w:ascii="Franklin Gothic Demi" w:hAnsi="Franklin Gothic Demi"/>
                <w:lang w:val="en-GB"/>
              </w:rPr>
            </w:pPr>
          </w:p>
        </w:tc>
        <w:tc>
          <w:tcPr>
            <w:tcW w:w="93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612FD3" w:rsidRPr="00C23D18" w:rsidRDefault="00612FD3" w:rsidP="00301B6D">
            <w:pPr>
              <w:pStyle w:val="TableDataEntries"/>
              <w:rPr>
                <w:rFonts w:ascii="Franklin Gothic Demi" w:hAnsi="Franklin Gothic Demi"/>
                <w:lang w:val="en-GB"/>
              </w:rPr>
            </w:pPr>
          </w:p>
        </w:tc>
        <w:tc>
          <w:tcPr>
            <w:tcW w:w="93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612FD3" w:rsidRPr="00C23D18" w:rsidRDefault="00612FD3" w:rsidP="00301B6D">
            <w:pPr>
              <w:pStyle w:val="TableDataEntries"/>
              <w:rPr>
                <w:rFonts w:ascii="Franklin Gothic Demi" w:hAnsi="Franklin Gothic Demi"/>
                <w:lang w:val="en-GB"/>
              </w:rPr>
            </w:pPr>
          </w:p>
        </w:tc>
        <w:tc>
          <w:tcPr>
            <w:tcW w:w="93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612FD3" w:rsidRPr="00C23D18" w:rsidRDefault="00612FD3" w:rsidP="00301B6D">
            <w:pPr>
              <w:pStyle w:val="TableDataEntries"/>
              <w:rPr>
                <w:rFonts w:ascii="Franklin Gothic Demi" w:hAnsi="Franklin Gothic Demi"/>
                <w:lang w:val="en-GB"/>
              </w:rPr>
            </w:pPr>
            <w:r w:rsidRPr="00C23D18">
              <w:rPr>
                <w:rFonts w:ascii="Franklin Gothic Demi" w:hAnsi="Franklin Gothic Demi"/>
                <w:szCs w:val="16"/>
              </w:rPr>
              <w:t>-23</w:t>
            </w:r>
          </w:p>
        </w:tc>
      </w:tr>
    </w:tbl>
    <w:p w:rsidR="00612FD3" w:rsidRPr="00E4232C" w:rsidRDefault="00612FD3" w:rsidP="00612FD3">
      <w:pPr>
        <w:pStyle w:val="Note"/>
      </w:pPr>
      <w:r w:rsidRPr="00E4232C">
        <w:rPr>
          <w:rStyle w:val="NoteLabel"/>
        </w:rPr>
        <w:t>a</w:t>
      </w:r>
      <w:r>
        <w:t xml:space="preserve"> While the modelling suggests that the energy use of some buildings in </w:t>
      </w:r>
      <w:r w:rsidR="00E31EE8">
        <w:t>Climate Zone</w:t>
      </w:r>
      <w:r>
        <w:t xml:space="preserve"> 8 will increase, there are reductions in greenhouse gas emissions, primarily due to: more achievable glazing provisions being proposed for </w:t>
      </w:r>
      <w:r w:rsidR="00E31EE8">
        <w:t>Climate Zone</w:t>
      </w:r>
      <w:r>
        <w:t xml:space="preserve"> 8, which are slightly less stringent than the current provisions; and the analysis being based on more realistic accounting of gas heating, which increases raw energy, but decreases greenhouse gas emissions.</w:t>
      </w:r>
    </w:p>
    <w:p w:rsidR="00612FD3" w:rsidRPr="0064004E" w:rsidRDefault="00612FD3" w:rsidP="00612FD3">
      <w:pPr>
        <w:pStyle w:val="Source"/>
      </w:pPr>
      <w:r>
        <w:rPr>
          <w:i/>
        </w:rPr>
        <w:t>Source</w:t>
      </w:r>
      <w:r w:rsidRPr="00E4232C">
        <w:rPr>
          <w:i/>
        </w:rPr>
        <w:t>:</w:t>
      </w:r>
      <w:r>
        <w:t xml:space="preserve"> </w:t>
      </w:r>
      <w:r w:rsidR="003F28DD">
        <w:t>EA</w:t>
      </w:r>
      <w:r>
        <w:t xml:space="preserve"> </w:t>
      </w:r>
      <w:r w:rsidR="00B80EE4">
        <w:t xml:space="preserve">2017 </w:t>
      </w:r>
      <w:r>
        <w:t>core modelling. Average numbers are CIE calculation based on new commercial building estimates.</w:t>
      </w:r>
    </w:p>
    <w:p w:rsidR="00612FD3" w:rsidRDefault="00612FD3" w:rsidP="00612FD3">
      <w:pPr>
        <w:pStyle w:val="Caption"/>
        <w:numPr>
          <w:ilvl w:val="0"/>
          <w:numId w:val="7"/>
        </w:numPr>
      </w:pPr>
      <w:r w:rsidRPr="00695C93">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sidR="00B833F1">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sidR="00B833F1">
        <w:rPr>
          <w:noProof/>
        </w:rPr>
        <w:instrText>2</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sidR="00B833F1">
        <w:rPr>
          <w:noProof/>
        </w:rPr>
        <w:instrText>2</w:instrText>
      </w:r>
      <w:r>
        <w:rPr>
          <w:noProof/>
        </w:rPr>
        <w:fldChar w:fldCharType="end"/>
      </w:r>
      <w:r w:rsidRPr="00695C93">
        <w:instrText xml:space="preserve">." </w:instrText>
      </w:r>
      <w:r w:rsidRPr="00695C93">
        <w:fldChar w:fldCharType="separate"/>
      </w:r>
      <w:r w:rsidR="00B833F1">
        <w:rPr>
          <w:noProof/>
        </w:rPr>
        <w:instrText>2</w:instrText>
      </w:r>
      <w:r w:rsidR="00B833F1" w:rsidRPr="00695C93">
        <w:rPr>
          <w:noProof/>
        </w:rPr>
        <w:instrText>.</w:instrText>
      </w:r>
      <w:r w:rsidRPr="00695C93">
        <w:fldChar w:fldCharType="end"/>
      </w:r>
      <w:r w:rsidRPr="00695C93">
        <w:instrText>" "</w:instrText>
      </w:r>
      <w:r w:rsidR="001F6F43">
        <w:fldChar w:fldCharType="begin"/>
      </w:r>
      <w:r w:rsidR="001F6F43">
        <w:instrText xml:space="preserve"> STYLEREF "Heading 6" \l \n </w:instrText>
      </w:r>
      <w:r w:rsidR="001F6F43">
        <w:fldChar w:fldCharType="separate"/>
      </w:r>
      <w:r w:rsidRPr="00695C93">
        <w:instrText>B</w:instrText>
      </w:r>
      <w:r w:rsidR="001F6F43">
        <w:fldChar w:fldCharType="end"/>
      </w:r>
      <w:r w:rsidRPr="00695C93">
        <w:instrText xml:space="preserve">." </w:instrText>
      </w:r>
      <w:r w:rsidRPr="00695C93">
        <w:fldChar w:fldCharType="separate"/>
      </w:r>
      <w:r w:rsidR="00EA42ED">
        <w:rPr>
          <w:noProof/>
        </w:rPr>
        <w:instrText>2</w:instrText>
      </w:r>
      <w:r w:rsidR="00EA42ED"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sidR="00B833F1">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sidR="00B833F1">
        <w:rPr>
          <w:noProof/>
        </w:rPr>
        <w:instrText>2</w:instrText>
      </w:r>
      <w:r>
        <w:rPr>
          <w:noProof/>
        </w:rPr>
        <w:fldChar w:fldCharType="end"/>
      </w:r>
      <w:r w:rsidRPr="00695C93">
        <w:instrText xml:space="preserve"> = 0 "" "1" </w:instrText>
      </w:r>
      <w:r w:rsidRPr="00695C93">
        <w:fldChar w:fldCharType="separate"/>
      </w:r>
      <w:r w:rsidR="00EA42ED" w:rsidRPr="00695C93">
        <w:rPr>
          <w:noProof/>
        </w:rPr>
        <w:instrText>1</w:instrText>
      </w:r>
      <w:r w:rsidRPr="00695C93">
        <w:fldChar w:fldCharType="end"/>
      </w:r>
      <w:r w:rsidRPr="00695C93">
        <w:instrText xml:space="preserve">" "6" </w:instrText>
      </w:r>
      <w:r w:rsidRPr="00695C93">
        <w:fldChar w:fldCharType="separate"/>
      </w:r>
      <w:r w:rsidR="00EA42ED" w:rsidRPr="00695C93">
        <w:rPr>
          <w:noProof/>
        </w:rPr>
        <w:instrText>1</w:instrText>
      </w:r>
      <w:r w:rsidRPr="00695C93">
        <w:fldChar w:fldCharType="end"/>
      </w:r>
      <w:r w:rsidRPr="00695C93">
        <w:instrText xml:space="preserve"> </w:instrText>
      </w:r>
      <w:r w:rsidRPr="00695C93">
        <w:fldChar w:fldCharType="separate"/>
      </w:r>
      <w:r w:rsidR="00B833F1">
        <w:rPr>
          <w:noProof/>
        </w:rPr>
        <w:instrText>5</w:instrText>
      </w:r>
      <w:r w:rsidRPr="00695C93">
        <w:fldChar w:fldCharType="end"/>
      </w:r>
      <w:r w:rsidRPr="00695C93">
        <w:instrText xml:space="preserve">" "" </w:instrText>
      </w:r>
      <w:r w:rsidRPr="00695C93">
        <w:fldChar w:fldCharType="separate"/>
      </w:r>
      <w:bookmarkStart w:id="662" w:name="_Caption7040"/>
      <w:bookmarkStart w:id="663" w:name="_Caption8233"/>
      <w:bookmarkStart w:id="664" w:name="_Caption0765"/>
      <w:bookmarkStart w:id="665" w:name="_Caption2910"/>
      <w:bookmarkStart w:id="666" w:name="_Caption8048"/>
      <w:bookmarkStart w:id="667" w:name="_Caption3621"/>
      <w:bookmarkStart w:id="668" w:name="_Caption4786"/>
      <w:bookmarkStart w:id="669" w:name="_Caption1199"/>
      <w:bookmarkStart w:id="670" w:name="_Caption1392"/>
      <w:bookmarkStart w:id="671" w:name="_Caption3659"/>
      <w:bookmarkStart w:id="672" w:name="_Caption8391"/>
      <w:bookmarkStart w:id="673" w:name="_Caption1346"/>
      <w:bookmarkStart w:id="674" w:name="_Caption4838"/>
      <w:bookmarkStart w:id="675" w:name="_Caption5738"/>
      <w:bookmarkStart w:id="676" w:name="_Caption2739"/>
      <w:bookmarkStart w:id="677" w:name="_Caption5174"/>
      <w:bookmarkStart w:id="678" w:name="_Caption2722"/>
      <w:bookmarkStart w:id="679" w:name="_Caption1425"/>
      <w:bookmarkStart w:id="680" w:name="_Caption1319"/>
      <w:bookmarkStart w:id="681" w:name="_Caption6609"/>
      <w:bookmarkStart w:id="682" w:name="_Caption5410"/>
      <w:bookmarkStart w:id="683" w:name="_Caption7891"/>
      <w:bookmarkStart w:id="684" w:name="_Caption2160"/>
      <w:bookmarkStart w:id="685" w:name="_Caption1998"/>
      <w:bookmarkStart w:id="686" w:name="_Caption9766"/>
      <w:bookmarkStart w:id="687" w:name="_Caption6624"/>
      <w:bookmarkStart w:id="688" w:name="_Caption0714"/>
      <w:bookmarkStart w:id="689" w:name="_Caption2024"/>
      <w:bookmarkStart w:id="690" w:name="_Caption2314"/>
      <w:bookmarkStart w:id="691" w:name="_Caption7731"/>
      <w:bookmarkStart w:id="692" w:name="_Caption7929"/>
      <w:bookmarkStart w:id="693" w:name="_Caption8281"/>
      <w:bookmarkStart w:id="694" w:name="_Caption4048"/>
      <w:bookmarkStart w:id="695" w:name="_Caption0178"/>
      <w:bookmarkStart w:id="696" w:name="_Caption0335"/>
      <w:bookmarkStart w:id="697" w:name="_Caption4813"/>
      <w:bookmarkStart w:id="698" w:name="_Caption2229"/>
      <w:bookmarkStart w:id="699" w:name="_Caption4313"/>
      <w:bookmarkStart w:id="700" w:name="_Caption4480"/>
      <w:bookmarkStart w:id="701" w:name="_Caption0363"/>
      <w:bookmarkStart w:id="702" w:name="_Caption4682"/>
      <w:bookmarkStart w:id="703" w:name="_Caption7542"/>
      <w:bookmarkStart w:id="704" w:name="_Caption6841"/>
      <w:bookmarkStart w:id="705" w:name="_Caption8150"/>
      <w:bookmarkStart w:id="706" w:name="_Caption0743"/>
      <w:bookmarkStart w:id="707" w:name="_Caption1136"/>
      <w:bookmarkStart w:id="708" w:name="_Caption0452"/>
      <w:bookmarkStart w:id="709" w:name="_Caption3869"/>
      <w:bookmarkStart w:id="710" w:name="_Caption4068"/>
      <w:bookmarkStart w:id="711" w:name="_Caption8576"/>
      <w:bookmarkStart w:id="712" w:name="_Caption6575"/>
      <w:bookmarkStart w:id="713" w:name="_Caption6050"/>
      <w:bookmarkStart w:id="714" w:name="_Caption5961"/>
      <w:bookmarkStart w:id="715" w:name="_Caption2507"/>
      <w:bookmarkStart w:id="716" w:name="_Caption7290"/>
      <w:bookmarkStart w:id="717" w:name="_Caption3719"/>
      <w:bookmarkStart w:id="718" w:name="_Caption4128"/>
      <w:bookmarkStart w:id="719" w:name="_Caption0123"/>
      <w:bookmarkStart w:id="720" w:name="_Caption6796"/>
      <w:bookmarkStart w:id="721" w:name="_Caption7941"/>
      <w:bookmarkStart w:id="722" w:name="_Caption7220"/>
      <w:bookmarkStart w:id="723" w:name="_Caption2176"/>
      <w:bookmarkStart w:id="724" w:name="_Caption0370"/>
      <w:bookmarkStart w:id="725" w:name="_Caption5708"/>
      <w:bookmarkStart w:id="726" w:name="_Caption2514"/>
      <w:bookmarkStart w:id="727" w:name="_Caption0358"/>
      <w:bookmarkStart w:id="728" w:name="_Caption7071"/>
      <w:bookmarkStart w:id="729" w:name="_Caption2347"/>
      <w:bookmarkStart w:id="730" w:name="_Caption0866"/>
      <w:bookmarkStart w:id="731" w:name="_Caption3674"/>
      <w:bookmarkStart w:id="732" w:name="_Caption9595"/>
      <w:bookmarkStart w:id="733" w:name="_Caption4726"/>
      <w:bookmarkStart w:id="734" w:name="_Caption1269"/>
      <w:bookmarkStart w:id="735" w:name="_Caption1038"/>
      <w:bookmarkStart w:id="736" w:name="_Caption4417"/>
      <w:bookmarkStart w:id="737" w:name="_Caption5775"/>
      <w:bookmarkStart w:id="738" w:name="_Caption0893"/>
      <w:bookmarkStart w:id="739" w:name="_Caption2501"/>
      <w:bookmarkStart w:id="740" w:name="_Caption2503"/>
      <w:bookmarkStart w:id="741" w:name="_Caption7387"/>
      <w:bookmarkStart w:id="742" w:name="_Caption5844"/>
      <w:bookmarkStart w:id="743" w:name="_Caption8460"/>
      <w:bookmarkStart w:id="744" w:name="_Caption0252"/>
      <w:bookmarkStart w:id="745" w:name="_Caption8163"/>
      <w:bookmarkStart w:id="746" w:name="_Caption3265"/>
      <w:bookmarkStart w:id="747" w:name="_Caption5770"/>
      <w:bookmarkStart w:id="748" w:name="_Caption7414"/>
      <w:bookmarkStart w:id="749" w:name="_Caption5135"/>
      <w:bookmarkStart w:id="750" w:name="_Caption3010"/>
      <w:bookmarkStart w:id="751" w:name="_Caption4028"/>
      <w:bookmarkStart w:id="752" w:name="_Caption3213"/>
      <w:bookmarkStart w:id="753" w:name="_Caption1664"/>
      <w:bookmarkStart w:id="754" w:name="_Caption3931"/>
      <w:bookmarkStart w:id="755" w:name="_Caption3452"/>
      <w:bookmarkStart w:id="756" w:name="_Caption7276"/>
      <w:bookmarkStart w:id="757" w:name="_Caption1473"/>
      <w:bookmarkStart w:id="758" w:name="_Caption0038"/>
      <w:bookmarkStart w:id="759" w:name="_Caption5285"/>
      <w:bookmarkStart w:id="760" w:name="_Caption4051"/>
      <w:bookmarkStart w:id="761" w:name="_Caption9343"/>
      <w:bookmarkStart w:id="762" w:name="_Caption2843"/>
      <w:bookmarkStart w:id="763" w:name="_Caption6319"/>
      <w:bookmarkStart w:id="764" w:name="_Caption1259"/>
      <w:bookmarkStart w:id="765" w:name="_Caption2233"/>
      <w:bookmarkStart w:id="766" w:name="_Caption9232"/>
      <w:bookmarkStart w:id="767" w:name="_Caption2371"/>
      <w:bookmarkStart w:id="768" w:name="_Caption8878"/>
      <w:bookmarkStart w:id="769" w:name="_Caption7844"/>
      <w:bookmarkStart w:id="770" w:name="_Caption2894"/>
      <w:bookmarkStart w:id="771" w:name="_Caption3172"/>
      <w:bookmarkStart w:id="772" w:name="_Caption4210"/>
      <w:bookmarkStart w:id="773" w:name="_Toc499847038"/>
      <w:bookmarkStart w:id="774" w:name="_Toc509220843"/>
      <w:bookmarkStart w:id="775" w:name="_Toc529869899"/>
      <w:bookmarkStart w:id="776" w:name="_Toc530748395"/>
      <w:r w:rsidR="00EA42ED">
        <w:rPr>
          <w:noProof/>
        </w:rPr>
        <w:t>2</w:t>
      </w:r>
      <w:r w:rsidR="00EA42ED" w:rsidRPr="00695C93">
        <w:rPr>
          <w:noProof/>
        </w:rPr>
        <w:t>.</w:t>
      </w:r>
      <w:r w:rsidR="00EA42ED">
        <w:rPr>
          <w:noProof/>
        </w:rPr>
        <w:t>5</w:t>
      </w:r>
      <w:bookmarkStart w:id="777" w:name="_Toc507523794"/>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r w:rsidRPr="00695C93">
        <w:fldChar w:fldCharType="end"/>
      </w:r>
      <w:r w:rsidRPr="00695C93">
        <w:tab/>
      </w:r>
      <w:r>
        <w:t>Estimated change in greenhouse gas emissions</w:t>
      </w:r>
      <w:bookmarkEnd w:id="773"/>
      <w:bookmarkEnd w:id="774"/>
      <w:bookmarkEnd w:id="775"/>
      <w:bookmarkEnd w:id="776"/>
      <w:bookmarkEnd w:id="777"/>
    </w:p>
    <w:tbl>
      <w:tblPr>
        <w:tblW w:w="7940" w:type="dxa"/>
        <w:tblLayout w:type="fixed"/>
        <w:tblLook w:val="0000" w:firstRow="0" w:lastRow="0" w:firstColumn="0" w:lastColumn="0" w:noHBand="0" w:noVBand="0"/>
        <w:tblCaption w:val="Table 2.5: Estimated change in greenhouse gas emssions"/>
        <w:tblDescription w:val="The table outlines the estimated change in greenhouse gas emissions which on average is expected to fall by 27%. "/>
      </w:tblPr>
      <w:tblGrid>
        <w:gridCol w:w="1220"/>
        <w:gridCol w:w="2056"/>
        <w:gridCol w:w="933"/>
        <w:gridCol w:w="932"/>
        <w:gridCol w:w="933"/>
        <w:gridCol w:w="933"/>
        <w:gridCol w:w="933"/>
      </w:tblGrid>
      <w:tr w:rsidR="00612FD3" w:rsidTr="00301B6D">
        <w:trPr>
          <w:trHeight w:val="288"/>
          <w:tblHeader/>
        </w:trPr>
        <w:tc>
          <w:tcPr>
            <w:tcW w:w="1220" w:type="dxa"/>
            <w:shd w:val="clear" w:color="auto" w:fill="6F6652"/>
            <w:tcMar>
              <w:left w:w="57" w:type="dxa"/>
              <w:right w:w="57" w:type="dxa"/>
            </w:tcMar>
          </w:tcPr>
          <w:p w:rsidR="00612FD3" w:rsidRDefault="00E31EE8" w:rsidP="00301B6D">
            <w:pPr>
              <w:pStyle w:val="TableDataColumnHeading"/>
              <w:jc w:val="left"/>
              <w:rPr>
                <w:lang w:val="en-GB"/>
              </w:rPr>
            </w:pPr>
            <w:r>
              <w:rPr>
                <w:lang w:val="en-GB"/>
              </w:rPr>
              <w:t>Climate Zone</w:t>
            </w:r>
          </w:p>
        </w:tc>
        <w:tc>
          <w:tcPr>
            <w:tcW w:w="2056" w:type="dxa"/>
            <w:shd w:val="clear" w:color="auto" w:fill="6F6652"/>
            <w:tcMar>
              <w:left w:w="57" w:type="dxa"/>
              <w:right w:w="57" w:type="dxa"/>
            </w:tcMar>
          </w:tcPr>
          <w:p w:rsidR="00612FD3" w:rsidRDefault="00612FD3" w:rsidP="00301B6D">
            <w:pPr>
              <w:pStyle w:val="TableTextColumnHeading"/>
              <w:rPr>
                <w:lang w:val="en-GB"/>
              </w:rPr>
            </w:pPr>
            <w:r>
              <w:rPr>
                <w:lang w:val="en-GB"/>
              </w:rPr>
              <w:t>Location modelled</w:t>
            </w:r>
          </w:p>
        </w:tc>
        <w:tc>
          <w:tcPr>
            <w:tcW w:w="933" w:type="dxa"/>
            <w:shd w:val="clear" w:color="auto" w:fill="6F6652"/>
            <w:tcMar>
              <w:left w:w="57" w:type="dxa"/>
              <w:right w:w="57" w:type="dxa"/>
            </w:tcMar>
          </w:tcPr>
          <w:p w:rsidR="00612FD3" w:rsidRDefault="00612FD3" w:rsidP="00301B6D">
            <w:pPr>
              <w:pStyle w:val="TableDataColumnHeading"/>
              <w:rPr>
                <w:lang w:val="en-GB"/>
              </w:rPr>
            </w:pPr>
            <w:r>
              <w:rPr>
                <w:lang w:val="en-GB"/>
              </w:rPr>
              <w:t>Hotel</w:t>
            </w:r>
          </w:p>
        </w:tc>
        <w:tc>
          <w:tcPr>
            <w:tcW w:w="932" w:type="dxa"/>
            <w:shd w:val="clear" w:color="auto" w:fill="6F6652"/>
            <w:tcMar>
              <w:left w:w="57" w:type="dxa"/>
              <w:right w:w="57" w:type="dxa"/>
            </w:tcMar>
          </w:tcPr>
          <w:p w:rsidR="00612FD3" w:rsidRDefault="00612FD3" w:rsidP="00301B6D">
            <w:pPr>
              <w:pStyle w:val="TableDataColumnHeading"/>
              <w:rPr>
                <w:lang w:val="en-GB"/>
              </w:rPr>
            </w:pPr>
            <w:r>
              <w:rPr>
                <w:lang w:val="en-GB"/>
              </w:rPr>
              <w:t>Office</w:t>
            </w:r>
          </w:p>
        </w:tc>
        <w:tc>
          <w:tcPr>
            <w:tcW w:w="933" w:type="dxa"/>
            <w:shd w:val="clear" w:color="auto" w:fill="6F6652"/>
            <w:tcMar>
              <w:left w:w="57" w:type="dxa"/>
              <w:right w:w="57" w:type="dxa"/>
            </w:tcMar>
          </w:tcPr>
          <w:p w:rsidR="00612FD3" w:rsidRDefault="00612FD3" w:rsidP="00301B6D">
            <w:pPr>
              <w:pStyle w:val="TableDataColumnHeading"/>
              <w:rPr>
                <w:lang w:val="en-GB"/>
              </w:rPr>
            </w:pPr>
            <w:r>
              <w:rPr>
                <w:lang w:val="en-GB"/>
              </w:rPr>
              <w:t>Retail</w:t>
            </w:r>
          </w:p>
        </w:tc>
        <w:tc>
          <w:tcPr>
            <w:tcW w:w="933" w:type="dxa"/>
            <w:shd w:val="clear" w:color="auto" w:fill="6F6652"/>
            <w:tcMar>
              <w:left w:w="57" w:type="dxa"/>
              <w:right w:w="57" w:type="dxa"/>
            </w:tcMar>
          </w:tcPr>
          <w:p w:rsidR="00612FD3" w:rsidRDefault="00612FD3" w:rsidP="00301B6D">
            <w:pPr>
              <w:pStyle w:val="TableDataColumnHeading"/>
              <w:rPr>
                <w:lang w:val="en-GB"/>
              </w:rPr>
            </w:pPr>
            <w:r>
              <w:rPr>
                <w:lang w:val="en-GB"/>
              </w:rPr>
              <w:t>Health</w:t>
            </w:r>
          </w:p>
        </w:tc>
        <w:tc>
          <w:tcPr>
            <w:tcW w:w="933" w:type="dxa"/>
            <w:shd w:val="clear" w:color="auto" w:fill="6F6652"/>
            <w:tcMar>
              <w:left w:w="57" w:type="dxa"/>
              <w:right w:w="57" w:type="dxa"/>
            </w:tcMar>
          </w:tcPr>
          <w:p w:rsidR="00612FD3" w:rsidRDefault="00612FD3" w:rsidP="00301B6D">
            <w:pPr>
              <w:pStyle w:val="TableDataColumnHeading"/>
              <w:rPr>
                <w:lang w:val="en-GB"/>
              </w:rPr>
            </w:pPr>
            <w:r>
              <w:rPr>
                <w:lang w:val="en-GB"/>
              </w:rPr>
              <w:t>Average</w:t>
            </w:r>
          </w:p>
        </w:tc>
      </w:tr>
      <w:tr w:rsidR="00612FD3" w:rsidTr="00301B6D">
        <w:trPr>
          <w:trHeight w:val="288"/>
          <w:tblHeader/>
        </w:trPr>
        <w:tc>
          <w:tcPr>
            <w:tcW w:w="1220"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jc w:val="left"/>
              <w:rPr>
                <w:lang w:val="en-GB"/>
              </w:rPr>
            </w:pPr>
          </w:p>
        </w:tc>
        <w:tc>
          <w:tcPr>
            <w:tcW w:w="2056"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p>
        </w:tc>
        <w:tc>
          <w:tcPr>
            <w:tcW w:w="93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Per cent</w:t>
            </w:r>
          </w:p>
        </w:tc>
        <w:tc>
          <w:tcPr>
            <w:tcW w:w="932"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Per cent</w:t>
            </w:r>
          </w:p>
        </w:tc>
        <w:tc>
          <w:tcPr>
            <w:tcW w:w="93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Per cent</w:t>
            </w:r>
          </w:p>
        </w:tc>
        <w:tc>
          <w:tcPr>
            <w:tcW w:w="93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Per cent</w:t>
            </w:r>
          </w:p>
        </w:tc>
        <w:tc>
          <w:tcPr>
            <w:tcW w:w="93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Per cent</w:t>
            </w:r>
          </w:p>
        </w:tc>
      </w:tr>
      <w:tr w:rsidR="00612FD3" w:rsidTr="00301B6D">
        <w:trPr>
          <w:trHeight w:val="288"/>
        </w:trPr>
        <w:tc>
          <w:tcPr>
            <w:tcW w:w="122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jc w:val="left"/>
              <w:rPr>
                <w:lang w:val="en-GB"/>
              </w:rPr>
            </w:pPr>
            <w:r>
              <w:rPr>
                <w:lang w:val="en-GB"/>
              </w:rPr>
              <w:t>1</w:t>
            </w:r>
          </w:p>
        </w:tc>
        <w:tc>
          <w:tcPr>
            <w:tcW w:w="20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TextEntries"/>
              <w:spacing w:before="40" w:after="40"/>
              <w:rPr>
                <w:lang w:val="en-GB"/>
              </w:rPr>
            </w:pPr>
            <w:r>
              <w:rPr>
                <w:lang w:val="en-GB"/>
              </w:rPr>
              <w:t>Darwin</w:t>
            </w:r>
          </w:p>
        </w:tc>
        <w:tc>
          <w:tcPr>
            <w:tcW w:w="93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rPr>
                <w:szCs w:val="16"/>
              </w:rPr>
              <w:t>-25</w:t>
            </w:r>
          </w:p>
        </w:tc>
        <w:tc>
          <w:tcPr>
            <w:tcW w:w="93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rPr>
                <w:szCs w:val="16"/>
              </w:rPr>
              <w:t>-27</w:t>
            </w:r>
          </w:p>
        </w:tc>
        <w:tc>
          <w:tcPr>
            <w:tcW w:w="93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rPr>
                <w:szCs w:val="16"/>
              </w:rPr>
              <w:t>-21</w:t>
            </w:r>
          </w:p>
        </w:tc>
        <w:tc>
          <w:tcPr>
            <w:tcW w:w="93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rPr>
                <w:szCs w:val="16"/>
              </w:rPr>
              <w:t>-32</w:t>
            </w:r>
          </w:p>
        </w:tc>
        <w:tc>
          <w:tcPr>
            <w:tcW w:w="93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rPr>
                <w:szCs w:val="16"/>
              </w:rPr>
              <w:t>-24</w:t>
            </w:r>
          </w:p>
        </w:tc>
      </w:tr>
      <w:tr w:rsidR="00612FD3" w:rsidTr="00301B6D">
        <w:trPr>
          <w:trHeight w:val="288"/>
        </w:trPr>
        <w:tc>
          <w:tcPr>
            <w:tcW w:w="122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jc w:val="left"/>
              <w:rPr>
                <w:lang w:val="en-GB"/>
              </w:rPr>
            </w:pPr>
            <w:r>
              <w:rPr>
                <w:lang w:val="en-GB"/>
              </w:rPr>
              <w:t>2</w:t>
            </w:r>
          </w:p>
        </w:tc>
        <w:tc>
          <w:tcPr>
            <w:tcW w:w="20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TextEntries"/>
              <w:spacing w:before="40" w:after="40"/>
              <w:rPr>
                <w:lang w:val="en-GB"/>
              </w:rPr>
            </w:pPr>
            <w:r>
              <w:rPr>
                <w:lang w:val="en-GB"/>
              </w:rPr>
              <w:t>Brisbane</w:t>
            </w:r>
          </w:p>
        </w:tc>
        <w:tc>
          <w:tcPr>
            <w:tcW w:w="93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rPr>
                <w:szCs w:val="16"/>
              </w:rPr>
              <w:t>-32</w:t>
            </w:r>
          </w:p>
        </w:tc>
        <w:tc>
          <w:tcPr>
            <w:tcW w:w="93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rPr>
                <w:szCs w:val="16"/>
              </w:rPr>
              <w:t>-35</w:t>
            </w:r>
          </w:p>
        </w:tc>
        <w:tc>
          <w:tcPr>
            <w:tcW w:w="93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rPr>
                <w:szCs w:val="16"/>
              </w:rPr>
              <w:t>-17</w:t>
            </w:r>
          </w:p>
        </w:tc>
        <w:tc>
          <w:tcPr>
            <w:tcW w:w="93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rPr>
                <w:szCs w:val="16"/>
              </w:rPr>
              <w:t>-41</w:t>
            </w:r>
          </w:p>
        </w:tc>
        <w:tc>
          <w:tcPr>
            <w:tcW w:w="93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rPr>
                <w:szCs w:val="16"/>
              </w:rPr>
              <w:t>-25</w:t>
            </w:r>
          </w:p>
        </w:tc>
      </w:tr>
      <w:tr w:rsidR="00612FD3" w:rsidTr="00301B6D">
        <w:trPr>
          <w:trHeight w:val="288"/>
        </w:trPr>
        <w:tc>
          <w:tcPr>
            <w:tcW w:w="122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jc w:val="left"/>
              <w:rPr>
                <w:lang w:val="en-GB"/>
              </w:rPr>
            </w:pPr>
            <w:r>
              <w:rPr>
                <w:lang w:val="en-GB"/>
              </w:rPr>
              <w:t>3</w:t>
            </w:r>
          </w:p>
        </w:tc>
        <w:tc>
          <w:tcPr>
            <w:tcW w:w="20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TextEntries"/>
              <w:spacing w:before="40" w:after="40"/>
              <w:rPr>
                <w:lang w:val="en-GB"/>
              </w:rPr>
            </w:pPr>
            <w:r>
              <w:rPr>
                <w:lang w:val="en-GB"/>
              </w:rPr>
              <w:t>Alice Springs</w:t>
            </w:r>
          </w:p>
        </w:tc>
        <w:tc>
          <w:tcPr>
            <w:tcW w:w="93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rPr>
                <w:szCs w:val="16"/>
              </w:rPr>
              <w:t>-30</w:t>
            </w:r>
          </w:p>
        </w:tc>
        <w:tc>
          <w:tcPr>
            <w:tcW w:w="93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rPr>
                <w:szCs w:val="16"/>
              </w:rPr>
              <w:t>-20</w:t>
            </w:r>
          </w:p>
        </w:tc>
        <w:tc>
          <w:tcPr>
            <w:tcW w:w="93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rPr>
                <w:szCs w:val="16"/>
              </w:rPr>
              <w:t>-24</w:t>
            </w:r>
          </w:p>
        </w:tc>
        <w:tc>
          <w:tcPr>
            <w:tcW w:w="93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rPr>
                <w:szCs w:val="16"/>
              </w:rPr>
              <w:t>-37</w:t>
            </w:r>
          </w:p>
        </w:tc>
        <w:tc>
          <w:tcPr>
            <w:tcW w:w="93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rPr>
                <w:szCs w:val="16"/>
              </w:rPr>
              <w:t>-26</w:t>
            </w:r>
          </w:p>
        </w:tc>
      </w:tr>
      <w:tr w:rsidR="00612FD3" w:rsidTr="00301B6D">
        <w:trPr>
          <w:trHeight w:val="288"/>
        </w:trPr>
        <w:tc>
          <w:tcPr>
            <w:tcW w:w="122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jc w:val="left"/>
              <w:rPr>
                <w:lang w:val="en-GB"/>
              </w:rPr>
            </w:pPr>
            <w:r>
              <w:rPr>
                <w:lang w:val="en-GB"/>
              </w:rPr>
              <w:t>4</w:t>
            </w:r>
          </w:p>
        </w:tc>
        <w:tc>
          <w:tcPr>
            <w:tcW w:w="20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TextEntries"/>
              <w:spacing w:before="40" w:after="40"/>
              <w:rPr>
                <w:lang w:val="en-GB"/>
              </w:rPr>
            </w:pPr>
            <w:r>
              <w:rPr>
                <w:lang w:val="en-GB"/>
              </w:rPr>
              <w:t>Wagga Wagga</w:t>
            </w:r>
          </w:p>
        </w:tc>
        <w:tc>
          <w:tcPr>
            <w:tcW w:w="93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rPr>
                <w:szCs w:val="16"/>
              </w:rPr>
              <w:t>-33</w:t>
            </w:r>
          </w:p>
        </w:tc>
        <w:tc>
          <w:tcPr>
            <w:tcW w:w="93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rPr>
                <w:szCs w:val="16"/>
              </w:rPr>
              <w:t>-37</w:t>
            </w:r>
          </w:p>
        </w:tc>
        <w:tc>
          <w:tcPr>
            <w:tcW w:w="93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rPr>
                <w:szCs w:val="16"/>
              </w:rPr>
              <w:t>-23</w:t>
            </w:r>
          </w:p>
        </w:tc>
        <w:tc>
          <w:tcPr>
            <w:tcW w:w="93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rPr>
                <w:szCs w:val="16"/>
              </w:rPr>
              <w:t>-31</w:t>
            </w:r>
          </w:p>
        </w:tc>
        <w:tc>
          <w:tcPr>
            <w:tcW w:w="93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rPr>
                <w:szCs w:val="16"/>
              </w:rPr>
              <w:t>-26</w:t>
            </w:r>
          </w:p>
        </w:tc>
      </w:tr>
      <w:tr w:rsidR="00612FD3" w:rsidTr="00301B6D">
        <w:trPr>
          <w:trHeight w:val="288"/>
        </w:trPr>
        <w:tc>
          <w:tcPr>
            <w:tcW w:w="122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jc w:val="left"/>
              <w:rPr>
                <w:lang w:val="en-GB"/>
              </w:rPr>
            </w:pPr>
            <w:r>
              <w:rPr>
                <w:lang w:val="en-GB"/>
              </w:rPr>
              <w:t>5</w:t>
            </w:r>
          </w:p>
        </w:tc>
        <w:tc>
          <w:tcPr>
            <w:tcW w:w="20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TextEntries"/>
              <w:spacing w:before="40" w:after="40"/>
              <w:rPr>
                <w:lang w:val="en-GB"/>
              </w:rPr>
            </w:pPr>
            <w:r>
              <w:rPr>
                <w:lang w:val="en-GB"/>
              </w:rPr>
              <w:t>Sydney</w:t>
            </w:r>
          </w:p>
        </w:tc>
        <w:tc>
          <w:tcPr>
            <w:tcW w:w="93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rPr>
                <w:szCs w:val="16"/>
              </w:rPr>
              <w:t>-35</w:t>
            </w:r>
          </w:p>
        </w:tc>
        <w:tc>
          <w:tcPr>
            <w:tcW w:w="93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rPr>
                <w:szCs w:val="16"/>
              </w:rPr>
              <w:t>-38</w:t>
            </w:r>
          </w:p>
        </w:tc>
        <w:tc>
          <w:tcPr>
            <w:tcW w:w="93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rPr>
                <w:szCs w:val="16"/>
              </w:rPr>
              <w:t>-25</w:t>
            </w:r>
          </w:p>
        </w:tc>
        <w:tc>
          <w:tcPr>
            <w:tcW w:w="93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rPr>
                <w:szCs w:val="16"/>
              </w:rPr>
              <w:t>-43</w:t>
            </w:r>
          </w:p>
        </w:tc>
        <w:tc>
          <w:tcPr>
            <w:tcW w:w="93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rPr>
                <w:szCs w:val="16"/>
              </w:rPr>
              <w:t>-33</w:t>
            </w:r>
          </w:p>
        </w:tc>
      </w:tr>
      <w:tr w:rsidR="00612FD3" w:rsidTr="00301B6D">
        <w:trPr>
          <w:trHeight w:val="288"/>
        </w:trPr>
        <w:tc>
          <w:tcPr>
            <w:tcW w:w="122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jc w:val="left"/>
              <w:rPr>
                <w:lang w:val="en-GB"/>
              </w:rPr>
            </w:pPr>
            <w:r>
              <w:rPr>
                <w:lang w:val="en-GB"/>
              </w:rPr>
              <w:t>6</w:t>
            </w:r>
          </w:p>
        </w:tc>
        <w:tc>
          <w:tcPr>
            <w:tcW w:w="20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TextEntries"/>
              <w:spacing w:before="40" w:after="40"/>
              <w:rPr>
                <w:lang w:val="en-GB"/>
              </w:rPr>
            </w:pPr>
            <w:r>
              <w:rPr>
                <w:lang w:val="en-GB"/>
              </w:rPr>
              <w:t>Melbourne</w:t>
            </w:r>
          </w:p>
        </w:tc>
        <w:tc>
          <w:tcPr>
            <w:tcW w:w="93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rPr>
                <w:szCs w:val="16"/>
              </w:rPr>
              <w:t>-33</w:t>
            </w:r>
          </w:p>
        </w:tc>
        <w:tc>
          <w:tcPr>
            <w:tcW w:w="93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rPr>
                <w:szCs w:val="16"/>
              </w:rPr>
              <w:t>-41</w:t>
            </w:r>
          </w:p>
        </w:tc>
        <w:tc>
          <w:tcPr>
            <w:tcW w:w="93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rPr>
                <w:szCs w:val="16"/>
              </w:rPr>
              <w:t>-25</w:t>
            </w:r>
          </w:p>
        </w:tc>
        <w:tc>
          <w:tcPr>
            <w:tcW w:w="93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rPr>
                <w:szCs w:val="16"/>
              </w:rPr>
              <w:t>-38</w:t>
            </w:r>
          </w:p>
        </w:tc>
        <w:tc>
          <w:tcPr>
            <w:tcW w:w="93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rPr>
                <w:szCs w:val="16"/>
              </w:rPr>
              <w:t>-29</w:t>
            </w:r>
          </w:p>
        </w:tc>
      </w:tr>
      <w:tr w:rsidR="00612FD3" w:rsidTr="00301B6D">
        <w:trPr>
          <w:trHeight w:val="288"/>
        </w:trPr>
        <w:tc>
          <w:tcPr>
            <w:tcW w:w="122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jc w:val="left"/>
              <w:rPr>
                <w:lang w:val="en-GB"/>
              </w:rPr>
            </w:pPr>
            <w:r>
              <w:rPr>
                <w:lang w:val="en-GB"/>
              </w:rPr>
              <w:t>7</w:t>
            </w:r>
          </w:p>
        </w:tc>
        <w:tc>
          <w:tcPr>
            <w:tcW w:w="20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TextEntries"/>
              <w:spacing w:before="40" w:after="40"/>
              <w:rPr>
                <w:lang w:val="en-GB"/>
              </w:rPr>
            </w:pPr>
            <w:r>
              <w:rPr>
                <w:lang w:val="en-GB"/>
              </w:rPr>
              <w:t>Canberra</w:t>
            </w:r>
          </w:p>
        </w:tc>
        <w:tc>
          <w:tcPr>
            <w:tcW w:w="93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rPr>
                <w:szCs w:val="16"/>
              </w:rPr>
              <w:t>-39</w:t>
            </w:r>
          </w:p>
        </w:tc>
        <w:tc>
          <w:tcPr>
            <w:tcW w:w="93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rPr>
                <w:szCs w:val="16"/>
              </w:rPr>
              <w:t>-41</w:t>
            </w:r>
          </w:p>
        </w:tc>
        <w:tc>
          <w:tcPr>
            <w:tcW w:w="93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rPr>
                <w:szCs w:val="16"/>
              </w:rPr>
              <w:t>-11</w:t>
            </w:r>
          </w:p>
        </w:tc>
        <w:tc>
          <w:tcPr>
            <w:tcW w:w="93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rPr>
                <w:szCs w:val="16"/>
              </w:rPr>
              <w:t>-25</w:t>
            </w:r>
          </w:p>
        </w:tc>
        <w:tc>
          <w:tcPr>
            <w:tcW w:w="93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rPr>
                <w:szCs w:val="16"/>
              </w:rPr>
              <w:t>-28</w:t>
            </w:r>
          </w:p>
        </w:tc>
      </w:tr>
      <w:tr w:rsidR="00612FD3" w:rsidTr="00301B6D">
        <w:trPr>
          <w:trHeight w:val="288"/>
        </w:trPr>
        <w:tc>
          <w:tcPr>
            <w:tcW w:w="122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jc w:val="left"/>
              <w:rPr>
                <w:lang w:val="en-GB"/>
              </w:rPr>
            </w:pPr>
            <w:r>
              <w:rPr>
                <w:lang w:val="en-GB"/>
              </w:rPr>
              <w:t>8</w:t>
            </w:r>
          </w:p>
        </w:tc>
        <w:tc>
          <w:tcPr>
            <w:tcW w:w="20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TextEntries"/>
              <w:spacing w:before="40" w:after="40"/>
              <w:rPr>
                <w:lang w:val="en-GB"/>
              </w:rPr>
            </w:pPr>
            <w:r>
              <w:rPr>
                <w:lang w:val="en-GB"/>
              </w:rPr>
              <w:t>Thredbo</w:t>
            </w:r>
          </w:p>
        </w:tc>
        <w:tc>
          <w:tcPr>
            <w:tcW w:w="93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rPr>
                <w:szCs w:val="16"/>
              </w:rPr>
              <w:t>-36</w:t>
            </w:r>
          </w:p>
        </w:tc>
        <w:tc>
          <w:tcPr>
            <w:tcW w:w="93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rPr>
                <w:szCs w:val="16"/>
              </w:rPr>
              <w:t>-24</w:t>
            </w:r>
          </w:p>
        </w:tc>
        <w:tc>
          <w:tcPr>
            <w:tcW w:w="93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rPr>
                <w:szCs w:val="16"/>
              </w:rPr>
              <w:t>3</w:t>
            </w:r>
          </w:p>
        </w:tc>
        <w:tc>
          <w:tcPr>
            <w:tcW w:w="93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rPr>
                <w:szCs w:val="16"/>
              </w:rPr>
              <w:t>-20</w:t>
            </w:r>
          </w:p>
        </w:tc>
        <w:tc>
          <w:tcPr>
            <w:tcW w:w="93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rPr>
                <w:szCs w:val="16"/>
              </w:rPr>
              <w:t>-23</w:t>
            </w:r>
          </w:p>
        </w:tc>
      </w:tr>
      <w:tr w:rsidR="00612FD3" w:rsidRPr="00C23D18" w:rsidTr="00301B6D">
        <w:trPr>
          <w:trHeight w:val="288"/>
        </w:trPr>
        <w:tc>
          <w:tcPr>
            <w:tcW w:w="1220"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612FD3" w:rsidRPr="00C23D18" w:rsidRDefault="00612FD3" w:rsidP="00301B6D">
            <w:pPr>
              <w:pStyle w:val="TableDataEntries"/>
              <w:jc w:val="left"/>
              <w:rPr>
                <w:rFonts w:ascii="Franklin Gothic Demi" w:hAnsi="Franklin Gothic Demi"/>
                <w:lang w:val="en-GB"/>
              </w:rPr>
            </w:pPr>
          </w:p>
        </w:tc>
        <w:tc>
          <w:tcPr>
            <w:tcW w:w="20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612FD3" w:rsidRPr="00C23D18" w:rsidRDefault="00612FD3" w:rsidP="00301B6D">
            <w:pPr>
              <w:pStyle w:val="TableTextEntries"/>
              <w:spacing w:before="40" w:after="40"/>
              <w:rPr>
                <w:rFonts w:ascii="Franklin Gothic Demi" w:hAnsi="Franklin Gothic Demi"/>
                <w:lang w:val="en-GB"/>
              </w:rPr>
            </w:pPr>
            <w:r w:rsidRPr="00C23D18">
              <w:rPr>
                <w:rFonts w:ascii="Franklin Gothic Demi" w:hAnsi="Franklin Gothic Demi"/>
                <w:lang w:val="en-GB"/>
              </w:rPr>
              <w:t>Average</w:t>
            </w:r>
          </w:p>
        </w:tc>
        <w:tc>
          <w:tcPr>
            <w:tcW w:w="93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612FD3" w:rsidRPr="00C23D18" w:rsidRDefault="00612FD3" w:rsidP="00301B6D">
            <w:pPr>
              <w:pStyle w:val="TableDataEntries"/>
              <w:rPr>
                <w:rFonts w:ascii="Franklin Gothic Demi" w:hAnsi="Franklin Gothic Demi"/>
                <w:lang w:val="en-GB"/>
              </w:rPr>
            </w:pPr>
          </w:p>
        </w:tc>
        <w:tc>
          <w:tcPr>
            <w:tcW w:w="932"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612FD3" w:rsidRPr="00C23D18" w:rsidRDefault="00612FD3" w:rsidP="00301B6D">
            <w:pPr>
              <w:pStyle w:val="TableDataEntries"/>
              <w:rPr>
                <w:rFonts w:ascii="Franklin Gothic Demi" w:hAnsi="Franklin Gothic Demi"/>
                <w:lang w:val="en-GB"/>
              </w:rPr>
            </w:pPr>
          </w:p>
        </w:tc>
        <w:tc>
          <w:tcPr>
            <w:tcW w:w="93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612FD3" w:rsidRPr="00C23D18" w:rsidRDefault="00612FD3" w:rsidP="00301B6D">
            <w:pPr>
              <w:pStyle w:val="TableDataEntries"/>
              <w:rPr>
                <w:rFonts w:ascii="Franklin Gothic Demi" w:hAnsi="Franklin Gothic Demi"/>
                <w:lang w:val="en-GB"/>
              </w:rPr>
            </w:pPr>
          </w:p>
        </w:tc>
        <w:tc>
          <w:tcPr>
            <w:tcW w:w="93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612FD3" w:rsidRPr="00C23D18" w:rsidRDefault="00612FD3" w:rsidP="00301B6D">
            <w:pPr>
              <w:pStyle w:val="TableDataEntries"/>
              <w:rPr>
                <w:rFonts w:ascii="Franklin Gothic Demi" w:hAnsi="Franklin Gothic Demi"/>
                <w:lang w:val="en-GB"/>
              </w:rPr>
            </w:pPr>
          </w:p>
        </w:tc>
        <w:tc>
          <w:tcPr>
            <w:tcW w:w="93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612FD3" w:rsidRPr="00C23D18" w:rsidRDefault="00612FD3" w:rsidP="00301B6D">
            <w:pPr>
              <w:pStyle w:val="TableDataEntries"/>
              <w:rPr>
                <w:rFonts w:ascii="Franklin Gothic Demi" w:hAnsi="Franklin Gothic Demi"/>
                <w:lang w:val="en-GB"/>
              </w:rPr>
            </w:pPr>
            <w:r w:rsidRPr="00C23D18">
              <w:rPr>
                <w:rFonts w:ascii="Franklin Gothic Demi" w:hAnsi="Franklin Gothic Demi"/>
                <w:szCs w:val="16"/>
              </w:rPr>
              <w:t>-27</w:t>
            </w:r>
          </w:p>
        </w:tc>
      </w:tr>
      <w:tr w:rsidR="00612FD3" w:rsidRPr="00C23D18" w:rsidTr="00301B6D">
        <w:trPr>
          <w:trHeight w:val="288"/>
        </w:trPr>
        <w:tc>
          <w:tcPr>
            <w:tcW w:w="1220"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rsidR="00612FD3" w:rsidRPr="00C23D18" w:rsidRDefault="00612FD3" w:rsidP="00301B6D">
            <w:pPr>
              <w:pStyle w:val="TableDataEntries"/>
              <w:jc w:val="left"/>
              <w:rPr>
                <w:rFonts w:ascii="Franklin Gothic Demi" w:hAnsi="Franklin Gothic Demi"/>
                <w:lang w:val="en-GB"/>
              </w:rPr>
            </w:pPr>
          </w:p>
        </w:tc>
        <w:tc>
          <w:tcPr>
            <w:tcW w:w="2056"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rsidR="00612FD3" w:rsidRPr="00C23D18" w:rsidRDefault="00612FD3" w:rsidP="00301B6D">
            <w:pPr>
              <w:pStyle w:val="TableTextEntries"/>
              <w:spacing w:before="40" w:after="40"/>
              <w:rPr>
                <w:rFonts w:ascii="Franklin Gothic Demi" w:hAnsi="Franklin Gothic Demi"/>
                <w:lang w:val="en-GB"/>
              </w:rPr>
            </w:pPr>
            <w:r w:rsidRPr="00C23D18">
              <w:rPr>
                <w:rFonts w:ascii="Franklin Gothic Demi" w:hAnsi="Franklin Gothic Demi"/>
                <w:lang w:val="en-GB"/>
              </w:rPr>
              <w:t>Weighted average</w:t>
            </w:r>
          </w:p>
        </w:tc>
        <w:tc>
          <w:tcPr>
            <w:tcW w:w="93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612FD3" w:rsidRPr="00C23D18" w:rsidRDefault="00612FD3" w:rsidP="00301B6D">
            <w:pPr>
              <w:pStyle w:val="TableDataEntries"/>
              <w:rPr>
                <w:rFonts w:ascii="Franklin Gothic Demi" w:hAnsi="Franklin Gothic Demi"/>
                <w:lang w:val="en-GB"/>
              </w:rPr>
            </w:pPr>
          </w:p>
        </w:tc>
        <w:tc>
          <w:tcPr>
            <w:tcW w:w="932"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612FD3" w:rsidRPr="00C23D18" w:rsidRDefault="00612FD3" w:rsidP="00301B6D">
            <w:pPr>
              <w:pStyle w:val="TableDataEntries"/>
              <w:rPr>
                <w:rFonts w:ascii="Franklin Gothic Demi" w:hAnsi="Franklin Gothic Demi"/>
                <w:lang w:val="en-GB"/>
              </w:rPr>
            </w:pPr>
          </w:p>
        </w:tc>
        <w:tc>
          <w:tcPr>
            <w:tcW w:w="93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612FD3" w:rsidRPr="00C23D18" w:rsidRDefault="00612FD3" w:rsidP="00301B6D">
            <w:pPr>
              <w:pStyle w:val="TableDataEntries"/>
              <w:rPr>
                <w:rFonts w:ascii="Franklin Gothic Demi" w:hAnsi="Franklin Gothic Demi"/>
                <w:lang w:val="en-GB"/>
              </w:rPr>
            </w:pPr>
          </w:p>
        </w:tc>
        <w:tc>
          <w:tcPr>
            <w:tcW w:w="93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612FD3" w:rsidRPr="00C23D18" w:rsidRDefault="00612FD3" w:rsidP="00301B6D">
            <w:pPr>
              <w:pStyle w:val="TableDataEntries"/>
              <w:rPr>
                <w:rFonts w:ascii="Franklin Gothic Demi" w:hAnsi="Franklin Gothic Demi"/>
                <w:lang w:val="en-GB"/>
              </w:rPr>
            </w:pPr>
          </w:p>
        </w:tc>
        <w:tc>
          <w:tcPr>
            <w:tcW w:w="93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612FD3" w:rsidRPr="00C23D18" w:rsidRDefault="00612FD3" w:rsidP="00301B6D">
            <w:pPr>
              <w:pStyle w:val="TableDataEntries"/>
              <w:rPr>
                <w:rFonts w:ascii="Franklin Gothic Demi" w:hAnsi="Franklin Gothic Demi"/>
                <w:lang w:val="en-GB"/>
              </w:rPr>
            </w:pPr>
            <w:r w:rsidRPr="00C23D18">
              <w:rPr>
                <w:rFonts w:ascii="Franklin Gothic Demi" w:hAnsi="Franklin Gothic Demi"/>
                <w:szCs w:val="16"/>
              </w:rPr>
              <w:t>-29</w:t>
            </w:r>
          </w:p>
        </w:tc>
      </w:tr>
    </w:tbl>
    <w:p w:rsidR="00612FD3" w:rsidRPr="009761C1" w:rsidRDefault="00612FD3" w:rsidP="00612FD3">
      <w:pPr>
        <w:pStyle w:val="Note"/>
        <w:rPr>
          <w:i/>
        </w:rPr>
      </w:pPr>
      <w:r>
        <w:rPr>
          <w:i/>
        </w:rPr>
        <w:t>Note</w:t>
      </w:r>
      <w:r w:rsidRPr="009761C1">
        <w:rPr>
          <w:i/>
        </w:rPr>
        <w:t xml:space="preserve">: </w:t>
      </w:r>
      <w:r>
        <w:t>The more realistic accounting of gas heating (noted under Table 2.4) and the subsequent emphasis on reducing cooling energy is highlighted in Canberra. While there is no apparent reduction in energy use for retail buildings there is a significant reduction in greenhouse gas emissions. This is due to a proportionally greater use of gas for heating, which has a slightly higher energy intensity than electricity, but a much lower greenhouse gas intensity.</w:t>
      </w:r>
    </w:p>
    <w:p w:rsidR="00612FD3" w:rsidRPr="009761C1" w:rsidRDefault="00612FD3" w:rsidP="00612FD3">
      <w:pPr>
        <w:pStyle w:val="Source"/>
        <w:rPr>
          <w:i/>
        </w:rPr>
      </w:pPr>
      <w:r>
        <w:rPr>
          <w:i/>
        </w:rPr>
        <w:t>Source</w:t>
      </w:r>
      <w:r w:rsidRPr="00E4232C">
        <w:rPr>
          <w:i/>
        </w:rPr>
        <w:t>:</w:t>
      </w:r>
      <w:r w:rsidRPr="009761C1">
        <w:rPr>
          <w:i/>
        </w:rPr>
        <w:t xml:space="preserve"> </w:t>
      </w:r>
      <w:r w:rsidR="003F28DD">
        <w:rPr>
          <w:i/>
        </w:rPr>
        <w:t>EA</w:t>
      </w:r>
      <w:r w:rsidRPr="009761C1">
        <w:rPr>
          <w:i/>
        </w:rPr>
        <w:t xml:space="preserve"> </w:t>
      </w:r>
      <w:r w:rsidR="00B80EE4">
        <w:rPr>
          <w:i/>
        </w:rPr>
        <w:t xml:space="preserve">2017 </w:t>
      </w:r>
      <w:r w:rsidRPr="009761C1">
        <w:rPr>
          <w:i/>
        </w:rPr>
        <w:t>core modelling. Average numbers are CIE calculation based on new commercial building estimates.</w:t>
      </w:r>
    </w:p>
    <w:p w:rsidR="00612FD3" w:rsidRDefault="00612FD3" w:rsidP="00612FD3">
      <w:pPr>
        <w:pStyle w:val="BodyText"/>
      </w:pPr>
      <w:r>
        <w:rPr>
          <w:lang w:eastAsia="en-US"/>
        </w:rPr>
        <w:t xml:space="preserve">These modelled energy savings and greenhouse gas emission reductions vary across </w:t>
      </w:r>
      <w:r w:rsidR="00E31EE8">
        <w:rPr>
          <w:lang w:eastAsia="en-US"/>
        </w:rPr>
        <w:t>Climate Zone</w:t>
      </w:r>
      <w:r>
        <w:rPr>
          <w:lang w:eastAsia="en-US"/>
        </w:rPr>
        <w:t xml:space="preserve">s and building classes. </w:t>
      </w:r>
    </w:p>
    <w:p w:rsidR="00612FD3" w:rsidRDefault="00612FD3" w:rsidP="00612FD3">
      <w:pPr>
        <w:pStyle w:val="BodyText"/>
      </w:pPr>
      <w:r>
        <w:rPr>
          <w:lang w:eastAsia="en-US"/>
        </w:rPr>
        <w:t xml:space="preserve">According to CIE estimates, </w:t>
      </w:r>
      <w:r w:rsidRPr="0045771B">
        <w:t>retail</w:t>
      </w:r>
      <w:r>
        <w:t xml:space="preserve"> buildings/</w:t>
      </w:r>
      <w:r w:rsidRPr="0045771B">
        <w:t>shopping centre</w:t>
      </w:r>
      <w:r>
        <w:t>s</w:t>
      </w:r>
      <w:r w:rsidRPr="0045771B">
        <w:t xml:space="preserve"> </w:t>
      </w:r>
      <w:r>
        <w:t xml:space="preserve">are </w:t>
      </w:r>
      <w:r w:rsidRPr="0045771B">
        <w:t>the</w:t>
      </w:r>
      <w:r>
        <w:t xml:space="preserve"> </w:t>
      </w:r>
      <w:r w:rsidRPr="0045771B">
        <w:t xml:space="preserve">largest energy consumer </w:t>
      </w:r>
      <w:r>
        <w:t>of the</w:t>
      </w:r>
      <w:r w:rsidRPr="0045771B">
        <w:t xml:space="preserve"> </w:t>
      </w:r>
      <w:r>
        <w:t xml:space="preserve">new </w:t>
      </w:r>
      <w:r w:rsidRPr="0045771B">
        <w:t>commercial building</w:t>
      </w:r>
      <w:r>
        <w:t>s</w:t>
      </w:r>
      <w:r w:rsidRPr="0045771B">
        <w:t xml:space="preserve"> (</w:t>
      </w:r>
      <w:r>
        <w:t xml:space="preserve">accounting for 39 per cent </w:t>
      </w:r>
      <w:r w:rsidRPr="0045771B">
        <w:t>of</w:t>
      </w:r>
      <w:r>
        <w:t xml:space="preserve"> </w:t>
      </w:r>
      <w:r w:rsidRPr="0045771B">
        <w:t>total energy consumption</w:t>
      </w:r>
      <w:r>
        <w:t xml:space="preserve"> by new commercial buildings in 2019 and 2029</w:t>
      </w:r>
      <w:r w:rsidRPr="0045771B">
        <w:t>, followed by</w:t>
      </w:r>
      <w:r>
        <w:t xml:space="preserve"> warehouses (19.9 per cent in 2019 and 18.5 per cent in 2029), </w:t>
      </w:r>
      <w:r w:rsidRPr="0045771B">
        <w:t>offices (</w:t>
      </w:r>
      <w:r>
        <w:t>10.5 per cent in 2019 and 10.8 per cent in 2029) and education buildings (10.4 per cent in 2019 and 10.7 per cent in 2029).</w:t>
      </w:r>
    </w:p>
    <w:p w:rsidR="00B80EE4" w:rsidRDefault="00B80EE4" w:rsidP="00B80EE4">
      <w:pPr>
        <w:pStyle w:val="Heading3"/>
      </w:pPr>
      <w:r>
        <w:t xml:space="preserve">Stakeholder support </w:t>
      </w:r>
      <w:r w:rsidR="008B486B">
        <w:t xml:space="preserve">for </w:t>
      </w:r>
      <w:r>
        <w:t>change</w:t>
      </w:r>
    </w:p>
    <w:p w:rsidR="00B80EE4" w:rsidRDefault="00B80EE4" w:rsidP="00B80EE4">
      <w:pPr>
        <w:pStyle w:val="BodyText"/>
      </w:pPr>
      <w:r>
        <w:t>Most stakeholders in the submission</w:t>
      </w:r>
      <w:r w:rsidR="006E3787">
        <w:rPr>
          <w:rStyle w:val="FootnoteReference"/>
        </w:rPr>
        <w:footnoteReference w:id="35"/>
      </w:r>
      <w:r>
        <w:t xml:space="preserve"> to the Consultation RIS are supportive of the proposed changes to the Section J of the NCC (chart </w:t>
      </w:r>
      <w:r w:rsidR="00E637D4">
        <w:rPr>
          <w:noProof/>
        </w:rPr>
        <w:fldChar w:fldCharType="begin"/>
      </w:r>
      <w:r w:rsidR="00E637D4">
        <w:rPr>
          <w:noProof/>
        </w:rPr>
        <w:instrText xml:space="preserve"> REF _Caption9992 </w:instrText>
      </w:r>
      <w:r w:rsidR="00E637D4">
        <w:rPr>
          <w:noProof/>
        </w:rPr>
        <w:fldChar w:fldCharType="separate"/>
      </w:r>
      <w:r w:rsidR="006B79B8" w:rsidRPr="00C74C79">
        <w:rPr>
          <w:noProof/>
        </w:rPr>
        <w:t>2.6</w:t>
      </w:r>
      <w:r w:rsidR="00E637D4">
        <w:rPr>
          <w:noProof/>
        </w:rPr>
        <w:fldChar w:fldCharType="end"/>
      </w:r>
      <w:r>
        <w:t xml:space="preserve">). More details about stakeholder submissions can be found in Appendix </w:t>
      </w:r>
      <w:r>
        <w:fldChar w:fldCharType="begin"/>
      </w:r>
      <w:r>
        <w:instrText xml:space="preserve"> REF _Ref525916397 \n \h </w:instrText>
      </w:r>
      <w:r>
        <w:fldChar w:fldCharType="separate"/>
      </w:r>
      <w:r w:rsidR="006B79B8">
        <w:t>C</w:t>
      </w:r>
      <w:r>
        <w:fldChar w:fldCharType="end"/>
      </w:r>
      <w:r>
        <w:t>.</w:t>
      </w:r>
    </w:p>
    <w:p w:rsidR="00B80EE4" w:rsidRPr="00C74C79" w:rsidRDefault="00B80EE4" w:rsidP="00B80EE4">
      <w:pPr>
        <w:pStyle w:val="Caption"/>
      </w:pPr>
      <w:r w:rsidRPr="00C74C79">
        <w:fldChar w:fldCharType="begin"/>
      </w:r>
      <w:r w:rsidRPr="00C74C79">
        <w:instrText xml:space="preserve"> IF 1 = 1 "</w:instrText>
      </w:r>
      <w:r w:rsidRPr="00C74C79">
        <w:fldChar w:fldCharType="begin"/>
      </w:r>
      <w:r w:rsidRPr="00C74C79">
        <w:instrText xml:space="preserve"> IF </w:instrText>
      </w:r>
      <w:r w:rsidR="00E637D4" w:rsidRPr="00C74C79">
        <w:rPr>
          <w:noProof/>
        </w:rPr>
        <w:fldChar w:fldCharType="begin"/>
      </w:r>
      <w:r w:rsidR="00E637D4" w:rsidRPr="00C74C79">
        <w:rPr>
          <w:noProof/>
        </w:rPr>
        <w:instrText xml:space="preserve"> STYLEREF "Heading 6" \l \n </w:instrText>
      </w:r>
      <w:r w:rsidR="00E637D4" w:rsidRPr="00C74C79">
        <w:rPr>
          <w:noProof/>
        </w:rPr>
        <w:fldChar w:fldCharType="separate"/>
      </w:r>
      <w:r w:rsidR="00B833F1">
        <w:rPr>
          <w:noProof/>
        </w:rPr>
        <w:instrText>0</w:instrText>
      </w:r>
      <w:r w:rsidR="00E637D4" w:rsidRPr="00C74C79">
        <w:rPr>
          <w:noProof/>
        </w:rPr>
        <w:fldChar w:fldCharType="end"/>
      </w:r>
      <w:r w:rsidRPr="00C74C79">
        <w:instrText xml:space="preserve"> = 0 "</w:instrText>
      </w:r>
      <w:r w:rsidRPr="00C74C79">
        <w:fldChar w:fldCharType="begin"/>
      </w:r>
      <w:r w:rsidRPr="00C74C79">
        <w:instrText xml:space="preserve"> IF </w:instrText>
      </w:r>
      <w:r w:rsidR="00E637D4" w:rsidRPr="00C74C79">
        <w:rPr>
          <w:noProof/>
        </w:rPr>
        <w:fldChar w:fldCharType="begin"/>
      </w:r>
      <w:r w:rsidR="00E637D4" w:rsidRPr="00C74C79">
        <w:rPr>
          <w:noProof/>
        </w:rPr>
        <w:instrText xml:space="preserve"> STYLEREF "Heading 1" \l \n </w:instrText>
      </w:r>
      <w:r w:rsidR="00E637D4" w:rsidRPr="00C74C79">
        <w:rPr>
          <w:noProof/>
        </w:rPr>
        <w:fldChar w:fldCharType="separate"/>
      </w:r>
      <w:r w:rsidR="00B833F1">
        <w:rPr>
          <w:noProof/>
        </w:rPr>
        <w:instrText>2</w:instrText>
      </w:r>
      <w:r w:rsidR="00E637D4" w:rsidRPr="00C74C79">
        <w:rPr>
          <w:noProof/>
        </w:rPr>
        <w:fldChar w:fldCharType="end"/>
      </w:r>
      <w:r w:rsidRPr="00C74C79">
        <w:instrText xml:space="preserve"> = 0 "" "</w:instrText>
      </w:r>
      <w:r w:rsidR="00E637D4" w:rsidRPr="00C74C79">
        <w:rPr>
          <w:noProof/>
        </w:rPr>
        <w:fldChar w:fldCharType="begin"/>
      </w:r>
      <w:r w:rsidR="00E637D4" w:rsidRPr="00C74C79">
        <w:rPr>
          <w:noProof/>
        </w:rPr>
        <w:instrText xml:space="preserve"> STYLEREF "Heading 1" \l \n </w:instrText>
      </w:r>
      <w:r w:rsidR="00E637D4" w:rsidRPr="00C74C79">
        <w:rPr>
          <w:noProof/>
        </w:rPr>
        <w:fldChar w:fldCharType="separate"/>
      </w:r>
      <w:r w:rsidR="00B833F1">
        <w:rPr>
          <w:noProof/>
        </w:rPr>
        <w:instrText>2</w:instrText>
      </w:r>
      <w:r w:rsidR="00E637D4" w:rsidRPr="00C74C79">
        <w:rPr>
          <w:noProof/>
        </w:rPr>
        <w:fldChar w:fldCharType="end"/>
      </w:r>
      <w:r w:rsidRPr="00C74C79">
        <w:instrText xml:space="preserve">." </w:instrText>
      </w:r>
      <w:r w:rsidRPr="00C74C79">
        <w:fldChar w:fldCharType="separate"/>
      </w:r>
      <w:r w:rsidR="00B833F1">
        <w:rPr>
          <w:noProof/>
        </w:rPr>
        <w:instrText>2</w:instrText>
      </w:r>
      <w:r w:rsidR="00B833F1" w:rsidRPr="00C74C79">
        <w:rPr>
          <w:noProof/>
        </w:rPr>
        <w:instrText>.</w:instrText>
      </w:r>
      <w:r w:rsidRPr="00C74C79">
        <w:fldChar w:fldCharType="end"/>
      </w:r>
      <w:r w:rsidRPr="00C74C79">
        <w:instrText>" "</w:instrText>
      </w:r>
      <w:r w:rsidR="00E637D4" w:rsidRPr="00C74C79">
        <w:rPr>
          <w:noProof/>
        </w:rPr>
        <w:fldChar w:fldCharType="begin"/>
      </w:r>
      <w:r w:rsidR="00E637D4" w:rsidRPr="00C74C79">
        <w:rPr>
          <w:noProof/>
        </w:rPr>
        <w:instrText xml:space="preserve"> STYLEREF "Heading 6" \l \n </w:instrText>
      </w:r>
      <w:r w:rsidR="00E637D4" w:rsidRPr="00C74C79">
        <w:rPr>
          <w:noProof/>
        </w:rPr>
        <w:fldChar w:fldCharType="separate"/>
      </w:r>
      <w:r w:rsidRPr="00C74C79">
        <w:rPr>
          <w:noProof/>
        </w:rPr>
        <w:instrText>A</w:instrText>
      </w:r>
      <w:r w:rsidR="00E637D4" w:rsidRPr="00C74C79">
        <w:rPr>
          <w:noProof/>
        </w:rPr>
        <w:fldChar w:fldCharType="end"/>
      </w:r>
      <w:r w:rsidRPr="00C74C79">
        <w:instrText xml:space="preserve">." </w:instrText>
      </w:r>
      <w:r w:rsidRPr="00C74C79">
        <w:fldChar w:fldCharType="separate"/>
      </w:r>
      <w:r w:rsidR="00EA42ED">
        <w:rPr>
          <w:noProof/>
        </w:rPr>
        <w:instrText>2</w:instrText>
      </w:r>
      <w:r w:rsidR="00EA42ED" w:rsidRPr="00C74C79">
        <w:rPr>
          <w:noProof/>
        </w:rPr>
        <w:instrText>.</w:instrText>
      </w:r>
      <w:r w:rsidRPr="00C74C79">
        <w:fldChar w:fldCharType="end"/>
      </w:r>
      <w:r w:rsidRPr="00C74C79">
        <w:fldChar w:fldCharType="begin"/>
      </w:r>
      <w:r w:rsidRPr="00C74C79">
        <w:instrText xml:space="preserve"> SEQ Item \* ARABIC \s </w:instrText>
      </w:r>
      <w:r w:rsidRPr="00C74C79">
        <w:fldChar w:fldCharType="begin"/>
      </w:r>
      <w:r w:rsidRPr="00C74C79">
        <w:instrText xml:space="preserve"> IF </w:instrText>
      </w:r>
      <w:r w:rsidR="00E637D4" w:rsidRPr="00C74C79">
        <w:rPr>
          <w:noProof/>
        </w:rPr>
        <w:fldChar w:fldCharType="begin"/>
      </w:r>
      <w:r w:rsidR="00E637D4" w:rsidRPr="00C74C79">
        <w:rPr>
          <w:noProof/>
        </w:rPr>
        <w:instrText xml:space="preserve"> STYLEREF "Heading 6" \l \n </w:instrText>
      </w:r>
      <w:r w:rsidR="00E637D4" w:rsidRPr="00C74C79">
        <w:rPr>
          <w:noProof/>
        </w:rPr>
        <w:fldChar w:fldCharType="separate"/>
      </w:r>
      <w:r w:rsidR="00B833F1">
        <w:rPr>
          <w:noProof/>
        </w:rPr>
        <w:instrText>0</w:instrText>
      </w:r>
      <w:r w:rsidR="00E637D4" w:rsidRPr="00C74C79">
        <w:rPr>
          <w:noProof/>
        </w:rPr>
        <w:fldChar w:fldCharType="end"/>
      </w:r>
      <w:r w:rsidRPr="00C74C79">
        <w:instrText xml:space="preserve"> = 0 "</w:instrText>
      </w:r>
      <w:r w:rsidRPr="00C74C79">
        <w:fldChar w:fldCharType="begin"/>
      </w:r>
      <w:r w:rsidRPr="00C74C79">
        <w:instrText xml:space="preserve"> IF </w:instrText>
      </w:r>
      <w:r w:rsidR="00E637D4" w:rsidRPr="00C74C79">
        <w:rPr>
          <w:noProof/>
        </w:rPr>
        <w:fldChar w:fldCharType="begin"/>
      </w:r>
      <w:r w:rsidR="00E637D4" w:rsidRPr="00C74C79">
        <w:rPr>
          <w:noProof/>
        </w:rPr>
        <w:instrText xml:space="preserve"> STYLEREF "Heading 1" \l \n </w:instrText>
      </w:r>
      <w:r w:rsidR="00E637D4" w:rsidRPr="00C74C79">
        <w:rPr>
          <w:noProof/>
        </w:rPr>
        <w:fldChar w:fldCharType="separate"/>
      </w:r>
      <w:r w:rsidR="00B833F1">
        <w:rPr>
          <w:noProof/>
        </w:rPr>
        <w:instrText>2</w:instrText>
      </w:r>
      <w:r w:rsidR="00E637D4" w:rsidRPr="00C74C79">
        <w:rPr>
          <w:noProof/>
        </w:rPr>
        <w:fldChar w:fldCharType="end"/>
      </w:r>
      <w:r w:rsidRPr="00C74C79">
        <w:instrText xml:space="preserve"> = 0 "" "1" </w:instrText>
      </w:r>
      <w:r w:rsidRPr="00C74C79">
        <w:fldChar w:fldCharType="separate"/>
      </w:r>
      <w:r w:rsidR="00EA42ED" w:rsidRPr="00C74C79">
        <w:rPr>
          <w:noProof/>
        </w:rPr>
        <w:instrText>1</w:instrText>
      </w:r>
      <w:r w:rsidRPr="00C74C79">
        <w:fldChar w:fldCharType="end"/>
      </w:r>
      <w:r w:rsidRPr="00C74C79">
        <w:instrText xml:space="preserve">" "6" </w:instrText>
      </w:r>
      <w:r w:rsidRPr="00C74C79">
        <w:fldChar w:fldCharType="separate"/>
      </w:r>
      <w:r w:rsidR="00EA42ED" w:rsidRPr="00C74C79">
        <w:rPr>
          <w:noProof/>
        </w:rPr>
        <w:instrText>1</w:instrText>
      </w:r>
      <w:r w:rsidRPr="00C74C79">
        <w:fldChar w:fldCharType="end"/>
      </w:r>
      <w:r w:rsidRPr="00C74C79">
        <w:instrText xml:space="preserve"> </w:instrText>
      </w:r>
      <w:r w:rsidRPr="00C74C79">
        <w:fldChar w:fldCharType="separate"/>
      </w:r>
      <w:r w:rsidR="00B833F1">
        <w:rPr>
          <w:noProof/>
        </w:rPr>
        <w:instrText>6</w:instrText>
      </w:r>
      <w:r w:rsidRPr="00C74C79">
        <w:fldChar w:fldCharType="end"/>
      </w:r>
      <w:r w:rsidRPr="00C74C79">
        <w:instrText xml:space="preserve">" "" </w:instrText>
      </w:r>
      <w:r w:rsidRPr="00C74C79">
        <w:fldChar w:fldCharType="separate"/>
      </w:r>
      <w:bookmarkStart w:id="778" w:name="_Caption5998"/>
      <w:bookmarkStart w:id="779" w:name="_Caption8050"/>
      <w:bookmarkStart w:id="780" w:name="_Caption6864"/>
      <w:bookmarkStart w:id="781" w:name="_Caption9672"/>
      <w:bookmarkStart w:id="782" w:name="_Caption0520"/>
      <w:bookmarkStart w:id="783" w:name="_Caption1808"/>
      <w:bookmarkStart w:id="784" w:name="_Caption1230"/>
      <w:bookmarkStart w:id="785" w:name="_Caption9332"/>
      <w:bookmarkStart w:id="786" w:name="_Caption9992"/>
      <w:bookmarkStart w:id="787" w:name="_Caption8037"/>
      <w:bookmarkStart w:id="788" w:name="_Caption4449"/>
      <w:bookmarkStart w:id="789" w:name="_Caption4402"/>
      <w:bookmarkStart w:id="790" w:name="_Caption5696"/>
      <w:bookmarkStart w:id="791" w:name="_Caption4583"/>
      <w:bookmarkStart w:id="792" w:name="_Caption3661"/>
      <w:bookmarkStart w:id="793" w:name="_Caption5099"/>
      <w:bookmarkStart w:id="794" w:name="_Caption9476"/>
      <w:bookmarkStart w:id="795" w:name="_Caption9367"/>
      <w:bookmarkStart w:id="796" w:name="_Caption9545"/>
      <w:bookmarkStart w:id="797" w:name="_Caption9535"/>
      <w:bookmarkStart w:id="798" w:name="_Caption7211"/>
      <w:bookmarkStart w:id="799" w:name="_Caption0953"/>
      <w:bookmarkStart w:id="800" w:name="_Caption4061"/>
      <w:bookmarkStart w:id="801" w:name="_Caption5782"/>
      <w:bookmarkStart w:id="802" w:name="_Caption0010"/>
      <w:bookmarkStart w:id="803" w:name="_Caption2311"/>
      <w:bookmarkStart w:id="804" w:name="_Caption1597"/>
      <w:bookmarkStart w:id="805" w:name="_Caption5140"/>
      <w:bookmarkStart w:id="806" w:name="_Caption0932"/>
      <w:bookmarkStart w:id="807" w:name="_Caption7669"/>
      <w:bookmarkStart w:id="808" w:name="_Toc529869900"/>
      <w:bookmarkStart w:id="809" w:name="_Toc530748396"/>
      <w:r w:rsidR="00EA42ED">
        <w:rPr>
          <w:noProof/>
        </w:rPr>
        <w:t>2</w:t>
      </w:r>
      <w:r w:rsidR="00EA42ED" w:rsidRPr="00C74C79">
        <w:rPr>
          <w:noProof/>
        </w:rPr>
        <w:t>.</w:t>
      </w:r>
      <w:r w:rsidR="00EA42ED">
        <w:rPr>
          <w:noProof/>
        </w:rPr>
        <w:t>6</w:t>
      </w:r>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r w:rsidRPr="00C74C79">
        <w:fldChar w:fldCharType="end"/>
      </w:r>
      <w:r w:rsidRPr="00C74C79">
        <w:tab/>
        <w:t>Preferred option to proposed changes</w:t>
      </w:r>
      <w:bookmarkEnd w:id="808"/>
      <w:bookmarkEnd w:id="809"/>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8"/>
      </w:tblGrid>
      <w:tr w:rsidR="00B80EE4" w:rsidTr="00374706">
        <w:trPr>
          <w:cantSplit/>
        </w:trPr>
        <w:tc>
          <w:tcPr>
            <w:tcW w:w="7938" w:type="dxa"/>
            <w:shd w:val="clear" w:color="auto" w:fill="E9E8E5" w:themeFill="background2"/>
          </w:tcPr>
          <w:p w:rsidR="00B80EE4" w:rsidRDefault="00B80EE4" w:rsidP="00374706">
            <w:pPr>
              <w:pStyle w:val="Chart"/>
            </w:pPr>
            <w:r w:rsidRPr="00676737">
              <w:rPr>
                <w:noProof/>
                <w:lang w:eastAsia="en-AU"/>
              </w:rPr>
              <w:drawing>
                <wp:inline distT="0" distB="0" distL="0" distR="0" wp14:anchorId="247FCC54" wp14:editId="6A05279C">
                  <wp:extent cx="5013960" cy="2499360"/>
                  <wp:effectExtent l="0" t="0" r="0" b="0"/>
                  <wp:docPr id="18" name="Picture 18" descr="The chart shows that most of respondents (10 out of 18) are supportive or conditionally supportive of the proposed changes (Option 2). Only one expressed objection to the change." title="Chart 2.6: Prefered option to proposed ch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13960" cy="2499360"/>
                          </a:xfrm>
                          <a:prstGeom prst="rect">
                            <a:avLst/>
                          </a:prstGeom>
                          <a:noFill/>
                          <a:ln>
                            <a:noFill/>
                          </a:ln>
                        </pic:spPr>
                      </pic:pic>
                    </a:graphicData>
                  </a:graphic>
                </wp:inline>
              </w:drawing>
            </w:r>
          </w:p>
        </w:tc>
      </w:tr>
    </w:tbl>
    <w:p w:rsidR="00B80EE4" w:rsidRPr="00A97BEC" w:rsidRDefault="00B80EE4" w:rsidP="00B80EE4">
      <w:pPr>
        <w:pStyle w:val="Note"/>
      </w:pPr>
      <w:r w:rsidRPr="00A97BEC">
        <w:rPr>
          <w:i/>
        </w:rPr>
        <w:t xml:space="preserve">Note: </w:t>
      </w:r>
      <w:r>
        <w:rPr>
          <w:i/>
        </w:rPr>
        <w:t>Other category includes choices not relating to Options 1, 2 or 3 or no clear indication of preference to one option</w:t>
      </w:r>
    </w:p>
    <w:p w:rsidR="00B80EE4" w:rsidRDefault="00B80EE4" w:rsidP="00B80EE4">
      <w:pPr>
        <w:pStyle w:val="Source"/>
      </w:pPr>
      <w:r>
        <w:rPr>
          <w:i/>
        </w:rPr>
        <w:t>Data source</w:t>
      </w:r>
      <w:r w:rsidRPr="00A67576">
        <w:rPr>
          <w:i/>
        </w:rPr>
        <w:t>:</w:t>
      </w:r>
      <w:r>
        <w:t xml:space="preserve"> CIE construction based on submissions</w:t>
      </w:r>
    </w:p>
    <w:p w:rsidR="00612FD3" w:rsidRDefault="00612FD3" w:rsidP="00612FD3">
      <w:pPr>
        <w:pStyle w:val="Heading3"/>
        <w:numPr>
          <w:ilvl w:val="2"/>
          <w:numId w:val="5"/>
        </w:numPr>
        <w:rPr>
          <w:lang w:eastAsia="en-US"/>
        </w:rPr>
      </w:pPr>
      <w:r>
        <w:rPr>
          <w:lang w:eastAsia="en-US"/>
        </w:rPr>
        <w:t>Limitations of the NCC to drive further energy efficiency improvements</w:t>
      </w:r>
    </w:p>
    <w:p w:rsidR="00612FD3" w:rsidRPr="00E6222F" w:rsidRDefault="00612FD3" w:rsidP="00612FD3">
      <w:pPr>
        <w:pStyle w:val="BodyText"/>
      </w:pPr>
      <w:r w:rsidRPr="00E6222F">
        <w:t>Although there is an in</w:t>
      </w:r>
      <w:r w:rsidRPr="00E6222F">
        <w:noBreakHyphen/>
        <w:t>principle case for change, it is important to note that the NCC has limitations as a mechanism for driving further energy efficiency improvements.</w:t>
      </w:r>
    </w:p>
    <w:p w:rsidR="00612FD3" w:rsidRPr="00E6222F" w:rsidRDefault="00612FD3" w:rsidP="00612FD3">
      <w:pPr>
        <w:pStyle w:val="BodyText"/>
      </w:pPr>
      <w:r w:rsidRPr="00E6222F">
        <w:t>One limitation is the focus on building design, rather than actual performance. Energy performance</w:t>
      </w:r>
      <w:r>
        <w:t xml:space="preserve"> of</w:t>
      </w:r>
      <w:r w:rsidRPr="00E6222F">
        <w:t xml:space="preserve"> buildings actually constructed may fall short of the design for a range of reasons, including:</w:t>
      </w:r>
    </w:p>
    <w:p w:rsidR="00612FD3" w:rsidRPr="00E6222F" w:rsidRDefault="00612FD3" w:rsidP="00612FD3">
      <w:pPr>
        <w:pStyle w:val="ListBullet"/>
        <w:numPr>
          <w:ilvl w:val="0"/>
          <w:numId w:val="36"/>
        </w:numPr>
      </w:pPr>
      <w:r w:rsidRPr="00E6222F">
        <w:t>variations between the building design and what is actually built</w:t>
      </w:r>
    </w:p>
    <w:p w:rsidR="00612FD3" w:rsidRPr="00E6222F" w:rsidRDefault="00612FD3" w:rsidP="00612FD3">
      <w:pPr>
        <w:pStyle w:val="ListBullet"/>
        <w:numPr>
          <w:ilvl w:val="0"/>
          <w:numId w:val="36"/>
        </w:numPr>
      </w:pPr>
      <w:r w:rsidRPr="00E6222F">
        <w:t>sub</w:t>
      </w:r>
      <w:r w:rsidRPr="00E6222F">
        <w:noBreakHyphen/>
        <w:t>optimal operation of the building</w:t>
      </w:r>
      <w:r w:rsidR="00C74C79">
        <w:t>,</w:t>
      </w:r>
      <w:r w:rsidRPr="00E6222F">
        <w:t xml:space="preserve"> and</w:t>
      </w:r>
    </w:p>
    <w:p w:rsidR="00612FD3" w:rsidRPr="00E6222F" w:rsidRDefault="00612FD3" w:rsidP="00612FD3">
      <w:pPr>
        <w:pStyle w:val="ListBullet"/>
        <w:numPr>
          <w:ilvl w:val="0"/>
          <w:numId w:val="36"/>
        </w:numPr>
      </w:pPr>
      <w:r w:rsidRPr="00E6222F">
        <w:t>the behaviour of tenants.</w:t>
      </w:r>
    </w:p>
    <w:p w:rsidR="00612FD3" w:rsidRPr="00E6222F" w:rsidRDefault="00612FD3" w:rsidP="00612FD3">
      <w:pPr>
        <w:pStyle w:val="BodyText"/>
      </w:pPr>
      <w:r w:rsidRPr="00E6222F">
        <w:t>Improved compliance mechanisms would address only instances where there is variation between the approved building design and what is actually built.</w:t>
      </w:r>
    </w:p>
    <w:p w:rsidR="00FB5445" w:rsidRDefault="00612FD3" w:rsidP="00EC6A9C">
      <w:pPr>
        <w:pStyle w:val="BodyText"/>
      </w:pPr>
      <w:r w:rsidRPr="00E6222F">
        <w:t xml:space="preserve">Furthermore, as noted above, the optimal level of energy efficiency could vary significantly across buildings. In general, </w:t>
      </w:r>
      <w:r w:rsidR="00271F6A">
        <w:t xml:space="preserve">to limit complexity, </w:t>
      </w:r>
      <w:r w:rsidRPr="00E6222F">
        <w:t xml:space="preserve">aiming for ‘best practice’ (or somewhere close to best practice), rather than a </w:t>
      </w:r>
      <w:r>
        <w:t xml:space="preserve">more conservative </w:t>
      </w:r>
      <w:r w:rsidRPr="00E6222F">
        <w:t xml:space="preserve">minimum standard </w:t>
      </w:r>
      <w:r>
        <w:t xml:space="preserve">(and potentially encourage industry to exceed it through other measures) </w:t>
      </w:r>
      <w:r w:rsidRPr="00E6222F">
        <w:t xml:space="preserve">increases the risk of regulatory failure, whereby the minimum standard is set above the optimal level for some buildings and therefore impose a net cost on </w:t>
      </w:r>
      <w:r>
        <w:t>those</w:t>
      </w:r>
      <w:r w:rsidRPr="00E6222F">
        <w:t xml:space="preserve"> buildings.</w:t>
      </w:r>
    </w:p>
    <w:p w:rsidR="00EC6A9C" w:rsidRDefault="00EC6A9C" w:rsidP="00C74C79">
      <w:pPr>
        <w:pStyle w:val="BodyText"/>
        <w:spacing w:before="100"/>
      </w:pPr>
      <w:r>
        <w:t>The</w:t>
      </w:r>
      <w:r w:rsidRPr="00EC6A9C">
        <w:t xml:space="preserve"> </w:t>
      </w:r>
      <w:r>
        <w:t>NCC has been evolving continuously and reflect</w:t>
      </w:r>
      <w:r w:rsidR="00585629">
        <w:t>s</w:t>
      </w:r>
      <w:r>
        <w:t xml:space="preserve"> general technical improvement</w:t>
      </w:r>
      <w:r w:rsidR="00585629">
        <w:t>s</w:t>
      </w:r>
      <w:r>
        <w:t xml:space="preserve"> over time. For a particular version/point of time, the NCC should </w:t>
      </w:r>
      <w:r w:rsidR="00585629">
        <w:t xml:space="preserve">achieve </w:t>
      </w:r>
      <w:r>
        <w:t>balance between technical advance</w:t>
      </w:r>
      <w:r w:rsidR="00585629">
        <w:t>s</w:t>
      </w:r>
      <w:r>
        <w:t xml:space="preserve"> and business viability/market access. </w:t>
      </w:r>
    </w:p>
    <w:p w:rsidR="00EC6A9C" w:rsidRDefault="00EC6A9C" w:rsidP="00C74C79">
      <w:pPr>
        <w:pStyle w:val="BodyText"/>
        <w:spacing w:before="100"/>
      </w:pPr>
      <w:r>
        <w:t>The key role for</w:t>
      </w:r>
      <w:r w:rsidR="00585629">
        <w:t xml:space="preserve"> the</w:t>
      </w:r>
      <w:r>
        <w:t xml:space="preserve"> NCC is to correct any market failures and </w:t>
      </w:r>
      <w:r w:rsidR="00585629">
        <w:t xml:space="preserve">provide </w:t>
      </w:r>
      <w:r>
        <w:t xml:space="preserve">a minimum standard </w:t>
      </w:r>
      <w:r w:rsidR="00585629">
        <w:t xml:space="preserve">that </w:t>
      </w:r>
      <w:r>
        <w:t>would not hinder the adoption of new technology</w:t>
      </w:r>
      <w:r w:rsidR="00DA03F6">
        <w:t xml:space="preserve"> which exceeded the minimum stringency. For example, the NCC has not hindered the widespread adoption of LED lighting technology. Further, </w:t>
      </w:r>
      <w:r>
        <w:t xml:space="preserve">building owners/designers have the option to use a Performance Solution (rather than the DTS approach) and can choose to exceed the minimum standards specified in the NCC. </w:t>
      </w:r>
    </w:p>
    <w:p w:rsidR="008B486B" w:rsidRPr="008B486B" w:rsidRDefault="008B486B" w:rsidP="00C74C79">
      <w:pPr>
        <w:pStyle w:val="BodyText"/>
        <w:spacing w:before="100"/>
      </w:pPr>
      <w:r w:rsidRPr="008B486B">
        <w:t xml:space="preserve">A further limitation of the NCC </w:t>
      </w:r>
      <w:r w:rsidR="00D17A7D">
        <w:t xml:space="preserve">as a policy mechanism for driving further energy efficiency improvements </w:t>
      </w:r>
      <w:r w:rsidRPr="008B486B">
        <w:t>is th</w:t>
      </w:r>
      <w:r w:rsidR="00DA03F6">
        <w:t>e</w:t>
      </w:r>
      <w:r w:rsidRPr="008B486B">
        <w:t xml:space="preserve"> </w:t>
      </w:r>
      <w:r w:rsidR="00DA03F6">
        <w:t xml:space="preserve">potential for </w:t>
      </w:r>
      <w:r w:rsidRPr="008B486B">
        <w:t xml:space="preserve">increasing </w:t>
      </w:r>
      <w:r w:rsidRPr="002B3C0A">
        <w:t xml:space="preserve">stringency of the </w:t>
      </w:r>
      <w:r w:rsidRPr="008B486B">
        <w:t xml:space="preserve">minimum standards </w:t>
      </w:r>
      <w:r w:rsidR="00DA03F6">
        <w:t xml:space="preserve">to </w:t>
      </w:r>
      <w:r w:rsidRPr="002B3C0A">
        <w:t xml:space="preserve">restrict choice and therefore </w:t>
      </w:r>
      <w:r w:rsidR="00D17A7D">
        <w:t>represent</w:t>
      </w:r>
      <w:r w:rsidRPr="008B486B">
        <w:t xml:space="preserve"> a </w:t>
      </w:r>
      <w:r w:rsidRPr="002B3C0A">
        <w:t xml:space="preserve">greater </w:t>
      </w:r>
      <w:r w:rsidRPr="008B486B">
        <w:t xml:space="preserve">restriction on competition. </w:t>
      </w:r>
      <w:r w:rsidRPr="002B3C0A">
        <w:t>That said, u</w:t>
      </w:r>
      <w:r w:rsidRPr="008B486B">
        <w:t xml:space="preserve">nder COAG Guidelines, regulation </w:t>
      </w:r>
      <w:r w:rsidRPr="002B3C0A">
        <w:t>can restrict competition where</w:t>
      </w:r>
      <w:r w:rsidRPr="008B486B">
        <w:t>:</w:t>
      </w:r>
    </w:p>
    <w:p w:rsidR="008B486B" w:rsidRPr="00BF269B" w:rsidRDefault="008B486B" w:rsidP="008B486B">
      <w:pPr>
        <w:pStyle w:val="ListBullet"/>
      </w:pPr>
      <w:r w:rsidRPr="00BF269B">
        <w:t>it can be demonstrated that the benefits of the restriction to the community as a whole outweigh the costs; and</w:t>
      </w:r>
    </w:p>
    <w:p w:rsidR="008B486B" w:rsidRPr="008B486B" w:rsidRDefault="008B486B" w:rsidP="008B486B">
      <w:pPr>
        <w:pStyle w:val="ListBullet"/>
      </w:pPr>
      <w:r w:rsidRPr="00BF269B">
        <w:t>the objectives of the regulation can only be achieved by restricting competition adopting the option that generates the greatest net benefit to the community.</w:t>
      </w:r>
      <w:r w:rsidRPr="008B486B">
        <w:rPr>
          <w:rStyle w:val="FootnoteReference"/>
        </w:rPr>
        <w:footnoteReference w:id="36"/>
      </w:r>
    </w:p>
    <w:p w:rsidR="00612FD3" w:rsidRPr="00144EC0" w:rsidRDefault="00612FD3" w:rsidP="00612FD3">
      <w:pPr>
        <w:pStyle w:val="Heading2"/>
        <w:numPr>
          <w:ilvl w:val="1"/>
          <w:numId w:val="5"/>
        </w:numPr>
        <w:rPr>
          <w:lang w:eastAsia="en-US"/>
        </w:rPr>
      </w:pPr>
      <w:bookmarkStart w:id="810" w:name="_Toc509220784"/>
      <w:bookmarkStart w:id="811" w:name="_Toc529869833"/>
      <w:bookmarkStart w:id="812" w:name="_Toc530748550"/>
      <w:r w:rsidRPr="00144EC0">
        <w:rPr>
          <w:lang w:eastAsia="en-US"/>
        </w:rPr>
        <w:t>Summary and focus of the RIS</w:t>
      </w:r>
      <w:bookmarkEnd w:id="810"/>
      <w:bookmarkEnd w:id="811"/>
      <w:bookmarkEnd w:id="812"/>
    </w:p>
    <w:p w:rsidR="00612FD3" w:rsidRPr="00144EC0" w:rsidRDefault="00612FD3" w:rsidP="00612FD3">
      <w:pPr>
        <w:pStyle w:val="BodyText"/>
      </w:pPr>
      <w:r w:rsidRPr="00144EC0">
        <w:t>There is a sound in</w:t>
      </w:r>
      <w:r w:rsidRPr="00144EC0">
        <w:noBreakHyphen/>
        <w:t xml:space="preserve">principle case for minimum energy efficiency standards for commercial buildings on the basis of the negative externalities associated with greenhouse gas emissions associated with energy consumption. </w:t>
      </w:r>
    </w:p>
    <w:p w:rsidR="00612FD3" w:rsidRPr="00144EC0" w:rsidRDefault="00612FD3" w:rsidP="00C74C79">
      <w:pPr>
        <w:pStyle w:val="BodyText"/>
        <w:spacing w:before="100"/>
      </w:pPr>
      <w:r w:rsidRPr="00144EC0">
        <w:t xml:space="preserve">The potential for minimum energy efficiency regulations to deliver a ‘win-win’ outcome (i.e. net private benefits in addition to the public benefits associated with reduced greenhouse gas emissions) relies on the proposition that there are additional market failures or behavioural anomalies that prevent building owners and tenants from making energy efficiency decisions in their own best interests. </w:t>
      </w:r>
    </w:p>
    <w:p w:rsidR="00612FD3" w:rsidRPr="00144EC0" w:rsidRDefault="00612FD3" w:rsidP="00C74C79">
      <w:pPr>
        <w:pStyle w:val="BodyText"/>
        <w:spacing w:before="100"/>
      </w:pPr>
      <w:r w:rsidRPr="00144EC0">
        <w:t xml:space="preserve">Although there is limited direct evidence, </w:t>
      </w:r>
      <w:r w:rsidR="006655D3">
        <w:t xml:space="preserve">stakeholders generally accept </w:t>
      </w:r>
      <w:r w:rsidRPr="00144EC0">
        <w:t>it is nevertheless plausible that these market failures and behavioural anomalies (such as bounded rationality/heuristic de</w:t>
      </w:r>
      <w:r w:rsidR="00BB30D0">
        <w:t>cision making and inattention/non-</w:t>
      </w:r>
      <w:r w:rsidRPr="00144EC0">
        <w:t>salience of energy costs for many businesses) exist and that minimum energy efficiency standards can achieve a ‘win</w:t>
      </w:r>
      <w:r w:rsidRPr="00144EC0">
        <w:noBreakHyphen/>
        <w:t>win’ outcome.</w:t>
      </w:r>
    </w:p>
    <w:p w:rsidR="00612FD3" w:rsidRPr="00144EC0" w:rsidRDefault="00612FD3" w:rsidP="00C74C79">
      <w:pPr>
        <w:pStyle w:val="BodyText"/>
        <w:spacing w:before="100"/>
      </w:pPr>
      <w:r w:rsidRPr="00144EC0">
        <w:t xml:space="preserve">The available modelling — including the modelling by </w:t>
      </w:r>
      <w:r w:rsidR="003F28DD">
        <w:t>EA</w:t>
      </w:r>
      <w:r w:rsidRPr="00144EC0">
        <w:t xml:space="preserve"> that underpins the proposed changes to the NCC — suggests that there are very significant opportunities to improve the energy efficiency of commercial buildings.</w:t>
      </w:r>
    </w:p>
    <w:p w:rsidR="00612FD3" w:rsidRPr="00144EC0" w:rsidRDefault="00612FD3" w:rsidP="00C74C79">
      <w:pPr>
        <w:pStyle w:val="BodyText"/>
        <w:spacing w:before="100"/>
      </w:pPr>
      <w:r w:rsidRPr="00144EC0">
        <w:t>The purpose of a RIS is to determine whether proposed regulatory changes are likely to be beneficial for society overall (and whether the proposed regulatory change is the best available option for achieving the objectives). This involves providing rigorous scrutiny of the modelling findings and the assumptions that underpin them.</w:t>
      </w:r>
    </w:p>
    <w:p w:rsidR="00612FD3" w:rsidRPr="00F51AF6" w:rsidRDefault="00612FD3" w:rsidP="00612FD3">
      <w:pPr>
        <w:pStyle w:val="Heading1"/>
        <w:numPr>
          <w:ilvl w:val="0"/>
          <w:numId w:val="5"/>
        </w:numPr>
      </w:pPr>
      <w:bookmarkStart w:id="813" w:name="_Toc499847003"/>
      <w:bookmarkStart w:id="814" w:name="_Toc505120598"/>
      <w:bookmarkStart w:id="815" w:name="_Toc507523755"/>
      <w:bookmarkStart w:id="816" w:name="_Toc509220785"/>
      <w:bookmarkStart w:id="817" w:name="_Toc529869834"/>
      <w:bookmarkStart w:id="818" w:name="_Toc530748551"/>
      <w:r>
        <w:t>Objectives and options</w:t>
      </w:r>
      <w:bookmarkEnd w:id="813"/>
      <w:bookmarkEnd w:id="814"/>
      <w:bookmarkEnd w:id="815"/>
      <w:bookmarkEnd w:id="816"/>
      <w:bookmarkEnd w:id="817"/>
      <w:bookmarkEnd w:id="818"/>
    </w:p>
    <w:p w:rsidR="00612FD3" w:rsidRDefault="00612FD3" w:rsidP="00612FD3">
      <w:pPr>
        <w:pStyle w:val="Heading2"/>
        <w:numPr>
          <w:ilvl w:val="1"/>
          <w:numId w:val="5"/>
        </w:numPr>
      </w:pPr>
      <w:bookmarkStart w:id="819" w:name="_Toc509220786"/>
      <w:bookmarkStart w:id="820" w:name="_Toc529869835"/>
      <w:bookmarkStart w:id="821" w:name="_Toc530748552"/>
      <w:r>
        <w:t>Objectives</w:t>
      </w:r>
      <w:bookmarkEnd w:id="819"/>
      <w:bookmarkEnd w:id="820"/>
      <w:bookmarkEnd w:id="821"/>
    </w:p>
    <w:p w:rsidR="00612FD3" w:rsidRDefault="00612FD3" w:rsidP="00612FD3">
      <w:pPr>
        <w:pStyle w:val="BodyText"/>
      </w:pPr>
      <w:r>
        <w:t>The proposed changes to the NCC’s energy efficiency requirements for commercial buildings are occurring in a broad policy context. In particular, improving the energy efficiency of commercial buildings is one of the actions under the NEPP (Measure 31). The stated objectives of the NEPP (relevant to commercial buildings) are to:</w:t>
      </w:r>
    </w:p>
    <w:p w:rsidR="00612FD3" w:rsidRDefault="00612FD3" w:rsidP="00612FD3">
      <w:pPr>
        <w:pStyle w:val="ListBullet"/>
        <w:numPr>
          <w:ilvl w:val="0"/>
          <w:numId w:val="36"/>
        </w:numPr>
      </w:pPr>
      <w:r>
        <w:t>reduce energy costs for businesses;</w:t>
      </w:r>
    </w:p>
    <w:p w:rsidR="00612FD3" w:rsidRDefault="00612FD3" w:rsidP="00612FD3">
      <w:pPr>
        <w:pStyle w:val="ListBullet"/>
        <w:numPr>
          <w:ilvl w:val="0"/>
          <w:numId w:val="36"/>
        </w:numPr>
      </w:pPr>
      <w:r>
        <w:t>maintain Australia’s competitiveness and growing the economy; and</w:t>
      </w:r>
    </w:p>
    <w:p w:rsidR="00612FD3" w:rsidRDefault="00612FD3" w:rsidP="00612FD3">
      <w:pPr>
        <w:pStyle w:val="ListBullet"/>
        <w:numPr>
          <w:ilvl w:val="0"/>
          <w:numId w:val="36"/>
        </w:numPr>
      </w:pPr>
      <w:r>
        <w:t>reduce carbon emissions and improving sustainability.</w:t>
      </w:r>
      <w:r>
        <w:rPr>
          <w:rStyle w:val="FootnoteReference"/>
        </w:rPr>
        <w:footnoteReference w:id="37"/>
      </w:r>
    </w:p>
    <w:p w:rsidR="00612FD3" w:rsidRDefault="00612FD3" w:rsidP="00612FD3">
      <w:pPr>
        <w:pStyle w:val="BodyText"/>
      </w:pPr>
      <w:r>
        <w:t>Although not explicitly stated, these objectives together imply an objective of achieving privately cost</w:t>
      </w:r>
      <w:r>
        <w:noBreakHyphen/>
        <w:t>effective energy efficiency improvements (i.e. measures that achieve a ‘win</w:t>
      </w:r>
      <w:r>
        <w:noBreakHyphen/>
        <w:t xml:space="preserve">win’ outcome by delivering private net benefits, as well as </w:t>
      </w:r>
      <w:r w:rsidR="003D6EAB">
        <w:t xml:space="preserve">contributing to </w:t>
      </w:r>
      <w:r>
        <w:t>reducing GHG emissions). In particular, measures that improve energy efficiency that are not privately cost</w:t>
      </w:r>
      <w:r>
        <w:noBreakHyphen/>
        <w:t>effective would be consistent with reducing carbon emissions, but imposing additional net costs on businesses would not necessarily be consistent with maintaining Australia’s competitiveness and growing the economy.</w:t>
      </w:r>
    </w:p>
    <w:p w:rsidR="00612FD3" w:rsidRDefault="00612FD3" w:rsidP="00612FD3">
      <w:pPr>
        <w:pStyle w:val="BodyText"/>
      </w:pPr>
      <w:r>
        <w:t>Secondary objectives of the proposed changes are to address specific issues with Section J including:</w:t>
      </w:r>
    </w:p>
    <w:p w:rsidR="00612FD3" w:rsidRDefault="00612FD3" w:rsidP="00612FD3">
      <w:pPr>
        <w:pStyle w:val="ListBullet"/>
        <w:numPr>
          <w:ilvl w:val="0"/>
          <w:numId w:val="36"/>
        </w:numPr>
      </w:pPr>
      <w:r>
        <w:t>reducing complexity;</w:t>
      </w:r>
    </w:p>
    <w:p w:rsidR="00612FD3" w:rsidRDefault="00612FD3" w:rsidP="00612FD3">
      <w:pPr>
        <w:pStyle w:val="ListBullet"/>
        <w:numPr>
          <w:ilvl w:val="0"/>
          <w:numId w:val="36"/>
        </w:numPr>
      </w:pPr>
      <w:r>
        <w:t>improving the effectiveness of Section J of the NCC at delivering outcomes.</w:t>
      </w:r>
    </w:p>
    <w:p w:rsidR="00612FD3" w:rsidRDefault="00612FD3" w:rsidP="00612FD3">
      <w:pPr>
        <w:pStyle w:val="Heading2"/>
        <w:numPr>
          <w:ilvl w:val="1"/>
          <w:numId w:val="5"/>
        </w:numPr>
      </w:pPr>
      <w:bookmarkStart w:id="822" w:name="_Toc509220787"/>
      <w:bookmarkStart w:id="823" w:name="_Toc529869836"/>
      <w:bookmarkStart w:id="824" w:name="_Toc530748553"/>
      <w:bookmarkStart w:id="825" w:name="_Hlk505099385"/>
      <w:r>
        <w:t>Options</w:t>
      </w:r>
      <w:bookmarkEnd w:id="822"/>
      <w:bookmarkEnd w:id="823"/>
      <w:bookmarkEnd w:id="824"/>
    </w:p>
    <w:p w:rsidR="00612FD3" w:rsidRDefault="00612FD3" w:rsidP="00612FD3">
      <w:pPr>
        <w:pStyle w:val="BodyText"/>
      </w:pPr>
      <w:r>
        <w:t>As the objectives of the NEPP are broad, there are a wide range of measures that could potentially contribute to the achievement of these objectives. Many of these options are unrelated to the energy efficiency provisions for commercial buildings and outside the purview of the ABCB. The RIS therefore focuses on the following options.</w:t>
      </w:r>
    </w:p>
    <w:p w:rsidR="00612FD3" w:rsidRDefault="00612FD3" w:rsidP="00612FD3">
      <w:pPr>
        <w:pStyle w:val="Heading3"/>
        <w:numPr>
          <w:ilvl w:val="2"/>
          <w:numId w:val="5"/>
        </w:numPr>
      </w:pPr>
      <w:r>
        <w:t>Option 1: Status quo</w:t>
      </w:r>
    </w:p>
    <w:p w:rsidR="00612FD3" w:rsidRDefault="00612FD3" w:rsidP="00612FD3">
      <w:pPr>
        <w:pStyle w:val="BodyText"/>
      </w:pPr>
      <w:r>
        <w:t>A status quo or business as usual option where there is no change to the existing energy efficiency provisions in the NCC.</w:t>
      </w:r>
    </w:p>
    <w:p w:rsidR="00612FD3" w:rsidRPr="00BA759C" w:rsidRDefault="00612FD3" w:rsidP="00612FD3">
      <w:pPr>
        <w:pStyle w:val="BodyText"/>
      </w:pPr>
      <w:r>
        <w:t>This status quo option will be set up as a baseline to evaluate the proposed changes as discussed in Option 2 below.</w:t>
      </w:r>
    </w:p>
    <w:p w:rsidR="00612FD3" w:rsidRDefault="00612FD3" w:rsidP="00612FD3">
      <w:pPr>
        <w:pStyle w:val="Heading3"/>
        <w:numPr>
          <w:ilvl w:val="2"/>
          <w:numId w:val="5"/>
        </w:numPr>
      </w:pPr>
      <w:bookmarkStart w:id="826" w:name="_Toc492549758"/>
      <w:r>
        <w:t xml:space="preserve">Option 2: </w:t>
      </w:r>
      <w:bookmarkEnd w:id="826"/>
      <w:r>
        <w:t>Draft revisions to NCC 2016</w:t>
      </w:r>
    </w:p>
    <w:p w:rsidR="00612FD3" w:rsidRDefault="00612FD3" w:rsidP="00612FD3">
      <w:pPr>
        <w:pStyle w:val="BodyText"/>
      </w:pPr>
      <w:r>
        <w:t>The review of the energy efficiency requirements in Section J of the NCC has been comprehensive and a wide range of technical changes have been proposed. These include:</w:t>
      </w:r>
    </w:p>
    <w:p w:rsidR="00612FD3" w:rsidRDefault="00612FD3" w:rsidP="00612FD3">
      <w:pPr>
        <w:pStyle w:val="ListBullet"/>
        <w:numPr>
          <w:ilvl w:val="0"/>
          <w:numId w:val="36"/>
        </w:numPr>
      </w:pPr>
      <w:r>
        <w:t xml:space="preserve">changes to the Performance Requirements; </w:t>
      </w:r>
    </w:p>
    <w:p w:rsidR="00612FD3" w:rsidRDefault="00612FD3" w:rsidP="00612FD3">
      <w:pPr>
        <w:pStyle w:val="ListBullet"/>
        <w:numPr>
          <w:ilvl w:val="0"/>
          <w:numId w:val="36"/>
        </w:numPr>
      </w:pPr>
      <w:r>
        <w:t>new Verification Methods, as well as changes to the existing Verification Method (JV3)</w:t>
      </w:r>
      <w:r w:rsidRPr="005A18C3">
        <w:t xml:space="preserve"> </w:t>
      </w:r>
      <w:r>
        <w:t>that are used to demonstrate compliance with the Performance Requirements; and</w:t>
      </w:r>
    </w:p>
    <w:p w:rsidR="00612FD3" w:rsidRDefault="00612FD3" w:rsidP="00612FD3">
      <w:pPr>
        <w:pStyle w:val="ListBullet"/>
        <w:numPr>
          <w:ilvl w:val="0"/>
          <w:numId w:val="36"/>
        </w:numPr>
      </w:pPr>
      <w:r>
        <w:t>changes to the Deemed</w:t>
      </w:r>
      <w:r>
        <w:noBreakHyphen/>
        <w:t>to</w:t>
      </w:r>
      <w:r>
        <w:noBreakHyphen/>
        <w:t>Satisfy Provisions that are used to demonstrate compliance with the Performance Requirements.</w:t>
      </w:r>
    </w:p>
    <w:p w:rsidR="00612FD3" w:rsidRDefault="00612FD3" w:rsidP="00612FD3">
      <w:pPr>
        <w:pStyle w:val="Heading4"/>
        <w:numPr>
          <w:ilvl w:val="3"/>
          <w:numId w:val="5"/>
        </w:numPr>
      </w:pPr>
      <w:r>
        <w:t>Performance Requirements</w:t>
      </w:r>
    </w:p>
    <w:p w:rsidR="00612FD3" w:rsidRDefault="00612FD3" w:rsidP="00612FD3">
      <w:pPr>
        <w:pStyle w:val="BodyText"/>
      </w:pPr>
      <w:r>
        <w:t>The Performance Requirements are the only mandatory component of the NCC. The proposed changes to the Performance Requirements include the following:</w:t>
      </w:r>
    </w:p>
    <w:p w:rsidR="00612FD3" w:rsidRPr="008B76F4" w:rsidRDefault="00612FD3" w:rsidP="00612FD3">
      <w:pPr>
        <w:pStyle w:val="ListBullet"/>
        <w:numPr>
          <w:ilvl w:val="0"/>
          <w:numId w:val="36"/>
        </w:numPr>
      </w:pPr>
      <w:r>
        <w:t xml:space="preserve">A new performance metric — the current proposal is to quantify JP1 in terms of average kilojoules per square metre per hour of building operation. For buildings in </w:t>
      </w:r>
      <w:r w:rsidR="00E31EE8">
        <w:t>Climate Zone</w:t>
      </w:r>
      <w:r>
        <w:t>s that represent most of the Australian population, the proposed JP1 metric will be met by achieving an energy performance of between 0-50 per cent improvement (based on 2016 DTS levels).</w:t>
      </w:r>
    </w:p>
    <w:p w:rsidR="00612FD3" w:rsidRDefault="00612FD3" w:rsidP="00612FD3">
      <w:pPr>
        <w:pStyle w:val="ListBullet"/>
        <w:numPr>
          <w:ilvl w:val="0"/>
          <w:numId w:val="36"/>
        </w:numPr>
      </w:pPr>
      <w:r>
        <w:t>Reference to human comfort (clause JP1(b)) — this will ensure the building is fit for purpose and that reductions in energy consumption do not come at the expense of human comfort.</w:t>
      </w:r>
    </w:p>
    <w:p w:rsidR="00612FD3" w:rsidRDefault="00612FD3" w:rsidP="00612FD3">
      <w:pPr>
        <w:pStyle w:val="ListBullet"/>
        <w:numPr>
          <w:ilvl w:val="0"/>
          <w:numId w:val="36"/>
        </w:numPr>
      </w:pPr>
      <w:r>
        <w:t>Deletion of a clause (clause JP3) that favours low greenhouse gas intensity heating energy as it is no longer viable due to the increasing price of gas and the accessibility of grid electricity with low emissions intensity.</w:t>
      </w:r>
    </w:p>
    <w:p w:rsidR="00612FD3" w:rsidRDefault="00612FD3" w:rsidP="00612FD3">
      <w:pPr>
        <w:pStyle w:val="Heading4"/>
        <w:numPr>
          <w:ilvl w:val="3"/>
          <w:numId w:val="5"/>
        </w:numPr>
      </w:pPr>
      <w:r>
        <w:t>Verification Methods</w:t>
      </w:r>
    </w:p>
    <w:p w:rsidR="00612FD3" w:rsidRDefault="00612FD3" w:rsidP="00612FD3">
      <w:pPr>
        <w:pStyle w:val="BodyText"/>
      </w:pPr>
      <w:r>
        <w:t>The intent of any Verification Method is to demonstrate that a Performance Solution meets the mandatory Performance Requirements. Currently, the NCC includes one Verification Method, JV3, that may be used to demonstrate that a Performance Solution complies with the NCC.</w:t>
      </w:r>
    </w:p>
    <w:p w:rsidR="00612FD3" w:rsidRDefault="00612FD3" w:rsidP="00612FD3">
      <w:pPr>
        <w:pStyle w:val="BodyText"/>
      </w:pPr>
      <w:r>
        <w:t>Improvements to JV3 have been proposed and a number of new verification avenues included (see box </w:t>
      </w:r>
      <w:r>
        <w:rPr>
          <w:noProof/>
        </w:rPr>
        <w:fldChar w:fldCharType="begin"/>
      </w:r>
      <w:r>
        <w:rPr>
          <w:noProof/>
        </w:rPr>
        <w:instrText xml:space="preserve"> REF _Caption3512 </w:instrText>
      </w:r>
      <w:r>
        <w:rPr>
          <w:noProof/>
        </w:rPr>
        <w:fldChar w:fldCharType="separate"/>
      </w:r>
      <w:r w:rsidR="006B79B8">
        <w:rPr>
          <w:noProof/>
        </w:rPr>
        <w:t>3.1</w:t>
      </w:r>
      <w:r>
        <w:rPr>
          <w:noProof/>
        </w:rPr>
        <w:fldChar w:fldCharType="end"/>
      </w:r>
      <w:r>
        <w:t>) to reduce the need to separately demonstrate compliance with the NCC and in these circumstances avoiding duplication in assessment and approval costs.</w:t>
      </w:r>
    </w:p>
    <w:tbl>
      <w:tblPr>
        <w:tblW w:w="7934" w:type="dxa"/>
        <w:tblBorders>
          <w:top w:val="single" w:sz="2" w:space="0" w:color="auto"/>
          <w:left w:val="single" w:sz="2" w:space="0" w:color="auto"/>
          <w:bottom w:val="single" w:sz="2" w:space="0" w:color="auto"/>
          <w:right w:val="single" w:sz="2" w:space="0" w:color="auto"/>
        </w:tblBorders>
        <w:tblLayout w:type="fixed"/>
        <w:tblCellMar>
          <w:left w:w="142" w:type="dxa"/>
          <w:right w:w="142" w:type="dxa"/>
        </w:tblCellMar>
        <w:tblLook w:val="04A0" w:firstRow="1" w:lastRow="0" w:firstColumn="1" w:lastColumn="0" w:noHBand="0" w:noVBand="1"/>
        <w:tblCaption w:val="Table 3.1: New Verification Methods"/>
        <w:tblDescription w:val="This table identifies the new Verification Methods proposed for NCC 2019. These new methods include recognising Green Star and NABERS as suitable compliance pathway options for new commerical buildings. "/>
      </w:tblPr>
      <w:tblGrid>
        <w:gridCol w:w="7934"/>
      </w:tblGrid>
      <w:tr w:rsidR="00612FD3" w:rsidTr="00301B6D">
        <w:trPr>
          <w:cantSplit/>
        </w:trPr>
        <w:tc>
          <w:tcPr>
            <w:tcW w:w="7934" w:type="dxa"/>
            <w:tcBorders>
              <w:top w:val="nil"/>
              <w:left w:val="nil"/>
              <w:bottom w:val="nil"/>
              <w:right w:val="nil"/>
            </w:tcBorders>
            <w:shd w:val="clear" w:color="auto" w:fill="C6BFAB" w:themeFill="accent3"/>
            <w:hideMark/>
          </w:tcPr>
          <w:bookmarkStart w:id="827" w:name="_Toc529869901"/>
          <w:p w:rsidR="00612FD3" w:rsidRDefault="00612FD3" w:rsidP="00612FD3">
            <w:pPr>
              <w:pStyle w:val="Caption"/>
              <w:numPr>
                <w:ilvl w:val="0"/>
                <w:numId w:val="35"/>
              </w:numPr>
              <w:spacing w:before="120" w:after="100"/>
            </w:pPr>
            <w:r>
              <w:fldChar w:fldCharType="begin"/>
            </w:r>
            <w:bookmarkEnd w:id="827"/>
            <w:r>
              <w:instrText xml:space="preserve"> IF 1 = 1 "</w:instrText>
            </w:r>
            <w:r>
              <w:fldChar w:fldCharType="begin"/>
            </w:r>
            <w:r>
              <w:instrText xml:space="preserve"> IF </w:instrText>
            </w:r>
            <w:r>
              <w:rPr>
                <w:noProof/>
              </w:rPr>
              <w:fldChar w:fldCharType="begin"/>
            </w:r>
            <w:r>
              <w:rPr>
                <w:noProof/>
              </w:rPr>
              <w:instrText xml:space="preserve"> STYLEREF "Heading 6" \l \n </w:instrText>
            </w:r>
            <w:r>
              <w:rPr>
                <w:noProof/>
              </w:rPr>
              <w:fldChar w:fldCharType="separate"/>
            </w:r>
            <w:r w:rsidR="006B79B8">
              <w:rPr>
                <w:noProof/>
              </w:rPr>
              <w:instrText>0</w:instrText>
            </w:r>
            <w:r>
              <w:rPr>
                <w:noProof/>
              </w:rPr>
              <w:fldChar w:fldCharType="end"/>
            </w:r>
            <w:r>
              <w:instrText xml:space="preserve"> = 0 "</w:instrText>
            </w:r>
            <w:r>
              <w:fldChar w:fldCharType="begin"/>
            </w:r>
            <w:r>
              <w:instrText xml:space="preserve"> IF </w:instrText>
            </w:r>
            <w:r>
              <w:rPr>
                <w:noProof/>
              </w:rPr>
              <w:fldChar w:fldCharType="begin"/>
            </w:r>
            <w:r>
              <w:rPr>
                <w:noProof/>
              </w:rPr>
              <w:instrText xml:space="preserve"> STYLEREF "Heading 1" \l \n </w:instrText>
            </w:r>
            <w:r>
              <w:rPr>
                <w:noProof/>
              </w:rPr>
              <w:fldChar w:fldCharType="separate"/>
            </w:r>
            <w:r w:rsidR="006B79B8">
              <w:rPr>
                <w:noProof/>
              </w:rPr>
              <w:instrText>3</w:instrText>
            </w:r>
            <w:r>
              <w:rPr>
                <w:noProof/>
              </w:rPr>
              <w:fldChar w:fldCharType="end"/>
            </w:r>
            <w:r>
              <w:instrText xml:space="preserve"> = 0 "" "</w:instrText>
            </w:r>
            <w:r>
              <w:rPr>
                <w:noProof/>
              </w:rPr>
              <w:fldChar w:fldCharType="begin"/>
            </w:r>
            <w:r>
              <w:rPr>
                <w:noProof/>
              </w:rPr>
              <w:instrText xml:space="preserve"> STYLEREF "Heading 1" \l \n </w:instrText>
            </w:r>
            <w:r>
              <w:rPr>
                <w:noProof/>
              </w:rPr>
              <w:fldChar w:fldCharType="separate"/>
            </w:r>
            <w:r w:rsidR="006B79B8">
              <w:rPr>
                <w:noProof/>
              </w:rPr>
              <w:instrText>3</w:instrText>
            </w:r>
            <w:r>
              <w:rPr>
                <w:noProof/>
              </w:rPr>
              <w:fldChar w:fldCharType="end"/>
            </w:r>
            <w:r>
              <w:instrText xml:space="preserve">." </w:instrText>
            </w:r>
            <w:r>
              <w:fldChar w:fldCharType="separate"/>
            </w:r>
            <w:r w:rsidR="006B79B8">
              <w:rPr>
                <w:noProof/>
              </w:rPr>
              <w:instrText>3.</w:instrText>
            </w:r>
            <w:r>
              <w:fldChar w:fldCharType="end"/>
            </w:r>
            <w:r>
              <w:instrText>" "</w:instrText>
            </w:r>
            <w:r>
              <w:rPr>
                <w:noProof/>
              </w:rPr>
              <w:fldChar w:fldCharType="begin"/>
            </w:r>
            <w:r>
              <w:rPr>
                <w:noProof/>
              </w:rPr>
              <w:instrText xml:space="preserve"> STYLEREF "Heading 6" \l \n </w:instrText>
            </w:r>
            <w:r>
              <w:rPr>
                <w:noProof/>
              </w:rPr>
              <w:fldChar w:fldCharType="separate"/>
            </w:r>
            <w:r>
              <w:rPr>
                <w:noProof/>
              </w:rPr>
              <w:instrText>A</w:instrText>
            </w:r>
            <w:r>
              <w:rPr>
                <w:noProof/>
              </w:rPr>
              <w:fldChar w:fldCharType="end"/>
            </w:r>
            <w:r>
              <w:instrText xml:space="preserve">." </w:instrText>
            </w:r>
            <w:r>
              <w:fldChar w:fldCharType="separate"/>
            </w:r>
            <w:r w:rsidR="006B79B8">
              <w:rPr>
                <w:noProof/>
              </w:rPr>
              <w:instrText>3.</w:instrText>
            </w:r>
            <w:r>
              <w:fldChar w:fldCharType="end"/>
            </w:r>
            <w:r>
              <w:instrText xml:space="preserve">1" "" </w:instrText>
            </w:r>
            <w:r>
              <w:fldChar w:fldCharType="separate"/>
            </w:r>
            <w:bookmarkStart w:id="828" w:name="_Caption5894"/>
            <w:bookmarkStart w:id="829" w:name="_Caption0423"/>
            <w:bookmarkStart w:id="830" w:name="_Caption6154"/>
            <w:bookmarkStart w:id="831" w:name="_Caption6920"/>
            <w:bookmarkStart w:id="832" w:name="_Caption3098"/>
            <w:bookmarkStart w:id="833" w:name="_Caption0510"/>
            <w:bookmarkStart w:id="834" w:name="_Caption4515"/>
            <w:bookmarkStart w:id="835" w:name="_Caption2998"/>
            <w:bookmarkStart w:id="836" w:name="_Caption2718"/>
            <w:bookmarkStart w:id="837" w:name="_Caption2750"/>
            <w:bookmarkStart w:id="838" w:name="_Caption8388"/>
            <w:bookmarkStart w:id="839" w:name="_Caption1525"/>
            <w:bookmarkStart w:id="840" w:name="_Caption2384"/>
            <w:bookmarkStart w:id="841" w:name="_Caption9949"/>
            <w:bookmarkStart w:id="842" w:name="_Caption9693"/>
            <w:bookmarkStart w:id="843" w:name="_Caption0592"/>
            <w:bookmarkStart w:id="844" w:name="_Caption3106"/>
            <w:bookmarkStart w:id="845" w:name="_Caption5579"/>
            <w:bookmarkStart w:id="846" w:name="_Caption7015"/>
            <w:bookmarkStart w:id="847" w:name="_Caption7457"/>
            <w:bookmarkStart w:id="848" w:name="_Caption9079"/>
            <w:bookmarkStart w:id="849" w:name="_Caption2085"/>
            <w:bookmarkStart w:id="850" w:name="_Caption8344"/>
            <w:bookmarkStart w:id="851" w:name="_Caption2845"/>
            <w:bookmarkStart w:id="852" w:name="_Caption4240"/>
            <w:bookmarkStart w:id="853" w:name="_Caption8816"/>
            <w:bookmarkStart w:id="854" w:name="_Caption5809"/>
            <w:bookmarkStart w:id="855" w:name="_Caption4743"/>
            <w:bookmarkStart w:id="856" w:name="_Caption3761"/>
            <w:bookmarkStart w:id="857" w:name="_Caption1717"/>
            <w:bookmarkStart w:id="858" w:name="_Caption8385"/>
            <w:bookmarkStart w:id="859" w:name="_Caption6010"/>
            <w:bookmarkStart w:id="860" w:name="_Caption8867"/>
            <w:bookmarkStart w:id="861" w:name="_Caption7547"/>
            <w:bookmarkStart w:id="862" w:name="_Caption2269"/>
            <w:bookmarkStart w:id="863" w:name="_Caption7697"/>
            <w:bookmarkStart w:id="864" w:name="_Caption1526"/>
            <w:bookmarkStart w:id="865" w:name="_Caption3530"/>
            <w:bookmarkStart w:id="866" w:name="_Caption3121"/>
            <w:bookmarkStart w:id="867" w:name="_Caption6801"/>
            <w:bookmarkStart w:id="868" w:name="_Caption1280"/>
            <w:bookmarkStart w:id="869" w:name="_Caption5779"/>
            <w:bookmarkStart w:id="870" w:name="_Caption0004"/>
            <w:bookmarkStart w:id="871" w:name="_Caption2776"/>
            <w:bookmarkStart w:id="872" w:name="_Caption7186"/>
            <w:bookmarkStart w:id="873" w:name="_Caption1502"/>
            <w:bookmarkStart w:id="874" w:name="_Caption8000"/>
            <w:bookmarkStart w:id="875" w:name="_Caption6373"/>
            <w:bookmarkStart w:id="876" w:name="_Caption6843"/>
            <w:bookmarkStart w:id="877" w:name="_Caption3759"/>
            <w:bookmarkStart w:id="878" w:name="_Caption3031"/>
            <w:bookmarkStart w:id="879" w:name="_Caption1982"/>
            <w:bookmarkStart w:id="880" w:name="_Caption2787"/>
            <w:bookmarkStart w:id="881" w:name="_Caption2757"/>
            <w:bookmarkStart w:id="882" w:name="_Caption5133"/>
            <w:bookmarkStart w:id="883" w:name="_Caption4749"/>
            <w:bookmarkStart w:id="884" w:name="_Caption3066"/>
            <w:bookmarkStart w:id="885" w:name="_Caption4689"/>
            <w:bookmarkStart w:id="886" w:name="_Caption0865"/>
            <w:bookmarkStart w:id="887" w:name="_Caption6595"/>
            <w:bookmarkStart w:id="888" w:name="_Caption9289"/>
            <w:bookmarkStart w:id="889" w:name="_Caption2149"/>
            <w:bookmarkStart w:id="890" w:name="_Caption0444"/>
            <w:bookmarkStart w:id="891" w:name="_Caption5244"/>
            <w:bookmarkStart w:id="892" w:name="_Caption3512"/>
            <w:bookmarkStart w:id="893" w:name="_Caption8889"/>
            <w:bookmarkStart w:id="894" w:name="_Caption2303"/>
            <w:bookmarkStart w:id="895" w:name="_Caption6200"/>
            <w:bookmarkStart w:id="896" w:name="_Caption4728"/>
            <w:bookmarkStart w:id="897" w:name="_Caption5507"/>
            <w:bookmarkStart w:id="898" w:name="_Caption0071"/>
            <w:bookmarkStart w:id="899" w:name="_Caption6927"/>
            <w:bookmarkStart w:id="900" w:name="_Caption8597"/>
            <w:bookmarkStart w:id="901" w:name="_Caption4699"/>
            <w:bookmarkStart w:id="902" w:name="_Caption4056"/>
            <w:bookmarkStart w:id="903" w:name="_Caption3883"/>
            <w:bookmarkStart w:id="904" w:name="_Caption3611"/>
            <w:bookmarkStart w:id="905" w:name="_Caption6928"/>
            <w:bookmarkStart w:id="906" w:name="_Caption7100"/>
            <w:bookmarkStart w:id="907" w:name="_Caption7247"/>
            <w:bookmarkStart w:id="908" w:name="_Caption4190"/>
            <w:bookmarkStart w:id="909" w:name="_Caption8140"/>
            <w:bookmarkStart w:id="910" w:name="_Caption9838"/>
            <w:bookmarkStart w:id="911" w:name="_Caption4662"/>
            <w:bookmarkStart w:id="912" w:name="_Caption9436"/>
            <w:bookmarkStart w:id="913" w:name="_Caption3979"/>
            <w:bookmarkStart w:id="914" w:name="_Caption0467"/>
            <w:bookmarkStart w:id="915" w:name="_Caption6112"/>
            <w:bookmarkStart w:id="916" w:name="_Caption9452"/>
            <w:bookmarkStart w:id="917" w:name="_Caption0436"/>
            <w:bookmarkStart w:id="918" w:name="_Caption5219"/>
            <w:bookmarkStart w:id="919" w:name="_Caption1191"/>
            <w:bookmarkStart w:id="920" w:name="_Caption6484"/>
            <w:bookmarkStart w:id="921" w:name="_Caption9029"/>
            <w:bookmarkStart w:id="922" w:name="_Caption3018"/>
            <w:bookmarkStart w:id="923" w:name="_Caption3562"/>
            <w:bookmarkStart w:id="924" w:name="_Caption0921"/>
            <w:bookmarkStart w:id="925" w:name="_Caption2733"/>
            <w:bookmarkStart w:id="926" w:name="_Caption9135"/>
            <w:bookmarkStart w:id="927" w:name="_Caption6732"/>
            <w:bookmarkStart w:id="928" w:name="_Caption2529"/>
            <w:bookmarkStart w:id="929" w:name="_Caption5465"/>
            <w:bookmarkStart w:id="930" w:name="_Caption4959"/>
            <w:bookmarkStart w:id="931" w:name="_Caption0618"/>
            <w:bookmarkStart w:id="932" w:name="_Caption9961"/>
            <w:bookmarkStart w:id="933" w:name="_Caption6738"/>
            <w:bookmarkStart w:id="934" w:name="_Caption1607"/>
            <w:bookmarkStart w:id="935" w:name="_Caption6582"/>
            <w:bookmarkStart w:id="936" w:name="_Caption0980"/>
            <w:bookmarkStart w:id="937" w:name="_Caption0062"/>
            <w:bookmarkStart w:id="938" w:name="_Caption1117"/>
            <w:bookmarkStart w:id="939" w:name="_Caption1777"/>
            <w:bookmarkStart w:id="940" w:name="_Caption3501"/>
            <w:bookmarkStart w:id="941" w:name="_Caption2632"/>
            <w:bookmarkStart w:id="942" w:name="_Caption3296"/>
            <w:bookmarkStart w:id="943" w:name="_Caption4021"/>
            <w:bookmarkStart w:id="944" w:name="_Caption0658"/>
            <w:bookmarkStart w:id="945" w:name="_Caption9403"/>
            <w:bookmarkStart w:id="946" w:name="_Caption8259"/>
            <w:bookmarkStart w:id="947" w:name="_Caption3874"/>
            <w:bookmarkStart w:id="948" w:name="_Caption4909"/>
            <w:bookmarkStart w:id="949" w:name="_Caption6100"/>
            <w:bookmarkStart w:id="950" w:name="_Caption0876"/>
            <w:bookmarkStart w:id="951" w:name="_Toc492549773"/>
            <w:bookmarkStart w:id="952" w:name="_Toc499847045"/>
            <w:bookmarkStart w:id="953" w:name="_Toc507523795"/>
            <w:bookmarkStart w:id="954" w:name="_Toc509220844"/>
            <w:bookmarkStart w:id="955" w:name="_Toc530748397"/>
            <w:r w:rsidR="00EA42ED">
              <w:rPr>
                <w:noProof/>
              </w:rPr>
              <w:t>3.1</w:t>
            </w:r>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r>
              <w:fldChar w:fldCharType="end"/>
            </w:r>
            <w:r>
              <w:tab/>
              <w:t xml:space="preserve">New </w:t>
            </w:r>
            <w:bookmarkEnd w:id="951"/>
            <w:bookmarkEnd w:id="952"/>
            <w:bookmarkEnd w:id="953"/>
            <w:r>
              <w:t>Verification Methods</w:t>
            </w:r>
            <w:bookmarkEnd w:id="954"/>
            <w:bookmarkEnd w:id="955"/>
          </w:p>
        </w:tc>
      </w:tr>
      <w:tr w:rsidR="00612FD3" w:rsidTr="00301B6D">
        <w:trPr>
          <w:cantSplit/>
        </w:trPr>
        <w:tc>
          <w:tcPr>
            <w:tcW w:w="7934" w:type="dxa"/>
            <w:tcBorders>
              <w:top w:val="nil"/>
              <w:left w:val="nil"/>
              <w:bottom w:val="nil"/>
              <w:right w:val="nil"/>
            </w:tcBorders>
            <w:shd w:val="clear" w:color="auto" w:fill="E9E8E5" w:themeFill="background2"/>
            <w:hideMark/>
          </w:tcPr>
          <w:p w:rsidR="00612FD3" w:rsidRDefault="00612FD3" w:rsidP="00612FD3">
            <w:pPr>
              <w:pStyle w:val="Heading4"/>
              <w:numPr>
                <w:ilvl w:val="3"/>
                <w:numId w:val="34"/>
              </w:numPr>
              <w:spacing w:before="240"/>
            </w:pPr>
            <w:r>
              <w:t>Green Star</w:t>
            </w:r>
          </w:p>
          <w:p w:rsidR="00612FD3" w:rsidRDefault="00612FD3" w:rsidP="00301B6D">
            <w:pPr>
              <w:pStyle w:val="BodyText"/>
            </w:pPr>
            <w:r>
              <w:t>Compliance with JP1 is verified where a building simulation report that has been reviewed and approved by the Green Building Council demonstrates that:</w:t>
            </w:r>
          </w:p>
          <w:p w:rsidR="00612FD3" w:rsidRDefault="00612FD3" w:rsidP="00612FD3">
            <w:pPr>
              <w:pStyle w:val="ListBullet"/>
              <w:numPr>
                <w:ilvl w:val="0"/>
                <w:numId w:val="36"/>
              </w:numPr>
            </w:pPr>
            <w:r>
              <w:t>The report is compliant with Green Star requirements for a simulation; and</w:t>
            </w:r>
          </w:p>
          <w:p w:rsidR="00612FD3" w:rsidRDefault="00612FD3" w:rsidP="00612FD3">
            <w:pPr>
              <w:pStyle w:val="ListBullet"/>
              <w:numPr>
                <w:ilvl w:val="0"/>
                <w:numId w:val="36"/>
              </w:numPr>
            </w:pPr>
            <w:r>
              <w:t>The proposed building outperforms the reference building in terms of greenhouse emissions by not less than 10 per cent; and</w:t>
            </w:r>
          </w:p>
          <w:p w:rsidR="00612FD3" w:rsidRDefault="00612FD3" w:rsidP="00612FD3">
            <w:pPr>
              <w:pStyle w:val="ListBullet"/>
              <w:numPr>
                <w:ilvl w:val="0"/>
                <w:numId w:val="36"/>
              </w:numPr>
            </w:pPr>
            <w:r>
              <w:t>The proposed building simulation demonstrates achievement of acceptable thermal comfort better than or equal to that achieved in the reference building where acceptable thermal comfort is defined as a PMV of between -0.5 and +0.5 as defined in ASHRAE 55-2013; and</w:t>
            </w:r>
          </w:p>
          <w:p w:rsidR="00612FD3" w:rsidRDefault="00612FD3" w:rsidP="00612FD3">
            <w:pPr>
              <w:pStyle w:val="ListBullet"/>
              <w:numPr>
                <w:ilvl w:val="0"/>
                <w:numId w:val="36"/>
              </w:numPr>
            </w:pPr>
            <w:r>
              <w:t>Compliance with workmanship and non-simulated items throughout Section J is separately demonstrated.</w:t>
            </w:r>
          </w:p>
          <w:p w:rsidR="00612FD3" w:rsidRDefault="00612FD3" w:rsidP="00612FD3">
            <w:pPr>
              <w:pStyle w:val="Heading4"/>
              <w:numPr>
                <w:ilvl w:val="3"/>
                <w:numId w:val="34"/>
              </w:numPr>
            </w:pPr>
            <w:r>
              <w:t>NABERS</w:t>
            </w:r>
          </w:p>
          <w:p w:rsidR="00612FD3" w:rsidRDefault="00612FD3" w:rsidP="00301B6D">
            <w:pPr>
              <w:pStyle w:val="BodyText"/>
            </w:pPr>
            <w:r>
              <w:t xml:space="preserve">NABERS Compliance with JP1 is verified where a signed NABERS Commitment Agreement to achieve a rating of not less than 5.5 Stars NABERS Energy for Offices base building exists, and: </w:t>
            </w:r>
          </w:p>
          <w:p w:rsidR="00612FD3" w:rsidRDefault="00612FD3" w:rsidP="00612FD3">
            <w:pPr>
              <w:pStyle w:val="ListBullet"/>
              <w:numPr>
                <w:ilvl w:val="0"/>
                <w:numId w:val="36"/>
              </w:numPr>
            </w:pPr>
            <w:r>
              <w:t xml:space="preserve">The NABERS building simulation shows that 95 per cent of the occupied area achieves acceptable thermal comfort for not less than 98 per cent of hours in which the HVAC operates (excluding morning warm-up/cool-down periods) where acceptable thermal comfort is defined as a PMV of between -1 and +1 as defined in ASHRAE 55-2013; and </w:t>
            </w:r>
          </w:p>
          <w:p w:rsidR="00612FD3" w:rsidRDefault="00612FD3" w:rsidP="00612FD3">
            <w:pPr>
              <w:pStyle w:val="ListBullet"/>
              <w:numPr>
                <w:ilvl w:val="0"/>
                <w:numId w:val="36"/>
              </w:numPr>
            </w:pPr>
            <w:r>
              <w:t>Compliance with workmanship and non-simulated items throughout Section J is separately demonstrated; and</w:t>
            </w:r>
          </w:p>
          <w:p w:rsidR="00612FD3" w:rsidRDefault="00612FD3" w:rsidP="00612FD3">
            <w:pPr>
              <w:pStyle w:val="ListBullet"/>
              <w:numPr>
                <w:ilvl w:val="0"/>
                <w:numId w:val="36"/>
              </w:numPr>
            </w:pPr>
            <w:r>
              <w:t>Compliance with J6 is separately demonstrated for all areas of the building where lighting energy consumption is not included within the NABERS Base Building rating energy coverage.</w:t>
            </w:r>
          </w:p>
        </w:tc>
      </w:tr>
      <w:tr w:rsidR="00612FD3" w:rsidTr="00301B6D">
        <w:trPr>
          <w:cantSplit/>
          <w:trHeight w:val="142"/>
        </w:trPr>
        <w:tc>
          <w:tcPr>
            <w:tcW w:w="7934" w:type="dxa"/>
            <w:tcBorders>
              <w:top w:val="nil"/>
              <w:left w:val="nil"/>
              <w:bottom w:val="single" w:sz="6" w:space="0" w:color="9B917E" w:themeColor="accent4"/>
              <w:right w:val="nil"/>
            </w:tcBorders>
            <w:shd w:val="clear" w:color="auto" w:fill="E9E8E5" w:themeFill="background2"/>
          </w:tcPr>
          <w:p w:rsidR="00612FD3" w:rsidRDefault="00612FD3" w:rsidP="00301B6D"/>
        </w:tc>
      </w:tr>
      <w:tr w:rsidR="00612FD3" w:rsidTr="00301B6D">
        <w:trPr>
          <w:cantSplit/>
          <w:trHeight w:val="198"/>
        </w:trPr>
        <w:tc>
          <w:tcPr>
            <w:tcW w:w="7934" w:type="dxa"/>
            <w:tcBorders>
              <w:top w:val="single" w:sz="6" w:space="0" w:color="9B917E" w:themeColor="accent4"/>
              <w:left w:val="nil"/>
              <w:bottom w:val="nil"/>
              <w:right w:val="nil"/>
            </w:tcBorders>
          </w:tcPr>
          <w:p w:rsidR="00612FD3" w:rsidRDefault="00612FD3" w:rsidP="00301B6D"/>
        </w:tc>
      </w:tr>
    </w:tbl>
    <w:p w:rsidR="00612FD3" w:rsidRDefault="00612FD3" w:rsidP="00612FD3">
      <w:pPr>
        <w:pStyle w:val="BodyText"/>
      </w:pPr>
      <w:r>
        <w:t>These new methods reduce duplication in circumstances where a building owner voluntarily chooses to obtain a Green Star or NABERS rating (or is forced to in order to comply with mandatory disclosure requirements). Currently, where a building owner chooses to use JV3 as a method of assessment to demonstrate compliance with the NCC, they must:</w:t>
      </w:r>
    </w:p>
    <w:p w:rsidR="00612FD3" w:rsidRDefault="00612FD3" w:rsidP="00612FD3">
      <w:pPr>
        <w:pStyle w:val="ListBullet"/>
        <w:numPr>
          <w:ilvl w:val="0"/>
          <w:numId w:val="36"/>
        </w:numPr>
      </w:pPr>
      <w:r>
        <w:t xml:space="preserve">demonstrate compliance with the NCC </w:t>
      </w:r>
      <w:r w:rsidRPr="00993862">
        <w:t>through building modelling and a report</w:t>
      </w:r>
      <w:r>
        <w:t>; and</w:t>
      </w:r>
    </w:p>
    <w:p w:rsidR="00612FD3" w:rsidRDefault="00612FD3" w:rsidP="00612FD3">
      <w:pPr>
        <w:pStyle w:val="ListBullet"/>
        <w:numPr>
          <w:ilvl w:val="0"/>
          <w:numId w:val="36"/>
        </w:numPr>
      </w:pPr>
      <w:r>
        <w:t xml:space="preserve">demonstrate compliance with Green Star or NABERS </w:t>
      </w:r>
      <w:r w:rsidRPr="002A281F">
        <w:t>using similar modelling and a report</w:t>
      </w:r>
      <w:r>
        <w:t xml:space="preserve">. </w:t>
      </w:r>
    </w:p>
    <w:p w:rsidR="00612FD3" w:rsidRDefault="00612FD3" w:rsidP="00612FD3">
      <w:pPr>
        <w:pStyle w:val="Heading4"/>
        <w:numPr>
          <w:ilvl w:val="3"/>
          <w:numId w:val="5"/>
        </w:numPr>
      </w:pPr>
      <w:r>
        <w:t>Changes to the DTS provisions</w:t>
      </w:r>
    </w:p>
    <w:p w:rsidR="00612FD3" w:rsidRDefault="00612FD3" w:rsidP="00612FD3">
      <w:pPr>
        <w:pStyle w:val="BodyText"/>
      </w:pPr>
      <w:r>
        <w:t xml:space="preserve">Significant changes to the DTS provisions have also been proposed, such that buildings that use this pathway meet the new Performance Requirements. The specific changes to the DTS provisions are outlined in Appendix </w:t>
      </w:r>
      <w:r>
        <w:fldChar w:fldCharType="begin"/>
      </w:r>
      <w:r>
        <w:instrText xml:space="preserve"> REF _Ref507605380 \n \h </w:instrText>
      </w:r>
      <w:r>
        <w:fldChar w:fldCharType="separate"/>
      </w:r>
      <w:r w:rsidR="006B79B8">
        <w:t>B</w:t>
      </w:r>
      <w:r>
        <w:fldChar w:fldCharType="end"/>
      </w:r>
      <w:r>
        <w:t>. Key changes include:</w:t>
      </w:r>
    </w:p>
    <w:p w:rsidR="00612FD3" w:rsidRDefault="00612FD3" w:rsidP="00612FD3">
      <w:pPr>
        <w:pStyle w:val="ListBullet"/>
        <w:numPr>
          <w:ilvl w:val="0"/>
          <w:numId w:val="36"/>
        </w:numPr>
      </w:pPr>
      <w:r>
        <w:t>changes to the glazing and façade requirements;</w:t>
      </w:r>
    </w:p>
    <w:p w:rsidR="00612FD3" w:rsidRDefault="00612FD3" w:rsidP="00612FD3">
      <w:pPr>
        <w:pStyle w:val="ListBullet"/>
        <w:numPr>
          <w:ilvl w:val="0"/>
          <w:numId w:val="36"/>
        </w:numPr>
      </w:pPr>
      <w:r>
        <w:t>changes to the minimum energy efficiency standards of the building services; and</w:t>
      </w:r>
    </w:p>
    <w:p w:rsidR="00612FD3" w:rsidRPr="00D4174F" w:rsidRDefault="00612FD3" w:rsidP="00612FD3">
      <w:pPr>
        <w:pStyle w:val="ListBullet"/>
        <w:numPr>
          <w:ilvl w:val="0"/>
          <w:numId w:val="36"/>
        </w:numPr>
      </w:pPr>
      <w:r>
        <w:t>changes to the maximum illumination power density for artificial lighting.</w:t>
      </w:r>
    </w:p>
    <w:p w:rsidR="00C860B9" w:rsidRDefault="00C860B9" w:rsidP="00C860B9">
      <w:pPr>
        <w:pStyle w:val="BodyText"/>
      </w:pPr>
      <w:bookmarkStart w:id="956" w:name="_Hlk528657782"/>
      <w:r>
        <w:t xml:space="preserve">The proposed changes will apply to all </w:t>
      </w:r>
      <w:r w:rsidR="00E31EE8">
        <w:t>Climate Zone</w:t>
      </w:r>
      <w:r>
        <w:t>s albeit with variation in specific requirement</w:t>
      </w:r>
      <w:r w:rsidR="00585629">
        <w:t>s</w:t>
      </w:r>
      <w:r>
        <w:t xml:space="preserve"> because exclusion of particular zones was not feasible due to the following reasons:</w:t>
      </w:r>
    </w:p>
    <w:p w:rsidR="00C860B9" w:rsidRDefault="00C860B9" w:rsidP="00C860B9">
      <w:pPr>
        <w:pStyle w:val="ListBullet"/>
      </w:pPr>
      <w:r>
        <w:t>In general stringency updates underlying reference building schedules and performance quantification would be incompatible with existing methods, undermine objectives and lead to confusion in the market.</w:t>
      </w:r>
    </w:p>
    <w:p w:rsidR="00C860B9" w:rsidRDefault="00C860B9" w:rsidP="00C860B9">
      <w:pPr>
        <w:pStyle w:val="ListBullet"/>
      </w:pPr>
      <w:r>
        <w:t>The stringency of</w:t>
      </w:r>
      <w:r w:rsidR="00585629">
        <w:t xml:space="preserve"> the</w:t>
      </w:r>
      <w:r>
        <w:t xml:space="preserve"> DTS services provisions were selected to optimise outcomes and correct over stringency in a number of cases, which suggests poorer design outcomes need to be considered in this context.</w:t>
      </w:r>
    </w:p>
    <w:p w:rsidR="00C860B9" w:rsidRDefault="00C860B9" w:rsidP="000E1652">
      <w:pPr>
        <w:pStyle w:val="ListBullet"/>
      </w:pPr>
      <w:r>
        <w:t>Due to methodology change, there is no flexibility to retain the existing requirements for façade which would require a duplication of provisions and methods which would be complex and unworkable particularly for mixed use buildings. Fundamental changes to façade provisions mean guidance and advisory material require withdrawing or updating.</w:t>
      </w:r>
      <w:bookmarkEnd w:id="956"/>
    </w:p>
    <w:p w:rsidR="00612FD3" w:rsidRDefault="00612FD3" w:rsidP="00612FD3">
      <w:pPr>
        <w:pStyle w:val="Heading3"/>
        <w:numPr>
          <w:ilvl w:val="2"/>
          <w:numId w:val="5"/>
        </w:numPr>
      </w:pPr>
      <w:r>
        <w:t>Option 3: Non</w:t>
      </w:r>
      <w:r>
        <w:noBreakHyphen/>
        <w:t>regulatory option</w:t>
      </w:r>
    </w:p>
    <w:p w:rsidR="00612FD3" w:rsidRDefault="00612FD3" w:rsidP="00612FD3">
      <w:pPr>
        <w:pStyle w:val="BodyText"/>
      </w:pPr>
      <w:r>
        <w:t>COAG Best Practice Guidelines require that a RIS identifies a range of viable options, including, as appropriate, non</w:t>
      </w:r>
      <w:r>
        <w:noBreakHyphen/>
        <w:t>regulatory, self</w:t>
      </w:r>
      <w:r>
        <w:noBreakHyphen/>
        <w:t>regulatory and co</w:t>
      </w:r>
      <w:r>
        <w:noBreakHyphen/>
        <w:t>regulatory options.</w:t>
      </w:r>
      <w:r>
        <w:rPr>
          <w:rStyle w:val="FootnoteReference"/>
        </w:rPr>
        <w:footnoteReference w:id="38"/>
      </w:r>
      <w:r>
        <w:t xml:space="preserve"> In the context of a RIS examining proposed changes to the NCC, it is important to consider alternative options to not only establish that the proposed changes to the NCC deliver a net benefit to the community, but also that changing the NCC is the best approach to achieving the government’s objectives (i.e. the approach that delivers the highest net benefits).</w:t>
      </w:r>
    </w:p>
    <w:p w:rsidR="00612FD3" w:rsidRDefault="00612FD3" w:rsidP="00612FD3">
      <w:pPr>
        <w:pStyle w:val="BodyText"/>
      </w:pPr>
      <w:r>
        <w:t>As noted above, the objectives of Section J of the NCC and the stated objectives of the NEPP are broad and could encompass a wide range of measures, including measures unrelated to commercial buildings. We narrow the focus to alternative measures that improve the energy efficiency of commercial buildings.</w:t>
      </w:r>
    </w:p>
    <w:p w:rsidR="00612FD3" w:rsidRDefault="00612FD3" w:rsidP="00612FD3">
      <w:pPr>
        <w:pStyle w:val="BodyText"/>
      </w:pPr>
      <w:r>
        <w:t>Various studies note that the most efficient policy responses are likely to be those that directly address the relevant market failures. Based on the discussion in chapter 2, the main market failures (and behavioural anomalies) being addressed are:</w:t>
      </w:r>
    </w:p>
    <w:p w:rsidR="00612FD3" w:rsidRDefault="00612FD3" w:rsidP="00612FD3">
      <w:pPr>
        <w:pStyle w:val="ListBullet"/>
        <w:numPr>
          <w:ilvl w:val="0"/>
          <w:numId w:val="36"/>
        </w:numPr>
      </w:pPr>
      <w:r>
        <w:t>externalities associated with greenhouse gas emissions;</w:t>
      </w:r>
    </w:p>
    <w:p w:rsidR="00612FD3" w:rsidRDefault="00612FD3" w:rsidP="00612FD3">
      <w:pPr>
        <w:pStyle w:val="ListBullet"/>
        <w:numPr>
          <w:ilvl w:val="0"/>
          <w:numId w:val="36"/>
        </w:numPr>
      </w:pPr>
      <w:r>
        <w:t>bounded rationality and heuristic decision</w:t>
      </w:r>
      <w:r>
        <w:noBreakHyphen/>
        <w:t>making; and</w:t>
      </w:r>
    </w:p>
    <w:p w:rsidR="00612FD3" w:rsidRDefault="00BB30D0" w:rsidP="00612FD3">
      <w:pPr>
        <w:pStyle w:val="ListBullet"/>
        <w:numPr>
          <w:ilvl w:val="0"/>
          <w:numId w:val="36"/>
        </w:numPr>
      </w:pPr>
      <w:r>
        <w:t>inattention/non-</w:t>
      </w:r>
      <w:r w:rsidR="00612FD3">
        <w:t>salience of energy costs for some businesses.</w:t>
      </w:r>
    </w:p>
    <w:p w:rsidR="00612FD3" w:rsidRDefault="00612FD3" w:rsidP="00612FD3">
      <w:pPr>
        <w:pStyle w:val="BodyText"/>
      </w:pPr>
      <w:r>
        <w:t>It is difficult to directly address greenhouse gas externalities through a policy specifically targeted at commercial buildings. However, an alternative more light</w:t>
      </w:r>
      <w:r>
        <w:noBreakHyphen/>
        <w:t>handed option to encourage improved energy efficiency performance of commercial buildings would focus on providing relevant information to users and managers of commercial buildings. In this direction, two alternative options could be considered:</w:t>
      </w:r>
    </w:p>
    <w:p w:rsidR="00612FD3" w:rsidRDefault="00612FD3" w:rsidP="00612FD3">
      <w:pPr>
        <w:pStyle w:val="ListBullet"/>
        <w:numPr>
          <w:ilvl w:val="0"/>
          <w:numId w:val="36"/>
        </w:numPr>
      </w:pPr>
      <w:r>
        <w:t>expansion of the current Commercial Building Disclosure (CBD) Program; and</w:t>
      </w:r>
    </w:p>
    <w:p w:rsidR="00612FD3" w:rsidRDefault="00612FD3" w:rsidP="00612FD3">
      <w:pPr>
        <w:pStyle w:val="ListBullet"/>
        <w:numPr>
          <w:ilvl w:val="0"/>
          <w:numId w:val="36"/>
        </w:numPr>
      </w:pPr>
      <w:r>
        <w:t>expansion of the energy efficiency rating scheme such as NABERS.</w:t>
      </w:r>
    </w:p>
    <w:p w:rsidR="00612FD3" w:rsidRDefault="00612FD3" w:rsidP="00612FD3">
      <w:pPr>
        <w:pStyle w:val="BodyText"/>
      </w:pPr>
      <w:r>
        <w:t xml:space="preserve">However, these alternative options are being considered separately under Measure 9 of the </w:t>
      </w:r>
      <w:r>
        <w:rPr>
          <w:i/>
        </w:rPr>
        <w:t>National Energy Productivity Plan 2015-2030</w:t>
      </w:r>
      <w:r>
        <w:rPr>
          <w:rStyle w:val="FootnoteReference"/>
        </w:rPr>
        <w:footnoteReference w:id="39"/>
      </w:r>
      <w:r>
        <w:t>. The expansion of CBD is a compulsory government regulation change and thus requires a separate RIS. It should also be noted that there were some reservations from the industry to this option in the past. For example, the Shopping Centre Council of Australia in 2014 raised its concerns over the expansion of CBD to cover shopping centres, citing some impediments including:</w:t>
      </w:r>
      <w:r>
        <w:rPr>
          <w:rStyle w:val="FootnoteReference"/>
        </w:rPr>
        <w:footnoteReference w:id="40"/>
      </w:r>
    </w:p>
    <w:p w:rsidR="00612FD3" w:rsidRDefault="00612FD3" w:rsidP="00612FD3">
      <w:pPr>
        <w:pStyle w:val="ListBullet"/>
        <w:numPr>
          <w:ilvl w:val="0"/>
          <w:numId w:val="36"/>
        </w:numPr>
      </w:pPr>
      <w:r>
        <w:t>the landlord/tenant relationship being a highly regulated business-to-business relationship under State and Territory retail tenancy legislation;</w:t>
      </w:r>
    </w:p>
    <w:p w:rsidR="00612FD3" w:rsidRDefault="00612FD3" w:rsidP="00612FD3">
      <w:pPr>
        <w:pStyle w:val="ListBullet"/>
        <w:numPr>
          <w:ilvl w:val="0"/>
          <w:numId w:val="36"/>
        </w:numPr>
      </w:pPr>
      <w:r>
        <w:t>State and Territory shop trading hours legislation dictating (and limiting) the retail sector’s ability to trade when it wants; and</w:t>
      </w:r>
    </w:p>
    <w:p w:rsidR="00612FD3" w:rsidRDefault="00612FD3" w:rsidP="00612FD3">
      <w:pPr>
        <w:pStyle w:val="ListBullet"/>
        <w:numPr>
          <w:ilvl w:val="0"/>
          <w:numId w:val="36"/>
        </w:numPr>
      </w:pPr>
      <w:r>
        <w:t>not experiencing widespread demand of greater sustainability from tenants, particularly against fundamentals such as centre location/trade area, foot traffic, turnover, tenant mix and occupancy costs.</w:t>
      </w:r>
    </w:p>
    <w:p w:rsidR="00612FD3" w:rsidRDefault="00612FD3" w:rsidP="00612FD3">
      <w:pPr>
        <w:pStyle w:val="BodyText"/>
      </w:pPr>
      <w:r>
        <w:t>On the other hand, expansion of energy efficiency rating schemes such as NABERS is a voluntary measure, and thus more likely embraced by industries. For example, although the Shopping Centre Council opposed CBD, it acknowledged that, ‘reducing operating costs, particularly in relation to energy, water and waste, was still of concern to the sector, with NABERS and Green Star “important platforms and drivers for our members’</w:t>
      </w:r>
      <w:r>
        <w:rPr>
          <w:rStyle w:val="FootnoteReference"/>
        </w:rPr>
        <w:footnoteReference w:id="41"/>
      </w:r>
      <w:r>
        <w:t>.</w:t>
      </w:r>
    </w:p>
    <w:p w:rsidR="00612FD3" w:rsidRDefault="00612FD3" w:rsidP="00612FD3">
      <w:pPr>
        <w:pStyle w:val="BodyText"/>
      </w:pPr>
      <w:r>
        <w:t>As discussed previously, there are currently NABERS tools available for office buildings, shopping centres, hotels and data centres. The rating tools for other building types have yet to be developed if this option is pursued.</w:t>
      </w:r>
    </w:p>
    <w:p w:rsidR="00612FD3" w:rsidRDefault="00612FD3" w:rsidP="00612FD3">
      <w:pPr>
        <w:pStyle w:val="BodyText"/>
      </w:pPr>
      <w:r>
        <w:t>Furthermore, there is a timing issue associated with the expansion of CBD and rating tools. A building has to be in operation for a certain period of time before a rating can be issued. In other words, they are measures to address market failure problems for existing buildings, rather than new buildings. For this reason, the expansion of CBD and rating tools could be used as a complementary measure to the NCC, rather than an alternative option to increasing its stringency.</w:t>
      </w:r>
    </w:p>
    <w:p w:rsidR="00612FD3" w:rsidRDefault="00612FD3" w:rsidP="00612FD3">
      <w:pPr>
        <w:pStyle w:val="BodyText"/>
      </w:pPr>
      <w:r>
        <w:t xml:space="preserve">One viable option that may encourage </w:t>
      </w:r>
      <w:r w:rsidRPr="000E03CB">
        <w:t xml:space="preserve">voluntary </w:t>
      </w:r>
      <w:r>
        <w:t xml:space="preserve">uptake of energy efficiency opportunities would be to turn the work that underpins the proposed changes to the NCC into a voluntary handbook, as opposed to mandating higher energy efficiency </w:t>
      </w:r>
      <w:r w:rsidR="00487211">
        <w:t>requirements</w:t>
      </w:r>
      <w:r w:rsidR="00487211" w:rsidRPr="000E03CB">
        <w:t>.</w:t>
      </w:r>
      <w:r w:rsidR="00487211">
        <w:t xml:space="preserve"> Stakeholders</w:t>
      </w:r>
      <w:r w:rsidR="00290E04">
        <w:t xml:space="preserve"> including NSW building Administration and Master Builders Australia noted the interaction of alternative options, but saw these as </w:t>
      </w:r>
      <w:r w:rsidR="00487211">
        <w:t>contributors</w:t>
      </w:r>
      <w:r w:rsidR="000D7FA0">
        <w:t xml:space="preserve"> to a solution </w:t>
      </w:r>
      <w:r w:rsidR="00290E04">
        <w:t>rather than alternatives in their ow</w:t>
      </w:r>
      <w:r w:rsidR="000D7FA0">
        <w:t>n</w:t>
      </w:r>
      <w:r w:rsidR="00290E04">
        <w:t xml:space="preserve"> right.  </w:t>
      </w:r>
    </w:p>
    <w:p w:rsidR="00612FD3" w:rsidRDefault="00612FD3" w:rsidP="00612FD3">
      <w:pPr>
        <w:pStyle w:val="Heading1"/>
        <w:numPr>
          <w:ilvl w:val="0"/>
          <w:numId w:val="5"/>
        </w:numPr>
      </w:pPr>
      <w:bookmarkStart w:id="957" w:name="_Toc529869837"/>
      <w:bookmarkStart w:id="958" w:name="_Toc530748554"/>
      <w:r>
        <w:t>Approach to the cost-benefit analysis</w:t>
      </w:r>
      <w:bookmarkEnd w:id="957"/>
      <w:bookmarkEnd w:id="958"/>
    </w:p>
    <w:p w:rsidR="00612FD3" w:rsidRDefault="00612FD3" w:rsidP="00612FD3">
      <w:pPr>
        <w:pStyle w:val="BodyText"/>
      </w:pPr>
      <w:r>
        <w:t>The cost-benefit analysis is conducted by first comparing the impacts of proposed changes to the NCC (Option 2) and the alternative voluntary option (Option 3) to the baseline business as usual option. The analysis aimed to identify likely impacts from the options through:</w:t>
      </w:r>
    </w:p>
    <w:p w:rsidR="00612FD3" w:rsidRDefault="00612FD3" w:rsidP="00612FD3">
      <w:pPr>
        <w:pStyle w:val="ListBullet"/>
        <w:numPr>
          <w:ilvl w:val="0"/>
          <w:numId w:val="36"/>
        </w:numPr>
      </w:pPr>
      <w:r>
        <w:t xml:space="preserve">early consultation and formal consultation with stakeholders from industry and government agencies; </w:t>
      </w:r>
    </w:p>
    <w:p w:rsidR="00612FD3" w:rsidRDefault="00612FD3" w:rsidP="00612FD3">
      <w:pPr>
        <w:pStyle w:val="ListBullet"/>
        <w:numPr>
          <w:ilvl w:val="0"/>
          <w:numId w:val="36"/>
        </w:numPr>
      </w:pPr>
      <w:r>
        <w:t xml:space="preserve">reviewing energy modelling results by </w:t>
      </w:r>
      <w:r w:rsidR="003F28DD">
        <w:t>EA</w:t>
      </w:r>
      <w:r>
        <w:t>;</w:t>
      </w:r>
    </w:p>
    <w:p w:rsidR="00612FD3" w:rsidRDefault="00612FD3" w:rsidP="00612FD3">
      <w:pPr>
        <w:pStyle w:val="ListBullet"/>
        <w:numPr>
          <w:ilvl w:val="0"/>
          <w:numId w:val="36"/>
        </w:numPr>
      </w:pPr>
      <w:r>
        <w:t>reviewing relevant data from other sources to assist the analysis; and</w:t>
      </w:r>
    </w:p>
    <w:p w:rsidR="00612FD3" w:rsidRPr="00E12900" w:rsidRDefault="00612FD3" w:rsidP="00612FD3">
      <w:pPr>
        <w:pStyle w:val="ListBullet"/>
        <w:numPr>
          <w:ilvl w:val="0"/>
          <w:numId w:val="36"/>
        </w:numPr>
      </w:pPr>
      <w:r>
        <w:t>conducting an online survey to gather additional information.</w:t>
      </w:r>
    </w:p>
    <w:p w:rsidR="00612FD3" w:rsidRDefault="00612FD3" w:rsidP="00612FD3">
      <w:pPr>
        <w:pStyle w:val="BodyText"/>
      </w:pPr>
      <w:r>
        <w:t xml:space="preserve">These impacts are then quantified in monetary terms, i.e., costs and benefits, and aggregated over </w:t>
      </w:r>
      <w:r w:rsidR="00E31EE8">
        <w:t>Climate Zone</w:t>
      </w:r>
      <w:r>
        <w:t>s, building classes and over time (by applying a discount rate) to estimate the net present value (NPV) and benefit-cost ratios (BCRs).</w:t>
      </w:r>
    </w:p>
    <w:p w:rsidR="00612FD3" w:rsidRDefault="00612FD3" w:rsidP="00612FD3">
      <w:pPr>
        <w:pStyle w:val="Heading2"/>
        <w:numPr>
          <w:ilvl w:val="1"/>
          <w:numId w:val="5"/>
        </w:numPr>
        <w:rPr>
          <w:lang w:val="en-GB"/>
        </w:rPr>
      </w:pPr>
      <w:bookmarkStart w:id="959" w:name="_Toc529869838"/>
      <w:bookmarkStart w:id="960" w:name="_Toc530748555"/>
      <w:r>
        <w:rPr>
          <w:lang w:val="en-GB"/>
        </w:rPr>
        <w:t>General approach to the CBA</w:t>
      </w:r>
      <w:bookmarkEnd w:id="959"/>
      <w:bookmarkEnd w:id="960"/>
    </w:p>
    <w:p w:rsidR="00612FD3" w:rsidRDefault="00612FD3" w:rsidP="00612FD3">
      <w:pPr>
        <w:pStyle w:val="BodyText"/>
        <w:rPr>
          <w:lang w:val="en-GB"/>
        </w:rPr>
      </w:pPr>
      <w:r>
        <w:rPr>
          <w:lang w:val="en-GB"/>
        </w:rPr>
        <w:t>The CBA estimates the costs and benefits of the proposed options against the baseline of maintaining the status quo.</w:t>
      </w:r>
    </w:p>
    <w:p w:rsidR="00612FD3" w:rsidRDefault="00612FD3" w:rsidP="00592C11">
      <w:pPr>
        <w:pStyle w:val="Heading3"/>
      </w:pPr>
      <w:r>
        <w:t>Time period</w:t>
      </w:r>
    </w:p>
    <w:p w:rsidR="00612FD3" w:rsidRDefault="00612FD3" w:rsidP="00612FD3">
      <w:pPr>
        <w:pStyle w:val="BodyText"/>
      </w:pPr>
      <w:r>
        <w:t>RISs typically use a five or ten year time horizon for measuring costs and benefits. However, buildings are typically long</w:t>
      </w:r>
      <w:r>
        <w:noBreakHyphen/>
        <w:t xml:space="preserve">lived assets, with a life of 40 or more years. </w:t>
      </w:r>
      <w:r w:rsidR="003F28DD">
        <w:t>EA</w:t>
      </w:r>
      <w:r>
        <w:t>’s analysis is based on the expected life of the ‘investment’.</w:t>
      </w:r>
    </w:p>
    <w:p w:rsidR="00612FD3" w:rsidRDefault="00612FD3" w:rsidP="00612FD3">
      <w:pPr>
        <w:pStyle w:val="ListBullet"/>
        <w:numPr>
          <w:ilvl w:val="0"/>
          <w:numId w:val="36"/>
        </w:numPr>
      </w:pPr>
      <w:r>
        <w:t>For energy efficiency measures relating to the building’s façade, this could be around 40 years.</w:t>
      </w:r>
    </w:p>
    <w:p w:rsidR="00612FD3" w:rsidRDefault="00612FD3" w:rsidP="00612FD3">
      <w:pPr>
        <w:pStyle w:val="ListBullet"/>
        <w:numPr>
          <w:ilvl w:val="0"/>
          <w:numId w:val="36"/>
        </w:numPr>
      </w:pPr>
      <w:r>
        <w:t>For building services, this is around 25 years.</w:t>
      </w:r>
    </w:p>
    <w:p w:rsidR="00612FD3" w:rsidRDefault="00612FD3" w:rsidP="00612FD3">
      <w:pPr>
        <w:pStyle w:val="BodyText"/>
      </w:pPr>
      <w:r>
        <w:t>This is broadly consistent with the approach used in other energy efficiency</w:t>
      </w:r>
      <w:r w:rsidDel="00555523">
        <w:t xml:space="preserve"> </w:t>
      </w:r>
      <w:r>
        <w:t xml:space="preserve">RISs. </w:t>
      </w:r>
    </w:p>
    <w:p w:rsidR="00612FD3" w:rsidRDefault="00612FD3" w:rsidP="00612FD3">
      <w:pPr>
        <w:pStyle w:val="BodyText"/>
      </w:pPr>
      <w:r>
        <w:t>Following this method, we conduct the analys</w:t>
      </w:r>
      <w:r w:rsidRPr="00402305">
        <w:t>is of costs</w:t>
      </w:r>
      <w:r>
        <w:t xml:space="preserve"> over a ten year period, but includ</w:t>
      </w:r>
      <w:r w:rsidRPr="00402305">
        <w:t xml:space="preserve">e </w:t>
      </w:r>
      <w:r w:rsidRPr="0087162D">
        <w:t>in the benefits t</w:t>
      </w:r>
      <w:r>
        <w:t>he full life of each building/services constructed or installed during that ten year regulatory period.</w:t>
      </w:r>
    </w:p>
    <w:p w:rsidR="00612FD3" w:rsidRDefault="00612FD3" w:rsidP="00612FD3">
      <w:pPr>
        <w:pStyle w:val="Heading3"/>
        <w:numPr>
          <w:ilvl w:val="2"/>
          <w:numId w:val="5"/>
        </w:numPr>
      </w:pPr>
      <w:r>
        <w:t>Discount rate</w:t>
      </w:r>
    </w:p>
    <w:p w:rsidR="00612FD3" w:rsidRPr="00C971D7" w:rsidRDefault="00612FD3" w:rsidP="00612FD3">
      <w:pPr>
        <w:pStyle w:val="BodyText"/>
      </w:pPr>
      <w:r>
        <w:t>The nature of investments in energy efficiency (i.e. generally an upfront cost in exchange for a stream of future benefits) and the long timeframes involved mean that energy efficiency CBAs can be particularly sensitive to the discount rate.</w:t>
      </w:r>
    </w:p>
    <w:p w:rsidR="00612FD3" w:rsidRDefault="00612FD3" w:rsidP="00612FD3">
      <w:pPr>
        <w:pStyle w:val="BodyText"/>
      </w:pPr>
      <w:r>
        <w:t xml:space="preserve">The Commonwealth Office of Best Practice Regulation (OBPR) typically requires a real discount rate of 7 per cent to be used in a RIS (this is consistent with </w:t>
      </w:r>
      <w:r w:rsidR="003F28DD">
        <w:t>EA</w:t>
      </w:r>
      <w:r>
        <w:t xml:space="preserve">’s analysis), with sensitivity analysis using 3 per cent and 10 per cent. This is intended to reflect the social discount rate. </w:t>
      </w:r>
    </w:p>
    <w:p w:rsidR="00612FD3" w:rsidRDefault="00612FD3" w:rsidP="00612FD3">
      <w:pPr>
        <w:pStyle w:val="BodyText"/>
      </w:pPr>
      <w:r>
        <w:t>However, there is potentially a case for deviating from the OBPR’s preferred 7 per cent in this context. As for analysis conducted over periods longer than 30 years, OBPR suggests using lower discount rates. In particular, for analyses over 31</w:t>
      </w:r>
      <w:r>
        <w:noBreakHyphen/>
        <w:t>75 years, OBPR recommends using a discount rate of 5.4 per cent.</w:t>
      </w:r>
      <w:r>
        <w:rPr>
          <w:rStyle w:val="FootnoteReference"/>
        </w:rPr>
        <w:footnoteReference w:id="42"/>
      </w:r>
    </w:p>
    <w:p w:rsidR="00612FD3" w:rsidRDefault="00612FD3" w:rsidP="00612FD3">
      <w:pPr>
        <w:pStyle w:val="BodyText"/>
      </w:pPr>
      <w:r>
        <w:t>Alternatively, as some (but not all) of the costs and benefits arising from increases in energy efficiency requirements are private (i.e. in some cases the building owner that invests in greater energy efficiency receives the benefits from future bill savings), it may be more appropriate to use estimates of the private opportunity cost of capital as the appropriate discount rate. That is, to make the claim that the proposed changes to the NCC will deliver private net benefits as well as benefits to the environment, the discount rate should reflect the private opportunity cost of capital.</w:t>
      </w:r>
    </w:p>
    <w:p w:rsidR="00612FD3" w:rsidRPr="00365776" w:rsidRDefault="00612FD3" w:rsidP="00612FD3">
      <w:pPr>
        <w:pStyle w:val="BodyText"/>
      </w:pPr>
      <w:r w:rsidRPr="00365776">
        <w:t>As noted by the Productivity Commission</w:t>
      </w:r>
      <w:r>
        <w:t xml:space="preserve"> (2005)</w:t>
      </w:r>
      <w:r w:rsidRPr="00365776">
        <w:t xml:space="preserve">, </w:t>
      </w:r>
      <w:r>
        <w:t>one view is that</w:t>
      </w:r>
      <w:r w:rsidRPr="00365776">
        <w:t xml:space="preserve"> regulation impact assessments evaluate private cost effectiveness for the ‘average individual’, and their cost of capital — the average private opportunity cost of capital (OCC) across all members of society — will equal the social OCC.</w:t>
      </w:r>
    </w:p>
    <w:p w:rsidR="00612FD3" w:rsidRPr="00365776" w:rsidRDefault="00612FD3" w:rsidP="00612FD3">
      <w:pPr>
        <w:pStyle w:val="BodyText"/>
      </w:pPr>
      <w:r w:rsidRPr="00365776">
        <w:t>However, the Productivity Commission</w:t>
      </w:r>
      <w:r>
        <w:t xml:space="preserve"> (2005)</w:t>
      </w:r>
      <w:r w:rsidRPr="00365776">
        <w:t xml:space="preserve"> argues that the average private OCC could be much higher than the estimated social discount rates normally used in regulation impact assessments. Furthermore, the average private OCC (even if accurately measured) would not be sufficient to reflect the rate for all individuals above the average (and be higher than that of all those below the average rate), given the diverse circumstances of the businesses.</w:t>
      </w:r>
    </w:p>
    <w:p w:rsidR="00612FD3" w:rsidRPr="00365776" w:rsidRDefault="00612FD3" w:rsidP="00612FD3">
      <w:pPr>
        <w:pStyle w:val="BodyText"/>
      </w:pPr>
      <w:r w:rsidRPr="00365776">
        <w:t>In this regard, the US Department of Energy uses estimates of the commercial discount rate to discount future energy savings when assessing the impact of changes to appliance and equipment standards.</w:t>
      </w:r>
      <w:r w:rsidRPr="00365776">
        <w:rPr>
          <w:rStyle w:val="FootnoteReference"/>
        </w:rPr>
        <w:footnoteReference w:id="43"/>
      </w:r>
      <w:r w:rsidRPr="00365776">
        <w:t xml:space="preserve"> This is based on estimates</w:t>
      </w:r>
      <w:r>
        <w:t xml:space="preserve"> of</w:t>
      </w:r>
      <w:r w:rsidRPr="00365776">
        <w:t xml:space="preserve"> the weighted average cost of capital (WACC) for the relevant companies using the Capital Asset Pricing Model. However, the Productivity Commission</w:t>
      </w:r>
      <w:r>
        <w:t xml:space="preserve"> (2005)</w:t>
      </w:r>
      <w:r w:rsidRPr="00365776">
        <w:t xml:space="preserve"> notes that without a detailed and statistically representative national survey, such an approach may not be practical for Australia.</w:t>
      </w:r>
    </w:p>
    <w:p w:rsidR="00612FD3" w:rsidRDefault="00612FD3" w:rsidP="00612FD3">
      <w:pPr>
        <w:pStyle w:val="BodyText"/>
        <w:rPr>
          <w:lang w:val="en-GB"/>
        </w:rPr>
      </w:pPr>
      <w:r w:rsidRPr="00FA64AC">
        <w:t>In general, market interest rates are significant</w:t>
      </w:r>
      <w:r>
        <w:t>ly</w:t>
      </w:r>
      <w:r w:rsidRPr="00FA64AC">
        <w:t xml:space="preserve"> lower than in 2005 when the Productivity Commission completed its Inquiry, while OBPR’s preferred discount rate has not changed. The private </w:t>
      </w:r>
      <w:r>
        <w:t>WACC for the relevant companies</w:t>
      </w:r>
      <w:r w:rsidRPr="00FA64AC">
        <w:t xml:space="preserve"> may therefore be now closer to OBPR’s preferred discount rate. The US Department of Energy estimates are in the 6</w:t>
      </w:r>
      <w:r w:rsidRPr="00FA64AC">
        <w:rPr>
          <w:lang w:val="en-GB"/>
        </w:rPr>
        <w:noBreakHyphen/>
        <w:t xml:space="preserve">8 per cent range. These factors, together with the lack of available data for Australia weaken the case for deviating from </w:t>
      </w:r>
      <w:r>
        <w:rPr>
          <w:lang w:val="en-GB"/>
        </w:rPr>
        <w:t xml:space="preserve">the </w:t>
      </w:r>
      <w:r w:rsidRPr="00FA64AC">
        <w:rPr>
          <w:lang w:val="en-GB"/>
        </w:rPr>
        <w:t>OBPR’s preferred discount rate. We therefore use 7 per cent as the central case discount rate, with 3 per cent and 10 per cent the alternatives for sensitivity testing.</w:t>
      </w:r>
    </w:p>
    <w:p w:rsidR="00612FD3" w:rsidRDefault="00612FD3" w:rsidP="00612FD3">
      <w:pPr>
        <w:pStyle w:val="Heading2"/>
        <w:numPr>
          <w:ilvl w:val="1"/>
          <w:numId w:val="5"/>
        </w:numPr>
      </w:pPr>
      <w:bookmarkStart w:id="961" w:name="_Toc529869839"/>
      <w:bookmarkStart w:id="962" w:name="_Toc530748556"/>
      <w:r>
        <w:t>Establishing a baseline</w:t>
      </w:r>
      <w:bookmarkEnd w:id="961"/>
      <w:bookmarkEnd w:id="962"/>
    </w:p>
    <w:p w:rsidR="00612FD3" w:rsidRDefault="00612FD3" w:rsidP="00612FD3">
      <w:pPr>
        <w:pStyle w:val="BodyText"/>
      </w:pPr>
      <w:r>
        <w:t>As outlined above, the status quo will be used as a baseline. That implies the existing NCC minimum energy efficiency requirements would remain in place.</w:t>
      </w:r>
    </w:p>
    <w:p w:rsidR="00612FD3" w:rsidRDefault="00612FD3" w:rsidP="00612FD3">
      <w:pPr>
        <w:pStyle w:val="Heading3"/>
        <w:numPr>
          <w:ilvl w:val="2"/>
          <w:numId w:val="5"/>
        </w:numPr>
      </w:pPr>
      <w:r>
        <w:t>Energy efficiency under baseline</w:t>
      </w:r>
    </w:p>
    <w:p w:rsidR="00612FD3" w:rsidRDefault="00612FD3" w:rsidP="00612FD3">
      <w:pPr>
        <w:pStyle w:val="BodyText"/>
      </w:pPr>
      <w:r>
        <w:t>Data on the extent to which buildings are currently choosing to meet or to exceed the minimum NCC standards is limited. One source of information is the NABERS database. This covers:</w:t>
      </w:r>
    </w:p>
    <w:p w:rsidR="00612FD3" w:rsidRDefault="00612FD3" w:rsidP="00612FD3">
      <w:pPr>
        <w:pStyle w:val="ListBullet"/>
        <w:numPr>
          <w:ilvl w:val="0"/>
          <w:numId w:val="36"/>
        </w:numPr>
      </w:pPr>
      <w:r>
        <w:t>most larger office buildings</w:t>
      </w:r>
    </w:p>
    <w:p w:rsidR="00612FD3" w:rsidRDefault="00612FD3" w:rsidP="00612FD3">
      <w:pPr>
        <w:pStyle w:val="ListBullet"/>
        <w:numPr>
          <w:ilvl w:val="0"/>
          <w:numId w:val="36"/>
        </w:numPr>
      </w:pPr>
      <w:r>
        <w:t>around 50 per cent of shopping centres</w:t>
      </w:r>
      <w:r w:rsidR="00301B6D">
        <w:t xml:space="preserve">, </w:t>
      </w:r>
      <w:r>
        <w:t>and</w:t>
      </w:r>
    </w:p>
    <w:p w:rsidR="00612FD3" w:rsidRDefault="00612FD3" w:rsidP="00612FD3">
      <w:pPr>
        <w:pStyle w:val="ListBullet"/>
        <w:numPr>
          <w:ilvl w:val="0"/>
          <w:numId w:val="36"/>
        </w:numPr>
      </w:pPr>
      <w:r>
        <w:t>a limited number of hotels.</w:t>
      </w:r>
    </w:p>
    <w:p w:rsidR="00612FD3" w:rsidRDefault="00612FD3" w:rsidP="00612FD3">
      <w:pPr>
        <w:pStyle w:val="BodyText"/>
      </w:pPr>
      <w:r>
        <w:t>Chart</w:t>
      </w:r>
      <w:r w:rsidR="00374706">
        <w:t xml:space="preserve"> </w:t>
      </w:r>
      <w:r w:rsidR="00374706">
        <w:fldChar w:fldCharType="begin"/>
      </w:r>
      <w:r w:rsidR="00374706">
        <w:instrText xml:space="preserve"> REF _Caption3985 \h </w:instrText>
      </w:r>
      <w:r w:rsidR="00374706">
        <w:fldChar w:fldCharType="separate"/>
      </w:r>
      <w:r w:rsidR="006B79B8" w:rsidRPr="007502CF">
        <w:rPr>
          <w:noProof/>
        </w:rPr>
        <w:t>4.1</w:t>
      </w:r>
      <w:r w:rsidR="00374706">
        <w:fldChar w:fldCharType="end"/>
      </w:r>
      <w:r>
        <w:t xml:space="preserve"> shows the distribution of office buildings by NABERS rating for 2012, 2015 and 2017. It should be noted that due to the limitation in the dataset, the distributions are for all existing buildings and not necessarily the new buildings. In other words, the distribution for new office buildings is most likely towards better performance.</w:t>
      </w:r>
    </w:p>
    <w:p w:rsidR="00612FD3" w:rsidRPr="007502CF" w:rsidRDefault="00612FD3" w:rsidP="00612FD3">
      <w:pPr>
        <w:pStyle w:val="Caption"/>
        <w:numPr>
          <w:ilvl w:val="0"/>
          <w:numId w:val="7"/>
        </w:numPr>
      </w:pPr>
      <w:r w:rsidRPr="007502CF">
        <w:fldChar w:fldCharType="begin"/>
      </w:r>
      <w:r w:rsidRPr="007502CF">
        <w:instrText xml:space="preserve"> IF 1 = 1 "</w:instrText>
      </w:r>
      <w:r w:rsidRPr="007502CF">
        <w:fldChar w:fldCharType="begin"/>
      </w:r>
      <w:r w:rsidRPr="007502CF">
        <w:instrText xml:space="preserve"> IF </w:instrText>
      </w:r>
      <w:r w:rsidRPr="007502CF">
        <w:rPr>
          <w:noProof/>
        </w:rPr>
        <w:fldChar w:fldCharType="begin"/>
      </w:r>
      <w:r w:rsidRPr="007502CF">
        <w:rPr>
          <w:noProof/>
        </w:rPr>
        <w:instrText xml:space="preserve"> STYLEREF "Heading 6" \l \n </w:instrText>
      </w:r>
      <w:r w:rsidRPr="007502CF">
        <w:rPr>
          <w:noProof/>
        </w:rPr>
        <w:fldChar w:fldCharType="separate"/>
      </w:r>
      <w:r w:rsidR="00B833F1">
        <w:rPr>
          <w:noProof/>
        </w:rPr>
        <w:instrText>0</w:instrText>
      </w:r>
      <w:r w:rsidRPr="007502CF">
        <w:rPr>
          <w:noProof/>
        </w:rPr>
        <w:fldChar w:fldCharType="end"/>
      </w:r>
      <w:r w:rsidRPr="007502CF">
        <w:instrText xml:space="preserve"> = 0 "</w:instrText>
      </w:r>
      <w:r w:rsidRPr="007502CF">
        <w:fldChar w:fldCharType="begin"/>
      </w:r>
      <w:r w:rsidRPr="007502CF">
        <w:instrText xml:space="preserve"> IF </w:instrText>
      </w:r>
      <w:r w:rsidRPr="007502CF">
        <w:rPr>
          <w:noProof/>
        </w:rPr>
        <w:fldChar w:fldCharType="begin"/>
      </w:r>
      <w:r w:rsidRPr="007502CF">
        <w:rPr>
          <w:noProof/>
        </w:rPr>
        <w:instrText xml:space="preserve"> STYLEREF "Heading 1" \l \n </w:instrText>
      </w:r>
      <w:r w:rsidRPr="007502CF">
        <w:rPr>
          <w:noProof/>
        </w:rPr>
        <w:fldChar w:fldCharType="separate"/>
      </w:r>
      <w:r w:rsidR="00B833F1">
        <w:rPr>
          <w:noProof/>
        </w:rPr>
        <w:instrText>4</w:instrText>
      </w:r>
      <w:r w:rsidRPr="007502CF">
        <w:rPr>
          <w:noProof/>
        </w:rPr>
        <w:fldChar w:fldCharType="end"/>
      </w:r>
      <w:r w:rsidRPr="007502CF">
        <w:instrText xml:space="preserve"> = 0 "" "</w:instrText>
      </w:r>
      <w:r w:rsidRPr="007502CF">
        <w:rPr>
          <w:noProof/>
        </w:rPr>
        <w:fldChar w:fldCharType="begin"/>
      </w:r>
      <w:r w:rsidRPr="007502CF">
        <w:rPr>
          <w:noProof/>
        </w:rPr>
        <w:instrText xml:space="preserve"> STYLEREF "Heading 1" \l \n </w:instrText>
      </w:r>
      <w:r w:rsidRPr="007502CF">
        <w:rPr>
          <w:noProof/>
        </w:rPr>
        <w:fldChar w:fldCharType="separate"/>
      </w:r>
      <w:r w:rsidR="00B833F1">
        <w:rPr>
          <w:noProof/>
        </w:rPr>
        <w:instrText>4</w:instrText>
      </w:r>
      <w:r w:rsidRPr="007502CF">
        <w:rPr>
          <w:noProof/>
        </w:rPr>
        <w:fldChar w:fldCharType="end"/>
      </w:r>
      <w:r w:rsidRPr="007502CF">
        <w:instrText xml:space="preserve">." </w:instrText>
      </w:r>
      <w:r w:rsidRPr="007502CF">
        <w:fldChar w:fldCharType="separate"/>
      </w:r>
      <w:r w:rsidR="00B833F1">
        <w:rPr>
          <w:noProof/>
        </w:rPr>
        <w:instrText>4</w:instrText>
      </w:r>
      <w:r w:rsidR="00B833F1" w:rsidRPr="007502CF">
        <w:rPr>
          <w:noProof/>
        </w:rPr>
        <w:instrText>.</w:instrText>
      </w:r>
      <w:r w:rsidRPr="007502CF">
        <w:fldChar w:fldCharType="end"/>
      </w:r>
      <w:r w:rsidRPr="007502CF">
        <w:instrText>" "</w:instrText>
      </w:r>
      <w:r w:rsidRPr="007502CF">
        <w:rPr>
          <w:noProof/>
        </w:rPr>
        <w:fldChar w:fldCharType="begin"/>
      </w:r>
      <w:r w:rsidRPr="007502CF">
        <w:rPr>
          <w:noProof/>
        </w:rPr>
        <w:instrText xml:space="preserve"> STYLEREF "Heading 6" \l \n </w:instrText>
      </w:r>
      <w:r w:rsidRPr="007502CF">
        <w:rPr>
          <w:noProof/>
        </w:rPr>
        <w:fldChar w:fldCharType="separate"/>
      </w:r>
      <w:r w:rsidRPr="007502CF">
        <w:rPr>
          <w:noProof/>
        </w:rPr>
        <w:instrText>A</w:instrText>
      </w:r>
      <w:r w:rsidRPr="007502CF">
        <w:rPr>
          <w:noProof/>
        </w:rPr>
        <w:fldChar w:fldCharType="end"/>
      </w:r>
      <w:r w:rsidRPr="007502CF">
        <w:instrText xml:space="preserve">." </w:instrText>
      </w:r>
      <w:r w:rsidRPr="007502CF">
        <w:fldChar w:fldCharType="separate"/>
      </w:r>
      <w:r w:rsidR="00EA42ED">
        <w:rPr>
          <w:noProof/>
        </w:rPr>
        <w:instrText>4</w:instrText>
      </w:r>
      <w:r w:rsidR="00EA42ED" w:rsidRPr="007502CF">
        <w:rPr>
          <w:noProof/>
        </w:rPr>
        <w:instrText>.</w:instrText>
      </w:r>
      <w:r w:rsidRPr="007502CF">
        <w:fldChar w:fldCharType="end"/>
      </w:r>
      <w:r w:rsidRPr="007502CF">
        <w:fldChar w:fldCharType="begin"/>
      </w:r>
      <w:r w:rsidRPr="007502CF">
        <w:instrText xml:space="preserve"> SEQ Item \* ARABIC \s </w:instrText>
      </w:r>
      <w:r w:rsidRPr="007502CF">
        <w:fldChar w:fldCharType="begin"/>
      </w:r>
      <w:r w:rsidRPr="007502CF">
        <w:instrText xml:space="preserve"> IF </w:instrText>
      </w:r>
      <w:r w:rsidRPr="007502CF">
        <w:rPr>
          <w:noProof/>
        </w:rPr>
        <w:fldChar w:fldCharType="begin"/>
      </w:r>
      <w:r w:rsidRPr="007502CF">
        <w:rPr>
          <w:noProof/>
        </w:rPr>
        <w:instrText xml:space="preserve"> STYLEREF "Heading 6" \l \n </w:instrText>
      </w:r>
      <w:r w:rsidRPr="007502CF">
        <w:rPr>
          <w:noProof/>
        </w:rPr>
        <w:fldChar w:fldCharType="separate"/>
      </w:r>
      <w:r w:rsidR="00B833F1">
        <w:rPr>
          <w:noProof/>
        </w:rPr>
        <w:instrText>0</w:instrText>
      </w:r>
      <w:r w:rsidRPr="007502CF">
        <w:rPr>
          <w:noProof/>
        </w:rPr>
        <w:fldChar w:fldCharType="end"/>
      </w:r>
      <w:r w:rsidRPr="007502CF">
        <w:instrText xml:space="preserve"> = 0 "</w:instrText>
      </w:r>
      <w:r w:rsidRPr="007502CF">
        <w:fldChar w:fldCharType="begin"/>
      </w:r>
      <w:r w:rsidRPr="007502CF">
        <w:instrText xml:space="preserve"> IF </w:instrText>
      </w:r>
      <w:r w:rsidRPr="007502CF">
        <w:rPr>
          <w:noProof/>
        </w:rPr>
        <w:fldChar w:fldCharType="begin"/>
      </w:r>
      <w:r w:rsidRPr="007502CF">
        <w:rPr>
          <w:noProof/>
        </w:rPr>
        <w:instrText xml:space="preserve"> STYLEREF "Heading 1" \l \n </w:instrText>
      </w:r>
      <w:r w:rsidRPr="007502CF">
        <w:rPr>
          <w:noProof/>
        </w:rPr>
        <w:fldChar w:fldCharType="separate"/>
      </w:r>
      <w:r w:rsidR="00B833F1">
        <w:rPr>
          <w:noProof/>
        </w:rPr>
        <w:instrText>4</w:instrText>
      </w:r>
      <w:r w:rsidRPr="007502CF">
        <w:rPr>
          <w:noProof/>
        </w:rPr>
        <w:fldChar w:fldCharType="end"/>
      </w:r>
      <w:r w:rsidRPr="007502CF">
        <w:instrText xml:space="preserve"> = 0 "" "1" </w:instrText>
      </w:r>
      <w:r w:rsidRPr="007502CF">
        <w:fldChar w:fldCharType="separate"/>
      </w:r>
      <w:r w:rsidR="00EA42ED" w:rsidRPr="007502CF">
        <w:rPr>
          <w:noProof/>
        </w:rPr>
        <w:instrText>1</w:instrText>
      </w:r>
      <w:r w:rsidRPr="007502CF">
        <w:fldChar w:fldCharType="end"/>
      </w:r>
      <w:r w:rsidRPr="007502CF">
        <w:instrText xml:space="preserve">" "6" </w:instrText>
      </w:r>
      <w:r w:rsidRPr="007502CF">
        <w:fldChar w:fldCharType="separate"/>
      </w:r>
      <w:r w:rsidR="00EA42ED" w:rsidRPr="007502CF">
        <w:rPr>
          <w:noProof/>
        </w:rPr>
        <w:instrText>1</w:instrText>
      </w:r>
      <w:r w:rsidRPr="007502CF">
        <w:fldChar w:fldCharType="end"/>
      </w:r>
      <w:r w:rsidRPr="007502CF">
        <w:instrText xml:space="preserve"> </w:instrText>
      </w:r>
      <w:r w:rsidRPr="007502CF">
        <w:fldChar w:fldCharType="separate"/>
      </w:r>
      <w:r w:rsidR="00B833F1">
        <w:rPr>
          <w:noProof/>
        </w:rPr>
        <w:instrText>1</w:instrText>
      </w:r>
      <w:r w:rsidRPr="007502CF">
        <w:fldChar w:fldCharType="end"/>
      </w:r>
      <w:r w:rsidRPr="007502CF">
        <w:instrText xml:space="preserve">" "" </w:instrText>
      </w:r>
      <w:r w:rsidRPr="007502CF">
        <w:fldChar w:fldCharType="separate"/>
      </w:r>
      <w:bookmarkStart w:id="963" w:name="_Caption6347"/>
      <w:bookmarkStart w:id="964" w:name="_Caption5841"/>
      <w:bookmarkStart w:id="965" w:name="_Caption6074"/>
      <w:bookmarkStart w:id="966" w:name="_Caption2743"/>
      <w:bookmarkStart w:id="967" w:name="_Caption5116"/>
      <w:bookmarkStart w:id="968" w:name="_Caption5681"/>
      <w:bookmarkStart w:id="969" w:name="_Caption2662"/>
      <w:bookmarkStart w:id="970" w:name="_Caption0835"/>
      <w:bookmarkStart w:id="971" w:name="_Caption3985"/>
      <w:bookmarkStart w:id="972" w:name="_Caption4069"/>
      <w:bookmarkStart w:id="973" w:name="_Caption4153"/>
      <w:bookmarkStart w:id="974" w:name="_Caption4074"/>
      <w:bookmarkStart w:id="975" w:name="_Caption1971"/>
      <w:bookmarkStart w:id="976" w:name="_Caption1809"/>
      <w:bookmarkStart w:id="977" w:name="_Caption5361"/>
      <w:bookmarkStart w:id="978" w:name="_Caption6993"/>
      <w:bookmarkStart w:id="979" w:name="_Caption3701"/>
      <w:bookmarkStart w:id="980" w:name="_Caption5456"/>
      <w:bookmarkStart w:id="981" w:name="_Caption3545"/>
      <w:bookmarkStart w:id="982" w:name="_Caption0035"/>
      <w:bookmarkStart w:id="983" w:name="_Caption5860"/>
      <w:bookmarkStart w:id="984" w:name="_Caption5599"/>
      <w:bookmarkStart w:id="985" w:name="_Caption6303"/>
      <w:bookmarkStart w:id="986" w:name="_Caption5780"/>
      <w:bookmarkStart w:id="987" w:name="_Caption3267"/>
      <w:bookmarkStart w:id="988" w:name="_Caption9984"/>
      <w:bookmarkStart w:id="989" w:name="_Caption1393"/>
      <w:bookmarkStart w:id="990" w:name="_Caption2968"/>
      <w:bookmarkStart w:id="991" w:name="_Caption5418"/>
      <w:bookmarkStart w:id="992" w:name="_Caption7993"/>
      <w:bookmarkStart w:id="993" w:name="_Caption4554"/>
      <w:bookmarkStart w:id="994" w:name="_Caption2433"/>
      <w:bookmarkStart w:id="995" w:name="_Caption7854"/>
      <w:bookmarkStart w:id="996" w:name="_Caption9747"/>
      <w:bookmarkStart w:id="997" w:name="_Caption9727"/>
      <w:bookmarkStart w:id="998" w:name="_Caption7775"/>
      <w:bookmarkStart w:id="999" w:name="_Caption5215"/>
      <w:bookmarkStart w:id="1000" w:name="_Caption0710"/>
      <w:bookmarkStart w:id="1001" w:name="_Caption7876"/>
      <w:bookmarkStart w:id="1002" w:name="_Caption3695"/>
      <w:bookmarkStart w:id="1003" w:name="_Caption5757"/>
      <w:bookmarkStart w:id="1004" w:name="_Caption5366"/>
      <w:bookmarkStart w:id="1005" w:name="_Caption3363"/>
      <w:bookmarkStart w:id="1006" w:name="_Caption2345"/>
      <w:bookmarkStart w:id="1007" w:name="_Caption4703"/>
      <w:bookmarkStart w:id="1008" w:name="_Caption0701"/>
      <w:bookmarkStart w:id="1009" w:name="_Caption3147"/>
      <w:bookmarkStart w:id="1010" w:name="_Caption0086"/>
      <w:bookmarkStart w:id="1011" w:name="_Caption8602"/>
      <w:bookmarkStart w:id="1012" w:name="_Caption3973"/>
      <w:bookmarkStart w:id="1013" w:name="_Caption7227"/>
      <w:bookmarkStart w:id="1014" w:name="_Caption2493"/>
      <w:bookmarkStart w:id="1015" w:name="_Caption7893"/>
      <w:bookmarkStart w:id="1016" w:name="_Caption5002"/>
      <w:bookmarkStart w:id="1017" w:name="_Caption6734"/>
      <w:bookmarkStart w:id="1018" w:name="_Caption8321"/>
      <w:bookmarkStart w:id="1019" w:name="_Caption4665"/>
      <w:bookmarkStart w:id="1020" w:name="_Caption6773"/>
      <w:bookmarkStart w:id="1021" w:name="_Caption0655"/>
      <w:bookmarkStart w:id="1022" w:name="_Caption8438"/>
      <w:bookmarkStart w:id="1023" w:name="_Caption2814"/>
      <w:bookmarkStart w:id="1024" w:name="_Caption7937"/>
      <w:bookmarkStart w:id="1025" w:name="_Caption1386"/>
      <w:bookmarkStart w:id="1026" w:name="_Caption3395"/>
      <w:bookmarkStart w:id="1027" w:name="_Caption9348"/>
      <w:bookmarkStart w:id="1028" w:name="_Caption5546"/>
      <w:bookmarkStart w:id="1029" w:name="_Caption2239"/>
      <w:bookmarkStart w:id="1030" w:name="_Toc529869902"/>
      <w:bookmarkStart w:id="1031" w:name="_Toc530748398"/>
      <w:r w:rsidR="00EA42ED">
        <w:rPr>
          <w:noProof/>
        </w:rPr>
        <w:t>4</w:t>
      </w:r>
      <w:r w:rsidR="00EA42ED" w:rsidRPr="007502CF">
        <w:rPr>
          <w:noProof/>
        </w:rPr>
        <w:t>.</w:t>
      </w:r>
      <w:r w:rsidR="00EA42ED">
        <w:rPr>
          <w:noProof/>
        </w:rPr>
        <w:t>1</w:t>
      </w:r>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r w:rsidRPr="007502CF">
        <w:fldChar w:fldCharType="end"/>
      </w:r>
      <w:r w:rsidRPr="007502CF">
        <w:tab/>
      </w:r>
      <w:r w:rsidR="00374706" w:rsidRPr="007502CF">
        <w:t>Distribution of office building by NABERS rating</w:t>
      </w:r>
      <w:bookmarkEnd w:id="1030"/>
      <w:bookmarkEnd w:id="1031"/>
    </w:p>
    <w:p w:rsidR="00612FD3" w:rsidRPr="00A97BEC" w:rsidRDefault="00612FD3" w:rsidP="00612FD3">
      <w:pPr>
        <w:pStyle w:val="Note"/>
      </w:pPr>
      <w:r w:rsidRPr="00976DAD">
        <w:rPr>
          <w:noProof/>
          <w:lang w:eastAsia="en-AU"/>
        </w:rPr>
        <w:drawing>
          <wp:inline distT="0" distB="0" distL="0" distR="0" wp14:anchorId="6B762412" wp14:editId="2E52B8BB">
            <wp:extent cx="5039995" cy="2364105"/>
            <wp:effectExtent l="0" t="0" r="8255" b="0"/>
            <wp:docPr id="44" name="Picture 44" descr="Chart 5.1 shows the distribution of office buildings by NABERS rating for 2012 (red line), 2015 (grey line) and 2017 (light blue line). It shows that office buildings have kept improving in terms of NABERS rating – the average rating was 3.3 stars in 2012, 4.0 stars in 2015, and it is now 4.2 stars on average. " title="Distribution of office buildings by NABERS r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7">
                      <a:extLst>
                        <a:ext uri="{28A0092B-C50C-407E-A947-70E740481C1C}">
                          <a14:useLocalDpi xmlns:a14="http://schemas.microsoft.com/office/drawing/2010/main" val="0"/>
                        </a:ext>
                      </a:extLst>
                    </a:blip>
                    <a:srcRect t="5339"/>
                    <a:stretch/>
                  </pic:blipFill>
                  <pic:spPr bwMode="auto">
                    <a:xfrm>
                      <a:off x="0" y="0"/>
                      <a:ext cx="5039995" cy="2364105"/>
                    </a:xfrm>
                    <a:prstGeom prst="rect">
                      <a:avLst/>
                    </a:prstGeom>
                    <a:solidFill>
                      <a:schemeClr val="bg2"/>
                    </a:solidFill>
                    <a:ln>
                      <a:noFill/>
                    </a:ln>
                    <a:extLst>
                      <a:ext uri="{53640926-AAD7-44D8-BBD7-CCE9431645EC}">
                        <a14:shadowObscured xmlns:a14="http://schemas.microsoft.com/office/drawing/2010/main"/>
                      </a:ext>
                    </a:extLst>
                  </pic:spPr>
                </pic:pic>
              </a:graphicData>
            </a:graphic>
          </wp:inline>
        </w:drawing>
      </w:r>
      <w:r w:rsidRPr="00A97BEC">
        <w:rPr>
          <w:i/>
        </w:rPr>
        <w:t xml:space="preserve">Note: </w:t>
      </w:r>
      <w:r>
        <w:t>Averages are weighted by the Floor Space in terms of the Net Lettable Area.</w:t>
      </w:r>
      <w:r w:rsidRPr="00AB1A53">
        <w:rPr>
          <w:noProof/>
          <w:lang w:eastAsia="en-AU"/>
        </w:rPr>
        <w:t xml:space="preserve"> </w:t>
      </w:r>
    </w:p>
    <w:p w:rsidR="00612FD3" w:rsidRDefault="00612FD3" w:rsidP="00612FD3">
      <w:pPr>
        <w:pStyle w:val="Source"/>
      </w:pPr>
      <w:r>
        <w:rPr>
          <w:i/>
        </w:rPr>
        <w:t>Data source</w:t>
      </w:r>
      <w:r w:rsidRPr="00A67576">
        <w:rPr>
          <w:i/>
        </w:rPr>
        <w:t>:</w:t>
      </w:r>
      <w:r>
        <w:t xml:space="preserve"> CIE, using the data from the Australian Government Department of the Environment and Energy, 2017, ‘CBD Downloadable Data Set’, available at: http://www.cbd.gov.au/registers/cbd-downloadable-data-set.</w:t>
      </w:r>
    </w:p>
    <w:p w:rsidR="00612FD3" w:rsidRDefault="00612FD3" w:rsidP="00612FD3">
      <w:pPr>
        <w:pStyle w:val="BodyText"/>
      </w:pPr>
      <w:r>
        <w:t xml:space="preserve">The chart shows that office buildings have kept improving in terms of NABERS rating </w:t>
      </w:r>
      <w:r w:rsidR="00476CB3">
        <w:t>—</w:t>
      </w:r>
      <w:r>
        <w:t xml:space="preserve"> the average rating was 3.3 stars in 2012, and it is now 4.2 stars on average. Suppose the NCC 2016 is equivalent to 4.5 NABERS stars, the data shows that almost half (48.3 per cent) of all existing office buildings (rated) have achieved or exceed NCC 2016. For new office buildings, this proportion would be even higher. This is largely due to the government’s CBD policy which mandates compulsory disclosure for office buildings with a certain amount of floor space (originally for buildings above 2 000 m</w:t>
      </w:r>
      <w:r w:rsidRPr="00794F39">
        <w:rPr>
          <w:vertAlign w:val="superscript"/>
        </w:rPr>
        <w:t>2</w:t>
      </w:r>
      <w:r>
        <w:t xml:space="preserve"> and then extended to 1 000 m</w:t>
      </w:r>
      <w:r>
        <w:rPr>
          <w:vertAlign w:val="superscript"/>
        </w:rPr>
        <w:t>2</w:t>
      </w:r>
      <w:r>
        <w:t>). It also demonstrates that the baseline is not necessarily equivalent to the minimum requirement of NCC 2016.</w:t>
      </w:r>
    </w:p>
    <w:p w:rsidR="00612FD3" w:rsidRDefault="00612FD3" w:rsidP="00612FD3">
      <w:pPr>
        <w:pStyle w:val="BodyText"/>
      </w:pPr>
      <w:r>
        <w:t>Chart</w:t>
      </w:r>
      <w:r w:rsidR="001653F3">
        <w:t> </w:t>
      </w:r>
      <w:r w:rsidR="001451C0">
        <w:rPr>
          <w:noProof/>
        </w:rPr>
        <w:fldChar w:fldCharType="begin"/>
      </w:r>
      <w:r w:rsidR="001451C0">
        <w:rPr>
          <w:noProof/>
        </w:rPr>
        <w:instrText xml:space="preserve"> REF _Caption8899 </w:instrText>
      </w:r>
      <w:r w:rsidR="001451C0">
        <w:rPr>
          <w:noProof/>
        </w:rPr>
        <w:fldChar w:fldCharType="separate"/>
      </w:r>
      <w:r w:rsidR="006B79B8" w:rsidRPr="007502CF">
        <w:rPr>
          <w:noProof/>
        </w:rPr>
        <w:t>4.2</w:t>
      </w:r>
      <w:r w:rsidR="001451C0">
        <w:rPr>
          <w:noProof/>
        </w:rPr>
        <w:fldChar w:fldCharType="end"/>
      </w:r>
      <w:r>
        <w:t xml:space="preserve"> shows the distribution of shopping centres by NABERS rating for 2015 and 2016. It should be noted that there were only a small number of shopping centres registered in 2015, and as a result the distribution curve is not smooth. The average rating of shopping centres registered in the NABERS system in 2016 was 3.81 stars, compared to the average of over 4 stars for offices. This is probably due to the facts that requesting a NABERS star rating for shopping centres is voluntary, and that shopping centres were included in the rating system only recently.</w:t>
      </w:r>
    </w:p>
    <w:p w:rsidR="00612FD3" w:rsidRPr="007502CF" w:rsidRDefault="00612FD3" w:rsidP="00612FD3">
      <w:pPr>
        <w:pStyle w:val="Caption"/>
        <w:numPr>
          <w:ilvl w:val="0"/>
          <w:numId w:val="7"/>
        </w:numPr>
      </w:pPr>
      <w:r w:rsidRPr="007502CF">
        <w:fldChar w:fldCharType="begin"/>
      </w:r>
      <w:r w:rsidRPr="007502CF">
        <w:instrText xml:space="preserve"> IF 1 = 1 "</w:instrText>
      </w:r>
      <w:r w:rsidRPr="007502CF">
        <w:fldChar w:fldCharType="begin"/>
      </w:r>
      <w:r w:rsidRPr="007502CF">
        <w:instrText xml:space="preserve"> IF </w:instrText>
      </w:r>
      <w:r w:rsidRPr="007502CF">
        <w:rPr>
          <w:noProof/>
        </w:rPr>
        <w:fldChar w:fldCharType="begin"/>
      </w:r>
      <w:r w:rsidRPr="007502CF">
        <w:rPr>
          <w:noProof/>
        </w:rPr>
        <w:instrText xml:space="preserve"> STYLEREF "Heading 6" \l \n </w:instrText>
      </w:r>
      <w:r w:rsidRPr="007502CF">
        <w:rPr>
          <w:noProof/>
        </w:rPr>
        <w:fldChar w:fldCharType="separate"/>
      </w:r>
      <w:r w:rsidR="00B833F1">
        <w:rPr>
          <w:noProof/>
        </w:rPr>
        <w:instrText>0</w:instrText>
      </w:r>
      <w:r w:rsidRPr="007502CF">
        <w:rPr>
          <w:noProof/>
        </w:rPr>
        <w:fldChar w:fldCharType="end"/>
      </w:r>
      <w:r w:rsidRPr="007502CF">
        <w:instrText xml:space="preserve"> = 0 "</w:instrText>
      </w:r>
      <w:r w:rsidRPr="007502CF">
        <w:fldChar w:fldCharType="begin"/>
      </w:r>
      <w:r w:rsidRPr="007502CF">
        <w:instrText xml:space="preserve"> IF </w:instrText>
      </w:r>
      <w:r w:rsidRPr="007502CF">
        <w:rPr>
          <w:noProof/>
        </w:rPr>
        <w:fldChar w:fldCharType="begin"/>
      </w:r>
      <w:r w:rsidRPr="007502CF">
        <w:rPr>
          <w:noProof/>
        </w:rPr>
        <w:instrText xml:space="preserve"> STYLEREF "Heading 1" \l \n </w:instrText>
      </w:r>
      <w:r w:rsidRPr="007502CF">
        <w:rPr>
          <w:noProof/>
        </w:rPr>
        <w:fldChar w:fldCharType="separate"/>
      </w:r>
      <w:r w:rsidR="00B833F1">
        <w:rPr>
          <w:noProof/>
        </w:rPr>
        <w:instrText>4</w:instrText>
      </w:r>
      <w:r w:rsidRPr="007502CF">
        <w:rPr>
          <w:noProof/>
        </w:rPr>
        <w:fldChar w:fldCharType="end"/>
      </w:r>
      <w:r w:rsidRPr="007502CF">
        <w:instrText xml:space="preserve"> = 0 "" "</w:instrText>
      </w:r>
      <w:r w:rsidRPr="007502CF">
        <w:rPr>
          <w:noProof/>
        </w:rPr>
        <w:fldChar w:fldCharType="begin"/>
      </w:r>
      <w:r w:rsidRPr="007502CF">
        <w:rPr>
          <w:noProof/>
        </w:rPr>
        <w:instrText xml:space="preserve"> STYLEREF "Heading 1" \l \n </w:instrText>
      </w:r>
      <w:r w:rsidRPr="007502CF">
        <w:rPr>
          <w:noProof/>
        </w:rPr>
        <w:fldChar w:fldCharType="separate"/>
      </w:r>
      <w:r w:rsidR="00B833F1">
        <w:rPr>
          <w:noProof/>
        </w:rPr>
        <w:instrText>4</w:instrText>
      </w:r>
      <w:r w:rsidRPr="007502CF">
        <w:rPr>
          <w:noProof/>
        </w:rPr>
        <w:fldChar w:fldCharType="end"/>
      </w:r>
      <w:r w:rsidRPr="007502CF">
        <w:instrText xml:space="preserve">." </w:instrText>
      </w:r>
      <w:r w:rsidRPr="007502CF">
        <w:fldChar w:fldCharType="separate"/>
      </w:r>
      <w:r w:rsidR="00B833F1">
        <w:rPr>
          <w:noProof/>
        </w:rPr>
        <w:instrText>4</w:instrText>
      </w:r>
      <w:r w:rsidR="00B833F1" w:rsidRPr="007502CF">
        <w:rPr>
          <w:noProof/>
        </w:rPr>
        <w:instrText>.</w:instrText>
      </w:r>
      <w:r w:rsidRPr="007502CF">
        <w:fldChar w:fldCharType="end"/>
      </w:r>
      <w:r w:rsidRPr="007502CF">
        <w:instrText>" "</w:instrText>
      </w:r>
      <w:r w:rsidRPr="007502CF">
        <w:rPr>
          <w:noProof/>
        </w:rPr>
        <w:fldChar w:fldCharType="begin"/>
      </w:r>
      <w:r w:rsidRPr="007502CF">
        <w:rPr>
          <w:noProof/>
        </w:rPr>
        <w:instrText xml:space="preserve"> STYLEREF "Heading 6" \l \n </w:instrText>
      </w:r>
      <w:r w:rsidRPr="007502CF">
        <w:rPr>
          <w:noProof/>
        </w:rPr>
        <w:fldChar w:fldCharType="separate"/>
      </w:r>
      <w:r w:rsidRPr="007502CF">
        <w:rPr>
          <w:noProof/>
        </w:rPr>
        <w:instrText>A</w:instrText>
      </w:r>
      <w:r w:rsidRPr="007502CF">
        <w:rPr>
          <w:noProof/>
        </w:rPr>
        <w:fldChar w:fldCharType="end"/>
      </w:r>
      <w:r w:rsidRPr="007502CF">
        <w:instrText xml:space="preserve">." </w:instrText>
      </w:r>
      <w:r w:rsidRPr="007502CF">
        <w:fldChar w:fldCharType="separate"/>
      </w:r>
      <w:r w:rsidR="00EA42ED">
        <w:rPr>
          <w:noProof/>
        </w:rPr>
        <w:instrText>4</w:instrText>
      </w:r>
      <w:r w:rsidR="00EA42ED" w:rsidRPr="007502CF">
        <w:rPr>
          <w:noProof/>
        </w:rPr>
        <w:instrText>.</w:instrText>
      </w:r>
      <w:r w:rsidRPr="007502CF">
        <w:fldChar w:fldCharType="end"/>
      </w:r>
      <w:r w:rsidRPr="007502CF">
        <w:fldChar w:fldCharType="begin"/>
      </w:r>
      <w:r w:rsidRPr="007502CF">
        <w:instrText xml:space="preserve"> SEQ Item \* ARABIC \s </w:instrText>
      </w:r>
      <w:r w:rsidRPr="007502CF">
        <w:fldChar w:fldCharType="begin"/>
      </w:r>
      <w:r w:rsidRPr="007502CF">
        <w:instrText xml:space="preserve"> IF </w:instrText>
      </w:r>
      <w:r w:rsidRPr="007502CF">
        <w:rPr>
          <w:noProof/>
        </w:rPr>
        <w:fldChar w:fldCharType="begin"/>
      </w:r>
      <w:r w:rsidRPr="007502CF">
        <w:rPr>
          <w:noProof/>
        </w:rPr>
        <w:instrText xml:space="preserve"> STYLEREF "Heading 6" \l \n </w:instrText>
      </w:r>
      <w:r w:rsidRPr="007502CF">
        <w:rPr>
          <w:noProof/>
        </w:rPr>
        <w:fldChar w:fldCharType="separate"/>
      </w:r>
      <w:r w:rsidR="00B833F1">
        <w:rPr>
          <w:noProof/>
        </w:rPr>
        <w:instrText>0</w:instrText>
      </w:r>
      <w:r w:rsidRPr="007502CF">
        <w:rPr>
          <w:noProof/>
        </w:rPr>
        <w:fldChar w:fldCharType="end"/>
      </w:r>
      <w:r w:rsidRPr="007502CF">
        <w:instrText xml:space="preserve"> = 0 "</w:instrText>
      </w:r>
      <w:r w:rsidRPr="007502CF">
        <w:fldChar w:fldCharType="begin"/>
      </w:r>
      <w:r w:rsidRPr="007502CF">
        <w:instrText xml:space="preserve"> IF </w:instrText>
      </w:r>
      <w:r w:rsidRPr="007502CF">
        <w:rPr>
          <w:noProof/>
        </w:rPr>
        <w:fldChar w:fldCharType="begin"/>
      </w:r>
      <w:r w:rsidRPr="007502CF">
        <w:rPr>
          <w:noProof/>
        </w:rPr>
        <w:instrText xml:space="preserve"> STYLEREF "Heading 1" \l \n </w:instrText>
      </w:r>
      <w:r w:rsidRPr="007502CF">
        <w:rPr>
          <w:noProof/>
        </w:rPr>
        <w:fldChar w:fldCharType="separate"/>
      </w:r>
      <w:r w:rsidR="00B833F1">
        <w:rPr>
          <w:noProof/>
        </w:rPr>
        <w:instrText>4</w:instrText>
      </w:r>
      <w:r w:rsidRPr="007502CF">
        <w:rPr>
          <w:noProof/>
        </w:rPr>
        <w:fldChar w:fldCharType="end"/>
      </w:r>
      <w:r w:rsidRPr="007502CF">
        <w:instrText xml:space="preserve"> = 0 "" "1" </w:instrText>
      </w:r>
      <w:r w:rsidRPr="007502CF">
        <w:fldChar w:fldCharType="separate"/>
      </w:r>
      <w:r w:rsidR="00EA42ED" w:rsidRPr="007502CF">
        <w:rPr>
          <w:noProof/>
        </w:rPr>
        <w:instrText>1</w:instrText>
      </w:r>
      <w:r w:rsidRPr="007502CF">
        <w:fldChar w:fldCharType="end"/>
      </w:r>
      <w:r w:rsidRPr="007502CF">
        <w:instrText xml:space="preserve">" "6" </w:instrText>
      </w:r>
      <w:r w:rsidRPr="007502CF">
        <w:fldChar w:fldCharType="separate"/>
      </w:r>
      <w:r w:rsidR="00EA42ED" w:rsidRPr="007502CF">
        <w:rPr>
          <w:noProof/>
        </w:rPr>
        <w:instrText>1</w:instrText>
      </w:r>
      <w:r w:rsidRPr="007502CF">
        <w:fldChar w:fldCharType="end"/>
      </w:r>
      <w:r w:rsidRPr="007502CF">
        <w:instrText xml:space="preserve"> </w:instrText>
      </w:r>
      <w:r w:rsidRPr="007502CF">
        <w:fldChar w:fldCharType="separate"/>
      </w:r>
      <w:r w:rsidR="00B833F1">
        <w:rPr>
          <w:noProof/>
        </w:rPr>
        <w:instrText>2</w:instrText>
      </w:r>
      <w:r w:rsidRPr="007502CF">
        <w:fldChar w:fldCharType="end"/>
      </w:r>
      <w:r w:rsidRPr="007502CF">
        <w:instrText xml:space="preserve">" "" </w:instrText>
      </w:r>
      <w:r w:rsidRPr="007502CF">
        <w:fldChar w:fldCharType="separate"/>
      </w:r>
      <w:bookmarkStart w:id="1032" w:name="_Caption0793"/>
      <w:bookmarkStart w:id="1033" w:name="_Caption0902"/>
      <w:bookmarkStart w:id="1034" w:name="_Caption2671"/>
      <w:bookmarkStart w:id="1035" w:name="_Caption4239"/>
      <w:bookmarkStart w:id="1036" w:name="_Caption3488"/>
      <w:bookmarkStart w:id="1037" w:name="_Caption8123"/>
      <w:bookmarkStart w:id="1038" w:name="_Caption6787"/>
      <w:bookmarkStart w:id="1039" w:name="_Caption6364"/>
      <w:bookmarkStart w:id="1040" w:name="_Caption8899"/>
      <w:bookmarkStart w:id="1041" w:name="_Caption9491"/>
      <w:bookmarkStart w:id="1042" w:name="_Caption7144"/>
      <w:bookmarkStart w:id="1043" w:name="_Caption6987"/>
      <w:bookmarkStart w:id="1044" w:name="_Caption5242"/>
      <w:bookmarkStart w:id="1045" w:name="_Caption4277"/>
      <w:bookmarkStart w:id="1046" w:name="_Caption1368"/>
      <w:bookmarkStart w:id="1047" w:name="_Caption2414"/>
      <w:bookmarkStart w:id="1048" w:name="_Caption9709"/>
      <w:bookmarkStart w:id="1049" w:name="_Caption6097"/>
      <w:bookmarkStart w:id="1050" w:name="_Caption4186"/>
      <w:bookmarkStart w:id="1051" w:name="_Caption9022"/>
      <w:bookmarkStart w:id="1052" w:name="_Caption8796"/>
      <w:bookmarkStart w:id="1053" w:name="_Caption8549"/>
      <w:bookmarkStart w:id="1054" w:name="_Caption0616"/>
      <w:bookmarkStart w:id="1055" w:name="_Caption7596"/>
      <w:bookmarkStart w:id="1056" w:name="_Caption3308"/>
      <w:bookmarkStart w:id="1057" w:name="_Caption1627"/>
      <w:bookmarkStart w:id="1058" w:name="_Caption7054"/>
      <w:bookmarkStart w:id="1059" w:name="_Caption5638"/>
      <w:bookmarkStart w:id="1060" w:name="_Caption6104"/>
      <w:bookmarkStart w:id="1061" w:name="_Caption5724"/>
      <w:bookmarkStart w:id="1062" w:name="_Caption8079"/>
      <w:bookmarkStart w:id="1063" w:name="_Caption2540"/>
      <w:bookmarkStart w:id="1064" w:name="_Caption0271"/>
      <w:bookmarkStart w:id="1065" w:name="_Caption4634"/>
      <w:bookmarkStart w:id="1066" w:name="_Caption1543"/>
      <w:bookmarkStart w:id="1067" w:name="_Caption3009"/>
      <w:bookmarkStart w:id="1068" w:name="_Caption4629"/>
      <w:bookmarkStart w:id="1069" w:name="_Caption9027"/>
      <w:bookmarkStart w:id="1070" w:name="_Caption6702"/>
      <w:bookmarkStart w:id="1071" w:name="_Caption0049"/>
      <w:bookmarkStart w:id="1072" w:name="_Caption2120"/>
      <w:bookmarkStart w:id="1073" w:name="_Caption4557"/>
      <w:bookmarkStart w:id="1074" w:name="_Caption8993"/>
      <w:bookmarkStart w:id="1075" w:name="_Caption4144"/>
      <w:bookmarkStart w:id="1076" w:name="_Caption5043"/>
      <w:bookmarkStart w:id="1077" w:name="_Caption2056"/>
      <w:bookmarkStart w:id="1078" w:name="_Caption5846"/>
      <w:bookmarkStart w:id="1079" w:name="_Caption2008"/>
      <w:bookmarkStart w:id="1080" w:name="_Caption6399"/>
      <w:bookmarkStart w:id="1081" w:name="_Caption4868"/>
      <w:bookmarkStart w:id="1082" w:name="_Caption5224"/>
      <w:bookmarkStart w:id="1083" w:name="_Caption7178"/>
      <w:bookmarkStart w:id="1084" w:name="_Caption1806"/>
      <w:bookmarkStart w:id="1085" w:name="_Caption1477"/>
      <w:bookmarkStart w:id="1086" w:name="_Caption1180"/>
      <w:bookmarkStart w:id="1087" w:name="_Caption5611"/>
      <w:bookmarkStart w:id="1088" w:name="_Caption4318"/>
      <w:bookmarkStart w:id="1089" w:name="_Caption4380"/>
      <w:bookmarkStart w:id="1090" w:name="_Caption6677"/>
      <w:bookmarkStart w:id="1091" w:name="_Caption8733"/>
      <w:bookmarkStart w:id="1092" w:name="_Caption3708"/>
      <w:bookmarkStart w:id="1093" w:name="_Caption5867"/>
      <w:bookmarkStart w:id="1094" w:name="_Caption9957"/>
      <w:bookmarkStart w:id="1095" w:name="_Caption9417"/>
      <w:bookmarkStart w:id="1096" w:name="_Caption5355"/>
      <w:bookmarkStart w:id="1097" w:name="_Caption5889"/>
      <w:bookmarkStart w:id="1098" w:name="_Caption1171"/>
      <w:bookmarkStart w:id="1099" w:name="_Toc529869903"/>
      <w:bookmarkStart w:id="1100" w:name="_Toc530748399"/>
      <w:r w:rsidR="00EA42ED">
        <w:rPr>
          <w:noProof/>
        </w:rPr>
        <w:t>4</w:t>
      </w:r>
      <w:r w:rsidR="00EA42ED" w:rsidRPr="007502CF">
        <w:rPr>
          <w:noProof/>
        </w:rPr>
        <w:t>.</w:t>
      </w:r>
      <w:r w:rsidR="00EA42ED">
        <w:rPr>
          <w:noProof/>
        </w:rPr>
        <w:t>2</w:t>
      </w:r>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r w:rsidRPr="007502CF">
        <w:fldChar w:fldCharType="end"/>
      </w:r>
      <w:r w:rsidRPr="007502CF">
        <w:tab/>
        <w:t>Distribution of shopping centres by NABERS rating</w:t>
      </w:r>
      <w:bookmarkEnd w:id="1099"/>
      <w:bookmarkEnd w:id="1100"/>
    </w:p>
    <w:p w:rsidR="00612FD3" w:rsidRPr="00A97BEC" w:rsidRDefault="00612FD3" w:rsidP="00612FD3">
      <w:pPr>
        <w:pStyle w:val="Note"/>
      </w:pPr>
      <w:r>
        <w:rPr>
          <w:noProof/>
          <w:lang w:eastAsia="en-AU"/>
        </w:rPr>
        <w:drawing>
          <wp:inline distT="0" distB="0" distL="0" distR="0" wp14:anchorId="3685B0E1" wp14:editId="41DF8480">
            <wp:extent cx="4913405" cy="2409825"/>
            <wp:effectExtent l="0" t="0" r="1905" b="0"/>
            <wp:docPr id="47" name="Picture 47" descr="Chart 5.2 shows the distribution of shopping centres by NABERS rating for 2015 and 2016. It should be noted that there were only a small number of shopping centres registered in 2015, and as a result the distribution curve is not smooth. The average rating of shopping centres registered in the NABERS system in 2016 was 3.81 stars, compared to the average of over 4 stars for offices. " title="Distribution of shopping centres by NABERS r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a:extLst>
                        <a:ext uri="{28A0092B-C50C-407E-A947-70E740481C1C}">
                          <a14:useLocalDpi xmlns:a14="http://schemas.microsoft.com/office/drawing/2010/main" val="0"/>
                        </a:ext>
                      </a:extLst>
                    </a:blip>
                    <a:srcRect t="2692"/>
                    <a:stretch/>
                  </pic:blipFill>
                  <pic:spPr bwMode="auto">
                    <a:xfrm>
                      <a:off x="0" y="0"/>
                      <a:ext cx="4914000" cy="2410117"/>
                    </a:xfrm>
                    <a:prstGeom prst="rect">
                      <a:avLst/>
                    </a:prstGeom>
                    <a:solidFill>
                      <a:schemeClr val="bg2"/>
                    </a:solidFill>
                    <a:ln>
                      <a:noFill/>
                    </a:ln>
                    <a:extLst>
                      <a:ext uri="{53640926-AAD7-44D8-BBD7-CCE9431645EC}">
                        <a14:shadowObscured xmlns:a14="http://schemas.microsoft.com/office/drawing/2010/main"/>
                      </a:ext>
                    </a:extLst>
                  </pic:spPr>
                </pic:pic>
              </a:graphicData>
            </a:graphic>
          </wp:inline>
        </w:drawing>
      </w:r>
      <w:r w:rsidRPr="00A97BEC">
        <w:rPr>
          <w:i/>
        </w:rPr>
        <w:t xml:space="preserve">Note: </w:t>
      </w:r>
      <w:r>
        <w:t>Averages are weighted by the Floor Space in terms of the Net Lettable Area.</w:t>
      </w:r>
      <w:r w:rsidRPr="00AB1A53">
        <w:rPr>
          <w:noProof/>
        </w:rPr>
        <w:t xml:space="preserve"> </w:t>
      </w:r>
    </w:p>
    <w:p w:rsidR="00612FD3" w:rsidRDefault="00612FD3" w:rsidP="00612FD3">
      <w:pPr>
        <w:pStyle w:val="Source"/>
      </w:pPr>
      <w:r>
        <w:rPr>
          <w:i/>
        </w:rPr>
        <w:t>Data source</w:t>
      </w:r>
      <w:r w:rsidRPr="00A67576">
        <w:rPr>
          <w:i/>
        </w:rPr>
        <w:t>:</w:t>
      </w:r>
      <w:r>
        <w:t xml:space="preserve"> CIE construction based on NABERS data.</w:t>
      </w:r>
    </w:p>
    <w:p w:rsidR="00612FD3" w:rsidRDefault="00612FD3" w:rsidP="00612FD3">
      <w:pPr>
        <w:pStyle w:val="BodyText"/>
      </w:pPr>
      <w:r>
        <w:t>There is little publicly available information on the extent to which other types of commercial buildings exceed the minimum energy efficiency standards set out in the NCC. To provide some insights on this issue, the CIE completed a survey of building surveyors. Building surveyors were specifically targeted because they see a wide range of buildings (see appendix F for further details).</w:t>
      </w:r>
    </w:p>
    <w:p w:rsidR="00612FD3" w:rsidRDefault="00612FD3" w:rsidP="00612FD3">
      <w:pPr>
        <w:pStyle w:val="BodyText"/>
      </w:pPr>
      <w:r>
        <w:t>The survey results weighted by the number of buildings (of each type) each respondent had certified are shown in chart </w:t>
      </w:r>
      <w:r w:rsidR="00BA0599">
        <w:rPr>
          <w:noProof/>
        </w:rPr>
        <w:fldChar w:fldCharType="begin"/>
      </w:r>
      <w:r w:rsidR="00BA0599">
        <w:rPr>
          <w:noProof/>
        </w:rPr>
        <w:instrText xml:space="preserve"> REF _Caption6204 </w:instrText>
      </w:r>
      <w:r w:rsidR="00BA0599">
        <w:rPr>
          <w:noProof/>
        </w:rPr>
        <w:fldChar w:fldCharType="separate"/>
      </w:r>
      <w:r w:rsidR="006B79B8" w:rsidRPr="007502CF">
        <w:rPr>
          <w:noProof/>
        </w:rPr>
        <w:t>4.3</w:t>
      </w:r>
      <w:r w:rsidR="00BA0599">
        <w:rPr>
          <w:noProof/>
        </w:rPr>
        <w:fldChar w:fldCharType="end"/>
      </w:r>
      <w:r w:rsidR="0045144D">
        <w:t>.</w:t>
      </w:r>
    </w:p>
    <w:p w:rsidR="00612FD3" w:rsidRPr="007502CF" w:rsidRDefault="00612FD3" w:rsidP="00612FD3">
      <w:pPr>
        <w:pStyle w:val="Caption"/>
        <w:numPr>
          <w:ilvl w:val="0"/>
          <w:numId w:val="7"/>
        </w:numPr>
      </w:pPr>
      <w:r w:rsidRPr="007502CF">
        <w:fldChar w:fldCharType="begin"/>
      </w:r>
      <w:r w:rsidRPr="007502CF">
        <w:instrText xml:space="preserve"> IF 1 = 1 "</w:instrText>
      </w:r>
      <w:r w:rsidRPr="007502CF">
        <w:fldChar w:fldCharType="begin"/>
      </w:r>
      <w:r w:rsidRPr="007502CF">
        <w:instrText xml:space="preserve"> IF </w:instrText>
      </w:r>
      <w:r w:rsidRPr="007502CF">
        <w:rPr>
          <w:noProof/>
        </w:rPr>
        <w:fldChar w:fldCharType="begin"/>
      </w:r>
      <w:r w:rsidRPr="007502CF">
        <w:rPr>
          <w:noProof/>
        </w:rPr>
        <w:instrText xml:space="preserve"> STYLEREF "Heading 6" \l \n </w:instrText>
      </w:r>
      <w:r w:rsidRPr="007502CF">
        <w:rPr>
          <w:noProof/>
        </w:rPr>
        <w:fldChar w:fldCharType="separate"/>
      </w:r>
      <w:r w:rsidR="00B833F1">
        <w:rPr>
          <w:noProof/>
        </w:rPr>
        <w:instrText>0</w:instrText>
      </w:r>
      <w:r w:rsidRPr="007502CF">
        <w:rPr>
          <w:noProof/>
        </w:rPr>
        <w:fldChar w:fldCharType="end"/>
      </w:r>
      <w:r w:rsidRPr="007502CF">
        <w:instrText xml:space="preserve"> = 0 "</w:instrText>
      </w:r>
      <w:r w:rsidRPr="007502CF">
        <w:fldChar w:fldCharType="begin"/>
      </w:r>
      <w:r w:rsidRPr="007502CF">
        <w:instrText xml:space="preserve"> IF </w:instrText>
      </w:r>
      <w:r w:rsidRPr="007502CF">
        <w:rPr>
          <w:noProof/>
        </w:rPr>
        <w:fldChar w:fldCharType="begin"/>
      </w:r>
      <w:r w:rsidRPr="007502CF">
        <w:rPr>
          <w:noProof/>
        </w:rPr>
        <w:instrText xml:space="preserve"> STYLEREF "Heading 1" \l \n </w:instrText>
      </w:r>
      <w:r w:rsidRPr="007502CF">
        <w:rPr>
          <w:noProof/>
        </w:rPr>
        <w:fldChar w:fldCharType="separate"/>
      </w:r>
      <w:r w:rsidR="00B833F1">
        <w:rPr>
          <w:noProof/>
        </w:rPr>
        <w:instrText>4</w:instrText>
      </w:r>
      <w:r w:rsidRPr="007502CF">
        <w:rPr>
          <w:noProof/>
        </w:rPr>
        <w:fldChar w:fldCharType="end"/>
      </w:r>
      <w:r w:rsidRPr="007502CF">
        <w:instrText xml:space="preserve"> = 0 "" "</w:instrText>
      </w:r>
      <w:r w:rsidRPr="007502CF">
        <w:rPr>
          <w:noProof/>
        </w:rPr>
        <w:fldChar w:fldCharType="begin"/>
      </w:r>
      <w:r w:rsidRPr="007502CF">
        <w:rPr>
          <w:noProof/>
        </w:rPr>
        <w:instrText xml:space="preserve"> STYLEREF "Heading 1" \l \n </w:instrText>
      </w:r>
      <w:r w:rsidRPr="007502CF">
        <w:rPr>
          <w:noProof/>
        </w:rPr>
        <w:fldChar w:fldCharType="separate"/>
      </w:r>
      <w:r w:rsidR="00B833F1">
        <w:rPr>
          <w:noProof/>
        </w:rPr>
        <w:instrText>4</w:instrText>
      </w:r>
      <w:r w:rsidRPr="007502CF">
        <w:rPr>
          <w:noProof/>
        </w:rPr>
        <w:fldChar w:fldCharType="end"/>
      </w:r>
      <w:r w:rsidRPr="007502CF">
        <w:instrText xml:space="preserve">." </w:instrText>
      </w:r>
      <w:r w:rsidRPr="007502CF">
        <w:fldChar w:fldCharType="separate"/>
      </w:r>
      <w:r w:rsidR="00B833F1">
        <w:rPr>
          <w:noProof/>
        </w:rPr>
        <w:instrText>4</w:instrText>
      </w:r>
      <w:r w:rsidR="00B833F1" w:rsidRPr="007502CF">
        <w:rPr>
          <w:noProof/>
        </w:rPr>
        <w:instrText>.</w:instrText>
      </w:r>
      <w:r w:rsidRPr="007502CF">
        <w:fldChar w:fldCharType="end"/>
      </w:r>
      <w:r w:rsidRPr="007502CF">
        <w:instrText>" "</w:instrText>
      </w:r>
      <w:r w:rsidRPr="007502CF">
        <w:rPr>
          <w:noProof/>
        </w:rPr>
        <w:fldChar w:fldCharType="begin"/>
      </w:r>
      <w:r w:rsidRPr="007502CF">
        <w:rPr>
          <w:noProof/>
        </w:rPr>
        <w:instrText xml:space="preserve"> STYLEREF "Heading 6" \l \n </w:instrText>
      </w:r>
      <w:r w:rsidRPr="007502CF">
        <w:rPr>
          <w:noProof/>
        </w:rPr>
        <w:fldChar w:fldCharType="separate"/>
      </w:r>
      <w:r w:rsidRPr="007502CF">
        <w:rPr>
          <w:noProof/>
        </w:rPr>
        <w:instrText>A</w:instrText>
      </w:r>
      <w:r w:rsidRPr="007502CF">
        <w:rPr>
          <w:noProof/>
        </w:rPr>
        <w:fldChar w:fldCharType="end"/>
      </w:r>
      <w:r w:rsidRPr="007502CF">
        <w:instrText xml:space="preserve">." </w:instrText>
      </w:r>
      <w:r w:rsidRPr="007502CF">
        <w:fldChar w:fldCharType="separate"/>
      </w:r>
      <w:r w:rsidR="00EA42ED">
        <w:rPr>
          <w:noProof/>
        </w:rPr>
        <w:instrText>4</w:instrText>
      </w:r>
      <w:r w:rsidR="00EA42ED" w:rsidRPr="007502CF">
        <w:rPr>
          <w:noProof/>
        </w:rPr>
        <w:instrText>.</w:instrText>
      </w:r>
      <w:r w:rsidRPr="007502CF">
        <w:fldChar w:fldCharType="end"/>
      </w:r>
      <w:r w:rsidRPr="007502CF">
        <w:fldChar w:fldCharType="begin"/>
      </w:r>
      <w:r w:rsidRPr="007502CF">
        <w:instrText xml:space="preserve"> SEQ Item \* ARABIC \s </w:instrText>
      </w:r>
      <w:r w:rsidRPr="007502CF">
        <w:fldChar w:fldCharType="begin"/>
      </w:r>
      <w:r w:rsidRPr="007502CF">
        <w:instrText xml:space="preserve"> IF </w:instrText>
      </w:r>
      <w:r w:rsidRPr="007502CF">
        <w:rPr>
          <w:noProof/>
        </w:rPr>
        <w:fldChar w:fldCharType="begin"/>
      </w:r>
      <w:r w:rsidRPr="007502CF">
        <w:rPr>
          <w:noProof/>
        </w:rPr>
        <w:instrText xml:space="preserve"> STYLEREF "Heading 6" \l \n </w:instrText>
      </w:r>
      <w:r w:rsidRPr="007502CF">
        <w:rPr>
          <w:noProof/>
        </w:rPr>
        <w:fldChar w:fldCharType="separate"/>
      </w:r>
      <w:r w:rsidR="00B833F1">
        <w:rPr>
          <w:noProof/>
        </w:rPr>
        <w:instrText>0</w:instrText>
      </w:r>
      <w:r w:rsidRPr="007502CF">
        <w:rPr>
          <w:noProof/>
        </w:rPr>
        <w:fldChar w:fldCharType="end"/>
      </w:r>
      <w:r w:rsidRPr="007502CF">
        <w:instrText xml:space="preserve"> = 0 "</w:instrText>
      </w:r>
      <w:r w:rsidRPr="007502CF">
        <w:fldChar w:fldCharType="begin"/>
      </w:r>
      <w:r w:rsidRPr="007502CF">
        <w:instrText xml:space="preserve"> IF </w:instrText>
      </w:r>
      <w:r w:rsidRPr="007502CF">
        <w:rPr>
          <w:noProof/>
        </w:rPr>
        <w:fldChar w:fldCharType="begin"/>
      </w:r>
      <w:r w:rsidRPr="007502CF">
        <w:rPr>
          <w:noProof/>
        </w:rPr>
        <w:instrText xml:space="preserve"> STYLEREF "Heading 1" \l \n </w:instrText>
      </w:r>
      <w:r w:rsidRPr="007502CF">
        <w:rPr>
          <w:noProof/>
        </w:rPr>
        <w:fldChar w:fldCharType="separate"/>
      </w:r>
      <w:r w:rsidR="00B833F1">
        <w:rPr>
          <w:noProof/>
        </w:rPr>
        <w:instrText>4</w:instrText>
      </w:r>
      <w:r w:rsidRPr="007502CF">
        <w:rPr>
          <w:noProof/>
        </w:rPr>
        <w:fldChar w:fldCharType="end"/>
      </w:r>
      <w:r w:rsidRPr="007502CF">
        <w:instrText xml:space="preserve"> = 0 "" "1" </w:instrText>
      </w:r>
      <w:r w:rsidRPr="007502CF">
        <w:fldChar w:fldCharType="separate"/>
      </w:r>
      <w:r w:rsidR="00EA42ED" w:rsidRPr="007502CF">
        <w:rPr>
          <w:noProof/>
        </w:rPr>
        <w:instrText>1</w:instrText>
      </w:r>
      <w:r w:rsidRPr="007502CF">
        <w:fldChar w:fldCharType="end"/>
      </w:r>
      <w:r w:rsidRPr="007502CF">
        <w:instrText xml:space="preserve">" "6" </w:instrText>
      </w:r>
      <w:r w:rsidRPr="007502CF">
        <w:fldChar w:fldCharType="separate"/>
      </w:r>
      <w:r w:rsidR="00EA42ED" w:rsidRPr="007502CF">
        <w:rPr>
          <w:noProof/>
        </w:rPr>
        <w:instrText>1</w:instrText>
      </w:r>
      <w:r w:rsidRPr="007502CF">
        <w:fldChar w:fldCharType="end"/>
      </w:r>
      <w:r w:rsidRPr="007502CF">
        <w:instrText xml:space="preserve"> </w:instrText>
      </w:r>
      <w:r w:rsidRPr="007502CF">
        <w:fldChar w:fldCharType="separate"/>
      </w:r>
      <w:r w:rsidR="00B833F1">
        <w:rPr>
          <w:noProof/>
        </w:rPr>
        <w:instrText>3</w:instrText>
      </w:r>
      <w:r w:rsidRPr="007502CF">
        <w:fldChar w:fldCharType="end"/>
      </w:r>
      <w:r w:rsidRPr="007502CF">
        <w:instrText xml:space="preserve">" "" </w:instrText>
      </w:r>
      <w:r w:rsidRPr="007502CF">
        <w:fldChar w:fldCharType="separate"/>
      </w:r>
      <w:bookmarkStart w:id="1101" w:name="_Caption3110"/>
      <w:bookmarkStart w:id="1102" w:name="_Caption2758"/>
      <w:bookmarkStart w:id="1103" w:name="_Caption6490"/>
      <w:bookmarkStart w:id="1104" w:name="_Caption7509"/>
      <w:bookmarkStart w:id="1105" w:name="_Caption4357"/>
      <w:bookmarkStart w:id="1106" w:name="_Caption7508"/>
      <w:bookmarkStart w:id="1107" w:name="_Caption7067"/>
      <w:bookmarkStart w:id="1108" w:name="_Caption7325"/>
      <w:bookmarkStart w:id="1109" w:name="_Caption3503"/>
      <w:bookmarkStart w:id="1110" w:name="_Caption6780"/>
      <w:bookmarkStart w:id="1111" w:name="_Caption6477"/>
      <w:bookmarkStart w:id="1112" w:name="_Caption8269"/>
      <w:bookmarkStart w:id="1113" w:name="_Caption5430"/>
      <w:bookmarkStart w:id="1114" w:name="_Caption2608"/>
      <w:bookmarkStart w:id="1115" w:name="_Caption9445"/>
      <w:bookmarkStart w:id="1116" w:name="_Caption3736"/>
      <w:bookmarkStart w:id="1117" w:name="_Caption6998"/>
      <w:bookmarkStart w:id="1118" w:name="_Caption6885"/>
      <w:bookmarkStart w:id="1119" w:name="_Caption3728"/>
      <w:bookmarkStart w:id="1120" w:name="_Caption1438"/>
      <w:bookmarkStart w:id="1121" w:name="_Caption0611"/>
      <w:bookmarkStart w:id="1122" w:name="_Caption7780"/>
      <w:bookmarkStart w:id="1123" w:name="_Caption0896"/>
      <w:bookmarkStart w:id="1124" w:name="_Caption4805"/>
      <w:bookmarkStart w:id="1125" w:name="_Caption9142"/>
      <w:bookmarkStart w:id="1126" w:name="_Caption9450"/>
      <w:bookmarkStart w:id="1127" w:name="_Caption6332"/>
      <w:bookmarkStart w:id="1128" w:name="_Caption0251"/>
      <w:bookmarkStart w:id="1129" w:name="_Caption0657"/>
      <w:bookmarkStart w:id="1130" w:name="_Caption1639"/>
      <w:bookmarkStart w:id="1131" w:name="_Caption4849"/>
      <w:bookmarkStart w:id="1132" w:name="_Caption9564"/>
      <w:bookmarkStart w:id="1133" w:name="_Caption3022"/>
      <w:bookmarkStart w:id="1134" w:name="_Caption6204"/>
      <w:bookmarkStart w:id="1135" w:name="_Caption3061"/>
      <w:bookmarkStart w:id="1136" w:name="_Caption5275"/>
      <w:bookmarkStart w:id="1137" w:name="_Caption3108"/>
      <w:bookmarkStart w:id="1138" w:name="_Caption9388"/>
      <w:bookmarkStart w:id="1139" w:name="_Caption8237"/>
      <w:bookmarkStart w:id="1140" w:name="_Caption1611"/>
      <w:bookmarkStart w:id="1141" w:name="_Caption9778"/>
      <w:bookmarkStart w:id="1142" w:name="_Caption8547"/>
      <w:bookmarkStart w:id="1143" w:name="_Caption9708"/>
      <w:bookmarkStart w:id="1144" w:name="_Caption8941"/>
      <w:bookmarkStart w:id="1145" w:name="_Caption3167"/>
      <w:bookmarkStart w:id="1146" w:name="_Caption9347"/>
      <w:bookmarkStart w:id="1147" w:name="_Caption7365"/>
      <w:bookmarkStart w:id="1148" w:name="_Caption9548"/>
      <w:bookmarkStart w:id="1149" w:name="_Caption5865"/>
      <w:bookmarkStart w:id="1150" w:name="_Caption1513"/>
      <w:bookmarkStart w:id="1151" w:name="_Caption3717"/>
      <w:bookmarkStart w:id="1152" w:name="_Caption6110"/>
      <w:bookmarkStart w:id="1153" w:name="_Caption9779"/>
      <w:bookmarkStart w:id="1154" w:name="_Caption7057"/>
      <w:bookmarkStart w:id="1155" w:name="_Caption6134"/>
      <w:bookmarkStart w:id="1156" w:name="_Caption9095"/>
      <w:bookmarkStart w:id="1157" w:name="_Caption6282"/>
      <w:bookmarkStart w:id="1158" w:name="_Caption9187"/>
      <w:bookmarkStart w:id="1159" w:name="_Caption9440"/>
      <w:bookmarkStart w:id="1160" w:name="_Caption2018"/>
      <w:bookmarkStart w:id="1161" w:name="_Caption9182"/>
      <w:bookmarkStart w:id="1162" w:name="_Caption6467"/>
      <w:bookmarkStart w:id="1163" w:name="_Caption7058"/>
      <w:bookmarkStart w:id="1164" w:name="_Caption7012"/>
      <w:bookmarkStart w:id="1165" w:name="_Caption3274"/>
      <w:bookmarkStart w:id="1166" w:name="_Caption1444"/>
      <w:bookmarkStart w:id="1167" w:name="_Caption9716"/>
      <w:bookmarkStart w:id="1168" w:name="_Toc529869904"/>
      <w:bookmarkStart w:id="1169" w:name="_Toc530748400"/>
      <w:r w:rsidR="00EA42ED">
        <w:rPr>
          <w:noProof/>
        </w:rPr>
        <w:t>4</w:t>
      </w:r>
      <w:r w:rsidR="00EA42ED" w:rsidRPr="007502CF">
        <w:rPr>
          <w:noProof/>
        </w:rPr>
        <w:t>.</w:t>
      </w:r>
      <w:r w:rsidR="00EA42ED">
        <w:rPr>
          <w:noProof/>
        </w:rPr>
        <w:t>3</w:t>
      </w:r>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r w:rsidRPr="007502CF">
        <w:fldChar w:fldCharType="end"/>
      </w:r>
      <w:r w:rsidRPr="007502CF">
        <w:tab/>
        <w:t>Approach to achieving compliance with Section J of the NCC</w:t>
      </w:r>
      <w:bookmarkEnd w:id="1168"/>
      <w:bookmarkEnd w:id="1169"/>
    </w:p>
    <w:p w:rsidR="00612FD3" w:rsidRPr="00A97BEC" w:rsidRDefault="00612FD3" w:rsidP="00612FD3">
      <w:pPr>
        <w:pStyle w:val="Note"/>
      </w:pPr>
      <w:r w:rsidRPr="00DE30E6">
        <w:rPr>
          <w:noProof/>
          <w:lang w:eastAsia="en-AU"/>
        </w:rPr>
        <w:drawing>
          <wp:inline distT="0" distB="0" distL="0" distR="0" wp14:anchorId="36EAF765" wp14:editId="6F21AFCF">
            <wp:extent cx="5039995" cy="2437130"/>
            <wp:effectExtent l="0" t="0" r="8255" b="1270"/>
            <wp:docPr id="54" name="Picture 54" descr="The chart shows the approaches to achieve compliance (Performance Solution versus DTS). It shows that a large proportion of buildings achieve the compliance through the DTS route - from above 70 per cent for Premium offices and University/VET buildings to about 25 per cent for Shopping centres. It also shows that most buildings are built to only achieve the minimum stringency requirements of the NCC. &#10;" title="Approach to achieving compliance with Section J of the N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39995" cy="2437130"/>
                    </a:xfrm>
                    <a:prstGeom prst="rect">
                      <a:avLst/>
                    </a:prstGeom>
                    <a:solidFill>
                      <a:schemeClr val="bg2"/>
                    </a:solidFill>
                    <a:ln>
                      <a:noFill/>
                    </a:ln>
                  </pic:spPr>
                </pic:pic>
              </a:graphicData>
            </a:graphic>
          </wp:inline>
        </w:drawing>
      </w:r>
      <w:r w:rsidRPr="00A97BEC">
        <w:rPr>
          <w:i/>
        </w:rPr>
        <w:t xml:space="preserve">Note: </w:t>
      </w:r>
      <w:r w:rsidRPr="00F37514">
        <w:t>PS refers to a Performance Solution.</w:t>
      </w:r>
      <w:r w:rsidRPr="00AB1A53">
        <w:rPr>
          <w:noProof/>
          <w:lang w:eastAsia="en-AU"/>
        </w:rPr>
        <w:t xml:space="preserve"> </w:t>
      </w:r>
    </w:p>
    <w:p w:rsidR="00612FD3" w:rsidRDefault="00612FD3" w:rsidP="00612FD3">
      <w:pPr>
        <w:pStyle w:val="Source"/>
      </w:pPr>
      <w:r>
        <w:rPr>
          <w:i/>
        </w:rPr>
        <w:t>Data source</w:t>
      </w:r>
      <w:r w:rsidRPr="00A67576">
        <w:rPr>
          <w:i/>
        </w:rPr>
        <w:t>:</w:t>
      </w:r>
      <w:r>
        <w:t xml:space="preserve"> CIE Survey of building surveyors.</w:t>
      </w:r>
    </w:p>
    <w:p w:rsidR="00612FD3" w:rsidRDefault="00612FD3" w:rsidP="00612FD3">
      <w:pPr>
        <w:pStyle w:val="BodyText"/>
      </w:pPr>
      <w:r>
        <w:t>These results are based on a relatively small number of responses for some types of buildings. Furthermore, it is not clear whether the responses are representative of the industry more generally. Nevertheless, they provide some indication of the performance of new buildings relative to the minimum standards specified in the NCC.</w:t>
      </w:r>
    </w:p>
    <w:p w:rsidR="00612FD3" w:rsidRDefault="00612FD3" w:rsidP="00612FD3">
      <w:pPr>
        <w:pStyle w:val="BodyText"/>
      </w:pPr>
      <w:r>
        <w:t>Although the approach to achieving compliance with Section J of the NCC varies significantly across different buildings, it is evident from the chart that:</w:t>
      </w:r>
    </w:p>
    <w:p w:rsidR="00612FD3" w:rsidRDefault="00612FD3" w:rsidP="00612FD3">
      <w:pPr>
        <w:pStyle w:val="ListBullet"/>
        <w:numPr>
          <w:ilvl w:val="0"/>
          <w:numId w:val="36"/>
        </w:numPr>
      </w:pPr>
      <w:r>
        <w:t>most buildings are built to only achieve the minimum stringency requirements of the NCC; and</w:t>
      </w:r>
    </w:p>
    <w:p w:rsidR="00612FD3" w:rsidRDefault="00612FD3" w:rsidP="00612FD3">
      <w:pPr>
        <w:pStyle w:val="ListBullet"/>
        <w:numPr>
          <w:ilvl w:val="0"/>
          <w:numId w:val="36"/>
        </w:numPr>
      </w:pPr>
      <w:r>
        <w:t>a large proportion of buildings achieve the compliance through the DTS route.</w:t>
      </w:r>
    </w:p>
    <w:p w:rsidR="00612FD3" w:rsidRPr="00A84078" w:rsidRDefault="00612FD3" w:rsidP="00612FD3">
      <w:pPr>
        <w:pStyle w:val="Heading3"/>
        <w:numPr>
          <w:ilvl w:val="2"/>
          <w:numId w:val="5"/>
        </w:numPr>
      </w:pPr>
      <w:r>
        <w:t>Uptake of LED lighting under baseline¤</w:t>
      </w:r>
    </w:p>
    <w:p w:rsidR="00164C8C" w:rsidRDefault="00164C8C" w:rsidP="00164C8C">
      <w:pPr>
        <w:pStyle w:val="BodyText"/>
        <w:tabs>
          <w:tab w:val="left" w:pos="1730"/>
        </w:tabs>
      </w:pPr>
      <w:r>
        <w:t>Technological improvement is one factor contributing to the finding that significant improvements in energy performance can be achieved with lower construction costs. In particular, the revised NCC will reduce maximum illumination power densities, which will require LED lighting to be used for most buildings, except for cases where unique and highly designed solutions are adopted. The cost of LED lighting has fallen significantly over recent years and is estimated to be both cheaper and significantly more energy efficient than other technologies.</w:t>
      </w:r>
    </w:p>
    <w:p w:rsidR="00164C8C" w:rsidRPr="00116709" w:rsidRDefault="00164C8C" w:rsidP="00164C8C">
      <w:pPr>
        <w:pStyle w:val="BodyText"/>
        <w:tabs>
          <w:tab w:val="left" w:pos="1730"/>
        </w:tabs>
      </w:pPr>
      <w:r w:rsidRPr="00116709">
        <w:t xml:space="preserve">However, there is evidence to suggest that the market is widely adopting LED lighting, even without changes to the NCC. As pointed out by </w:t>
      </w:r>
      <w:r w:rsidR="003F28DD">
        <w:t>EA</w:t>
      </w:r>
      <w:r w:rsidRPr="00116709">
        <w:t xml:space="preserve"> in its </w:t>
      </w:r>
      <w:r w:rsidRPr="00116709">
        <w:rPr>
          <w:i/>
        </w:rPr>
        <w:t>Artificial Lighting Sub-report</w:t>
      </w:r>
      <w:r w:rsidRPr="00116709">
        <w:t xml:space="preserve"> (p. 9):</w:t>
      </w:r>
    </w:p>
    <w:p w:rsidR="00164C8C" w:rsidRPr="00116709" w:rsidRDefault="00164C8C" w:rsidP="00164C8C">
      <w:pPr>
        <w:pStyle w:val="Quote"/>
      </w:pPr>
      <w:r w:rsidRPr="00116709">
        <w:t>…LED technology is pushing fluorescent and metal halide technology out of its position as the main technology used in commercial buildings. LED is becoming ubiquitous in the vast majority of designs for new buildings, and driving energy efficiency lighting upgrades in existing buildings as well.</w:t>
      </w:r>
    </w:p>
    <w:p w:rsidR="00164C8C" w:rsidRPr="00116709" w:rsidRDefault="00164C8C" w:rsidP="00164C8C">
      <w:pPr>
        <w:pStyle w:val="Quote"/>
      </w:pPr>
      <w:r w:rsidRPr="00116709">
        <w:t>While the majority of suppliers still supply fluorescent and metal halide luminaires, Zumtobel Group (including Thorn Lighting) have announced that as of March 2017 they will only supply LED luminaires, technology development predictions provided to Energy Action by Pierlite indicate that fluorescent luminaires will be deleted from their range by 2019, Australume predicts a rise in the cost of their fluorescent luminaires as the demand for fluorescent technology decreases and many of the newest suppliers on the market have never offered a fluorescent or metal halide option.</w:t>
      </w:r>
    </w:p>
    <w:p w:rsidR="00164C8C" w:rsidRPr="00116709" w:rsidRDefault="00164C8C" w:rsidP="00164C8C">
      <w:pPr>
        <w:pStyle w:val="BodyText"/>
      </w:pPr>
      <w:r w:rsidRPr="00116709">
        <w:t>This is also consistent with the views of lighting industry stakeholders gathered through the preliminary stakeholder consultation process.</w:t>
      </w:r>
    </w:p>
    <w:p w:rsidR="00164C8C" w:rsidRDefault="00164C8C" w:rsidP="00164C8C">
      <w:pPr>
        <w:pStyle w:val="BodyText"/>
      </w:pPr>
      <w:r>
        <w:t>T</w:t>
      </w:r>
      <w:r w:rsidRPr="00365776">
        <w:t xml:space="preserve">he Productivity Commission </w:t>
      </w:r>
      <w:r>
        <w:t>has previously noted</w:t>
      </w:r>
      <w:r w:rsidRPr="00365776">
        <w:t xml:space="preserve"> </w:t>
      </w:r>
      <w:r>
        <w:t>that the under</w:t>
      </w:r>
      <w:r>
        <w:noBreakHyphen/>
        <w:t>estimation of the uptake of energy efficiency measures in the baseline can lead to CBAs</w:t>
      </w:r>
      <w:r w:rsidRPr="00365776">
        <w:t xml:space="preserve"> </w:t>
      </w:r>
      <w:r>
        <w:t>overstating</w:t>
      </w:r>
      <w:r w:rsidRPr="00365776">
        <w:t xml:space="preserve"> the potential for regulation to deliver cost-effective improvements in energy efficiency</w:t>
      </w:r>
      <w:r>
        <w:t>.</w:t>
      </w:r>
      <w:r w:rsidRPr="00365776">
        <w:rPr>
          <w:rStyle w:val="FootnoteReference"/>
        </w:rPr>
        <w:footnoteReference w:id="44"/>
      </w:r>
      <w:r w:rsidRPr="00365776">
        <w:t xml:space="preserve"> </w:t>
      </w:r>
      <w:r>
        <w:t>Failing to take into account the uptake of LED lighting would incorrectly attribute the benefits of technology improvements to the proposed changes to the NCC.</w:t>
      </w:r>
    </w:p>
    <w:p w:rsidR="00612FD3" w:rsidRPr="004F1A51" w:rsidRDefault="003F28DD" w:rsidP="00612FD3">
      <w:pPr>
        <w:pStyle w:val="BodyText"/>
      </w:pPr>
      <w:r>
        <w:t>EA</w:t>
      </w:r>
      <w:r w:rsidR="00164C8C" w:rsidRPr="0009354F">
        <w:t xml:space="preserve"> has therefore modelled the impacts of the proposed changes to the NCC assuming the use of LED lighting in the baseline</w:t>
      </w:r>
      <w:r w:rsidR="00164C8C">
        <w:t xml:space="preserve"> to reflect the status quo.</w:t>
      </w:r>
    </w:p>
    <w:p w:rsidR="00612FD3" w:rsidRDefault="00612FD3" w:rsidP="00612FD3">
      <w:pPr>
        <w:pStyle w:val="Heading2"/>
        <w:numPr>
          <w:ilvl w:val="1"/>
          <w:numId w:val="5"/>
        </w:numPr>
      </w:pPr>
      <w:bookmarkStart w:id="1170" w:name="_Toc529869840"/>
      <w:bookmarkStart w:id="1171" w:name="_Toc530748557"/>
      <w:r>
        <w:t>Estimating the impacts of proposed changes to the NCC</w:t>
      </w:r>
      <w:bookmarkEnd w:id="1170"/>
      <w:bookmarkEnd w:id="1171"/>
    </w:p>
    <w:p w:rsidR="00612FD3" w:rsidRDefault="00612FD3" w:rsidP="00612FD3">
      <w:pPr>
        <w:pStyle w:val="BodyText"/>
      </w:pPr>
      <w:r>
        <w:t>The primary impacts of changes in the stringency from increasing the minimum energy efficiency standards could include:</w:t>
      </w:r>
    </w:p>
    <w:p w:rsidR="00612FD3" w:rsidRDefault="00612FD3" w:rsidP="00612FD3">
      <w:pPr>
        <w:pStyle w:val="ListBullet"/>
        <w:numPr>
          <w:ilvl w:val="0"/>
          <w:numId w:val="36"/>
        </w:numPr>
      </w:pPr>
      <w:r>
        <w:t>changes in construction costs and/or building design</w:t>
      </w:r>
    </w:p>
    <w:p w:rsidR="00612FD3" w:rsidRDefault="00612FD3" w:rsidP="00612FD3">
      <w:pPr>
        <w:pStyle w:val="ListBullet"/>
        <w:numPr>
          <w:ilvl w:val="0"/>
          <w:numId w:val="36"/>
        </w:numPr>
      </w:pPr>
      <w:r>
        <w:t>energy savings during the building’s operation phase, which:</w:t>
      </w:r>
    </w:p>
    <w:p w:rsidR="00612FD3" w:rsidRDefault="00612FD3" w:rsidP="00612FD3">
      <w:pPr>
        <w:pStyle w:val="ListBullet2"/>
        <w:numPr>
          <w:ilvl w:val="1"/>
          <w:numId w:val="36"/>
        </w:numPr>
      </w:pPr>
      <w:r>
        <w:t>reduces energy bills for building occupants; and</w:t>
      </w:r>
    </w:p>
    <w:p w:rsidR="00612FD3" w:rsidRDefault="00612FD3" w:rsidP="00612FD3">
      <w:pPr>
        <w:pStyle w:val="ListBullet2"/>
        <w:numPr>
          <w:ilvl w:val="1"/>
          <w:numId w:val="36"/>
        </w:numPr>
      </w:pPr>
      <w:r>
        <w:t>reduces greenhouse gas emissions.</w:t>
      </w:r>
    </w:p>
    <w:p w:rsidR="00612FD3" w:rsidRDefault="00612FD3" w:rsidP="00612FD3">
      <w:pPr>
        <w:pStyle w:val="BodyText"/>
      </w:pPr>
      <w:r>
        <w:t>Other potential impacts include:</w:t>
      </w:r>
    </w:p>
    <w:p w:rsidR="00612FD3" w:rsidRDefault="00612FD3" w:rsidP="00612FD3">
      <w:pPr>
        <w:pStyle w:val="ListBullet"/>
        <w:numPr>
          <w:ilvl w:val="0"/>
          <w:numId w:val="36"/>
        </w:numPr>
      </w:pPr>
      <w:r>
        <w:t>streamlining regulatory processes; and</w:t>
      </w:r>
    </w:p>
    <w:p w:rsidR="00612FD3" w:rsidRDefault="00612FD3" w:rsidP="00612FD3">
      <w:pPr>
        <w:pStyle w:val="ListBullet"/>
        <w:numPr>
          <w:ilvl w:val="0"/>
          <w:numId w:val="36"/>
        </w:numPr>
      </w:pPr>
      <w:r>
        <w:t>simplification/clarification of the NCC requirements.</w:t>
      </w:r>
    </w:p>
    <w:p w:rsidR="00612FD3" w:rsidRDefault="00612FD3" w:rsidP="00612FD3">
      <w:pPr>
        <w:pStyle w:val="Heading3"/>
        <w:numPr>
          <w:ilvl w:val="2"/>
          <w:numId w:val="5"/>
        </w:numPr>
      </w:pPr>
      <w:r>
        <w:t>Estimating the building</w:t>
      </w:r>
      <w:r>
        <w:noBreakHyphen/>
        <w:t>level impacts</w:t>
      </w:r>
    </w:p>
    <w:p w:rsidR="00612FD3" w:rsidRDefault="00612FD3" w:rsidP="00612FD3">
      <w:pPr>
        <w:pStyle w:val="BodyText"/>
        <w:rPr>
          <w:lang w:val="en-GB"/>
        </w:rPr>
      </w:pPr>
      <w:r>
        <w:rPr>
          <w:lang w:val="en-GB"/>
        </w:rPr>
        <w:t>To understand the building</w:t>
      </w:r>
      <w:r>
        <w:rPr>
          <w:lang w:val="en-GB"/>
        </w:rPr>
        <w:noBreakHyphen/>
        <w:t xml:space="preserve">level impacts of the proposed changes to the NCC, we primarily draw on energy modelling by </w:t>
      </w:r>
      <w:r w:rsidR="003F28DD">
        <w:rPr>
          <w:lang w:val="en-GB"/>
        </w:rPr>
        <w:t>EA</w:t>
      </w:r>
      <w:r w:rsidR="00C860B9">
        <w:rPr>
          <w:rStyle w:val="FootnoteReference"/>
          <w:lang w:val="en-GB"/>
        </w:rPr>
        <w:footnoteReference w:id="45"/>
      </w:r>
      <w:r>
        <w:rPr>
          <w:lang w:val="en-GB"/>
        </w:rPr>
        <w:t>, supplemented by a number of case studies relating to actual buildings.</w:t>
      </w:r>
    </w:p>
    <w:p w:rsidR="006F7AE6" w:rsidRDefault="009D7595" w:rsidP="006F7AE6">
      <w:pPr>
        <w:pStyle w:val="BodyText"/>
        <w:rPr>
          <w:lang w:val="en-GB"/>
        </w:rPr>
      </w:pPr>
      <w:r>
        <w:rPr>
          <w:lang w:val="en-GB"/>
        </w:rPr>
        <w:t xml:space="preserve">The modelling was based on compliance through the DTS pathway. </w:t>
      </w:r>
      <w:r w:rsidR="003F28DD">
        <w:rPr>
          <w:lang w:val="en-GB"/>
        </w:rPr>
        <w:t>EA</w:t>
      </w:r>
      <w:r w:rsidR="00612FD3">
        <w:rPr>
          <w:lang w:val="en-GB"/>
        </w:rPr>
        <w:t xml:space="preserve"> modelled the impacts of the proposed changes to the </w:t>
      </w:r>
      <w:r>
        <w:rPr>
          <w:lang w:val="en-GB"/>
        </w:rPr>
        <w:t xml:space="preserve">DTS provisions of the </w:t>
      </w:r>
      <w:r w:rsidR="00612FD3">
        <w:rPr>
          <w:lang w:val="en-GB"/>
        </w:rPr>
        <w:t>NCC on 5 building archetypes that were broadly intended to be representative of particular commercial building sectors</w:t>
      </w:r>
      <w:r w:rsidR="006F7AE6">
        <w:rPr>
          <w:lang w:val="en-GB"/>
        </w:rPr>
        <w:t>. The 5 building archetypes are:</w:t>
      </w:r>
    </w:p>
    <w:p w:rsidR="006F7AE6" w:rsidRDefault="006F7AE6" w:rsidP="006F7AE6">
      <w:pPr>
        <w:pStyle w:val="ListBullet"/>
        <w:rPr>
          <w:lang w:val="en-GB"/>
        </w:rPr>
      </w:pPr>
      <w:r>
        <w:rPr>
          <w:lang w:val="en-GB"/>
        </w:rPr>
        <w:t>a hotel (archetype 3A);</w:t>
      </w:r>
    </w:p>
    <w:p w:rsidR="006F7AE6" w:rsidRDefault="006F7AE6" w:rsidP="006F7AE6">
      <w:pPr>
        <w:pStyle w:val="ListBullet"/>
        <w:rPr>
          <w:lang w:val="en-GB"/>
        </w:rPr>
      </w:pPr>
      <w:r>
        <w:rPr>
          <w:lang w:val="en-GB"/>
        </w:rPr>
        <w:t>an office building (archetype 5A);</w:t>
      </w:r>
    </w:p>
    <w:p w:rsidR="006F7AE6" w:rsidRDefault="006F7AE6" w:rsidP="006F7AE6">
      <w:pPr>
        <w:pStyle w:val="ListBullet"/>
        <w:rPr>
          <w:lang w:val="en-GB"/>
        </w:rPr>
      </w:pPr>
      <w:r>
        <w:rPr>
          <w:lang w:val="en-GB"/>
        </w:rPr>
        <w:t>a retail building (</w:t>
      </w:r>
      <w:r w:rsidR="009D7595">
        <w:rPr>
          <w:lang w:val="en-GB"/>
        </w:rPr>
        <w:t xml:space="preserve">archetype </w:t>
      </w:r>
      <w:r>
        <w:rPr>
          <w:lang w:val="en-GB"/>
        </w:rPr>
        <w:t>6B);</w:t>
      </w:r>
    </w:p>
    <w:p w:rsidR="006F7AE6" w:rsidRDefault="006F7AE6" w:rsidP="006F7AE6">
      <w:pPr>
        <w:pStyle w:val="ListBullet"/>
        <w:rPr>
          <w:lang w:val="en-GB"/>
        </w:rPr>
      </w:pPr>
      <w:r>
        <w:rPr>
          <w:lang w:val="en-GB"/>
        </w:rPr>
        <w:t>a healthcare building (</w:t>
      </w:r>
      <w:r w:rsidR="009D7595">
        <w:rPr>
          <w:lang w:val="en-GB"/>
        </w:rPr>
        <w:t xml:space="preserve">archetype </w:t>
      </w:r>
      <w:r>
        <w:rPr>
          <w:lang w:val="en-GB"/>
        </w:rPr>
        <w:t>9aC); and</w:t>
      </w:r>
    </w:p>
    <w:p w:rsidR="006F7AE6" w:rsidRDefault="006F7AE6" w:rsidP="006F7AE6">
      <w:pPr>
        <w:pStyle w:val="ListBullet"/>
        <w:rPr>
          <w:lang w:val="en-GB"/>
        </w:rPr>
      </w:pPr>
      <w:r>
        <w:rPr>
          <w:lang w:val="en-GB"/>
        </w:rPr>
        <w:t>a school building (</w:t>
      </w:r>
      <w:r w:rsidR="009D7595">
        <w:rPr>
          <w:lang w:val="en-GB"/>
        </w:rPr>
        <w:t xml:space="preserve">archetype </w:t>
      </w:r>
      <w:r>
        <w:rPr>
          <w:lang w:val="en-GB"/>
        </w:rPr>
        <w:t>9bH)</w:t>
      </w:r>
    </w:p>
    <w:p w:rsidR="00612FD3" w:rsidRDefault="006F7AE6" w:rsidP="00612FD3">
      <w:pPr>
        <w:pStyle w:val="BodyText"/>
        <w:rPr>
          <w:lang w:val="en-GB"/>
        </w:rPr>
      </w:pPr>
      <w:r>
        <w:rPr>
          <w:lang w:val="en-GB"/>
        </w:rPr>
        <w:t>Building geometry details and summarised in table </w:t>
      </w:r>
      <w:r>
        <w:rPr>
          <w:lang w:val="en-GB"/>
        </w:rPr>
        <w:fldChar w:fldCharType="begin"/>
      </w:r>
      <w:r>
        <w:rPr>
          <w:lang w:val="en-GB"/>
        </w:rPr>
        <w:instrText xml:space="preserve"> REF _Caption4098 </w:instrText>
      </w:r>
      <w:r>
        <w:rPr>
          <w:lang w:val="en-GB"/>
        </w:rPr>
        <w:fldChar w:fldCharType="separate"/>
      </w:r>
      <w:r w:rsidR="006B79B8">
        <w:rPr>
          <w:noProof/>
        </w:rPr>
        <w:t>4</w:t>
      </w:r>
      <w:r w:rsidR="006B79B8" w:rsidRPr="00695C93">
        <w:rPr>
          <w:noProof/>
        </w:rPr>
        <w:t>.</w:t>
      </w:r>
      <w:r w:rsidR="006B79B8">
        <w:rPr>
          <w:noProof/>
        </w:rPr>
        <w:t>4</w:t>
      </w:r>
      <w:r>
        <w:rPr>
          <w:lang w:val="en-GB"/>
        </w:rPr>
        <w:fldChar w:fldCharType="end"/>
      </w:r>
      <w:r>
        <w:rPr>
          <w:lang w:val="en-GB"/>
        </w:rPr>
        <w:t xml:space="preserve"> and described in further detail in appendix G</w:t>
      </w:r>
      <w:r w:rsidR="00612FD3">
        <w:rPr>
          <w:lang w:val="en-GB"/>
        </w:rPr>
        <w:t>.</w:t>
      </w:r>
    </w:p>
    <w:p w:rsidR="00612FD3" w:rsidRDefault="00612FD3" w:rsidP="00612FD3">
      <w:pPr>
        <w:pStyle w:val="Caption"/>
      </w:pPr>
      <w:r w:rsidRPr="00695C93">
        <w:fldChar w:fldCharType="begin"/>
      </w:r>
      <w:r w:rsidRPr="00695C93">
        <w:instrText xml:space="preserve"> IF 1 = 1 "</w:instrText>
      </w:r>
      <w:r w:rsidRPr="00695C93">
        <w:fldChar w:fldCharType="begin"/>
      </w:r>
      <w:r w:rsidRPr="00695C93">
        <w:instrText xml:space="preserve"> IF </w:instrText>
      </w:r>
      <w:r w:rsidR="00BA0599">
        <w:rPr>
          <w:noProof/>
        </w:rPr>
        <w:fldChar w:fldCharType="begin"/>
      </w:r>
      <w:r w:rsidR="00BA0599">
        <w:rPr>
          <w:noProof/>
        </w:rPr>
        <w:instrText xml:space="preserve"> STYLEREF "Heading 6" \l \n </w:instrText>
      </w:r>
      <w:r w:rsidR="00BA0599">
        <w:rPr>
          <w:noProof/>
        </w:rPr>
        <w:fldChar w:fldCharType="separate"/>
      </w:r>
      <w:r w:rsidR="00B833F1">
        <w:rPr>
          <w:noProof/>
        </w:rPr>
        <w:instrText>0</w:instrText>
      </w:r>
      <w:r w:rsidR="00BA0599">
        <w:rPr>
          <w:noProof/>
        </w:rPr>
        <w:fldChar w:fldCharType="end"/>
      </w:r>
      <w:r w:rsidRPr="00695C93">
        <w:instrText xml:space="preserve"> = 0 "</w:instrText>
      </w:r>
      <w:r w:rsidRPr="00695C93">
        <w:fldChar w:fldCharType="begin"/>
      </w:r>
      <w:r w:rsidRPr="00695C93">
        <w:instrText xml:space="preserve"> IF </w:instrText>
      </w:r>
      <w:r w:rsidR="00BA0599">
        <w:rPr>
          <w:noProof/>
        </w:rPr>
        <w:fldChar w:fldCharType="begin"/>
      </w:r>
      <w:r w:rsidR="00BA0599">
        <w:rPr>
          <w:noProof/>
        </w:rPr>
        <w:instrText xml:space="preserve"> STYLEREF "Heading 1" \l \n </w:instrText>
      </w:r>
      <w:r w:rsidR="00BA0599">
        <w:rPr>
          <w:noProof/>
        </w:rPr>
        <w:fldChar w:fldCharType="separate"/>
      </w:r>
      <w:r w:rsidR="00B833F1">
        <w:rPr>
          <w:noProof/>
        </w:rPr>
        <w:instrText>4</w:instrText>
      </w:r>
      <w:r w:rsidR="00BA0599">
        <w:rPr>
          <w:noProof/>
        </w:rPr>
        <w:fldChar w:fldCharType="end"/>
      </w:r>
      <w:r w:rsidRPr="00695C93">
        <w:instrText xml:space="preserve"> = 0 "" "</w:instrText>
      </w:r>
      <w:r w:rsidR="00BA0599">
        <w:rPr>
          <w:noProof/>
        </w:rPr>
        <w:fldChar w:fldCharType="begin"/>
      </w:r>
      <w:r w:rsidR="00BA0599">
        <w:rPr>
          <w:noProof/>
        </w:rPr>
        <w:instrText xml:space="preserve"> STYLEREF "Heading 1" \l \n </w:instrText>
      </w:r>
      <w:r w:rsidR="00BA0599">
        <w:rPr>
          <w:noProof/>
        </w:rPr>
        <w:fldChar w:fldCharType="separate"/>
      </w:r>
      <w:r w:rsidR="00B833F1">
        <w:rPr>
          <w:noProof/>
        </w:rPr>
        <w:instrText>4</w:instrText>
      </w:r>
      <w:r w:rsidR="00BA0599">
        <w:rPr>
          <w:noProof/>
        </w:rPr>
        <w:fldChar w:fldCharType="end"/>
      </w:r>
      <w:r w:rsidRPr="00695C93">
        <w:instrText xml:space="preserve">." </w:instrText>
      </w:r>
      <w:r w:rsidRPr="00695C93">
        <w:fldChar w:fldCharType="separate"/>
      </w:r>
      <w:r w:rsidR="00B833F1">
        <w:rPr>
          <w:noProof/>
        </w:rPr>
        <w:instrText>4</w:instrText>
      </w:r>
      <w:r w:rsidR="00B833F1" w:rsidRPr="00695C93">
        <w:rPr>
          <w:noProof/>
        </w:rPr>
        <w:instrText>.</w:instrText>
      </w:r>
      <w:r w:rsidRPr="00695C93">
        <w:fldChar w:fldCharType="end"/>
      </w:r>
      <w:r w:rsidRPr="00695C93">
        <w:instrText>" "</w:instrText>
      </w:r>
      <w:r w:rsidR="001F6F43">
        <w:fldChar w:fldCharType="begin"/>
      </w:r>
      <w:r w:rsidR="001F6F43">
        <w:instrText xml:space="preserve"> STYLEREF "Heading 6" \l \n </w:instrText>
      </w:r>
      <w:r w:rsidR="001F6F43">
        <w:fldChar w:fldCharType="separate"/>
      </w:r>
      <w:r w:rsidRPr="00695C93">
        <w:instrText>B</w:instrText>
      </w:r>
      <w:r w:rsidR="001F6F43">
        <w:fldChar w:fldCharType="end"/>
      </w:r>
      <w:r w:rsidRPr="00695C93">
        <w:instrText xml:space="preserve">." </w:instrText>
      </w:r>
      <w:r w:rsidRPr="00695C93">
        <w:fldChar w:fldCharType="separate"/>
      </w:r>
      <w:r w:rsidR="00EA42ED">
        <w:rPr>
          <w:noProof/>
        </w:rPr>
        <w:instrText>4</w:instrText>
      </w:r>
      <w:r w:rsidR="00EA42ED"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BA0599">
        <w:rPr>
          <w:noProof/>
        </w:rPr>
        <w:fldChar w:fldCharType="begin"/>
      </w:r>
      <w:r w:rsidR="00BA0599">
        <w:rPr>
          <w:noProof/>
        </w:rPr>
        <w:instrText xml:space="preserve"> STYLEREF "Heading 6" \l \n </w:instrText>
      </w:r>
      <w:r w:rsidR="00BA0599">
        <w:rPr>
          <w:noProof/>
        </w:rPr>
        <w:fldChar w:fldCharType="separate"/>
      </w:r>
      <w:r w:rsidR="00B833F1">
        <w:rPr>
          <w:noProof/>
        </w:rPr>
        <w:instrText>0</w:instrText>
      </w:r>
      <w:r w:rsidR="00BA0599">
        <w:rPr>
          <w:noProof/>
        </w:rPr>
        <w:fldChar w:fldCharType="end"/>
      </w:r>
      <w:r w:rsidRPr="00695C93">
        <w:instrText xml:space="preserve"> = 0 "</w:instrText>
      </w:r>
      <w:r w:rsidRPr="00695C93">
        <w:fldChar w:fldCharType="begin"/>
      </w:r>
      <w:r w:rsidRPr="00695C93">
        <w:instrText xml:space="preserve"> IF </w:instrText>
      </w:r>
      <w:r w:rsidR="00BA0599">
        <w:rPr>
          <w:noProof/>
        </w:rPr>
        <w:fldChar w:fldCharType="begin"/>
      </w:r>
      <w:r w:rsidR="00BA0599">
        <w:rPr>
          <w:noProof/>
        </w:rPr>
        <w:instrText xml:space="preserve"> STYLEREF "Heading 1" \l \n </w:instrText>
      </w:r>
      <w:r w:rsidR="00BA0599">
        <w:rPr>
          <w:noProof/>
        </w:rPr>
        <w:fldChar w:fldCharType="separate"/>
      </w:r>
      <w:r w:rsidR="00B833F1">
        <w:rPr>
          <w:noProof/>
        </w:rPr>
        <w:instrText>4</w:instrText>
      </w:r>
      <w:r w:rsidR="00BA0599">
        <w:rPr>
          <w:noProof/>
        </w:rPr>
        <w:fldChar w:fldCharType="end"/>
      </w:r>
      <w:r w:rsidRPr="00695C93">
        <w:instrText xml:space="preserve"> = 0 "" "1" </w:instrText>
      </w:r>
      <w:r w:rsidRPr="00695C93">
        <w:fldChar w:fldCharType="separate"/>
      </w:r>
      <w:r w:rsidR="00EA42ED" w:rsidRPr="00695C93">
        <w:rPr>
          <w:noProof/>
        </w:rPr>
        <w:instrText>1</w:instrText>
      </w:r>
      <w:r w:rsidRPr="00695C93">
        <w:fldChar w:fldCharType="end"/>
      </w:r>
      <w:r w:rsidRPr="00695C93">
        <w:instrText xml:space="preserve">" "6" </w:instrText>
      </w:r>
      <w:r w:rsidRPr="00695C93">
        <w:fldChar w:fldCharType="separate"/>
      </w:r>
      <w:r w:rsidR="00EA42ED" w:rsidRPr="00695C93">
        <w:rPr>
          <w:noProof/>
        </w:rPr>
        <w:instrText>1</w:instrText>
      </w:r>
      <w:r w:rsidRPr="00695C93">
        <w:fldChar w:fldCharType="end"/>
      </w:r>
      <w:r w:rsidRPr="00695C93">
        <w:instrText xml:space="preserve"> </w:instrText>
      </w:r>
      <w:r w:rsidRPr="00695C93">
        <w:fldChar w:fldCharType="separate"/>
      </w:r>
      <w:r w:rsidR="00B833F1">
        <w:rPr>
          <w:noProof/>
        </w:rPr>
        <w:instrText>4</w:instrText>
      </w:r>
      <w:r w:rsidRPr="00695C93">
        <w:fldChar w:fldCharType="end"/>
      </w:r>
      <w:r w:rsidRPr="00695C93">
        <w:instrText xml:space="preserve">" "" </w:instrText>
      </w:r>
      <w:r w:rsidRPr="00695C93">
        <w:fldChar w:fldCharType="separate"/>
      </w:r>
      <w:bookmarkStart w:id="1172" w:name="_Caption2296"/>
      <w:bookmarkStart w:id="1173" w:name="_Caption4531"/>
      <w:bookmarkStart w:id="1174" w:name="_Caption9117"/>
      <w:bookmarkStart w:id="1175" w:name="_Caption9191"/>
      <w:bookmarkStart w:id="1176" w:name="_Caption1126"/>
      <w:bookmarkStart w:id="1177" w:name="_Caption5354"/>
      <w:bookmarkStart w:id="1178" w:name="_Caption6227"/>
      <w:bookmarkStart w:id="1179" w:name="_Caption6847"/>
      <w:bookmarkStart w:id="1180" w:name="_Caption6254"/>
      <w:bookmarkStart w:id="1181" w:name="_Caption2392"/>
      <w:bookmarkStart w:id="1182" w:name="_Caption5822"/>
      <w:bookmarkStart w:id="1183" w:name="_Caption3156"/>
      <w:bookmarkStart w:id="1184" w:name="_Caption6899"/>
      <w:bookmarkStart w:id="1185" w:name="_Caption2461"/>
      <w:bookmarkStart w:id="1186" w:name="_Caption4425"/>
      <w:bookmarkStart w:id="1187" w:name="_Caption1730"/>
      <w:bookmarkStart w:id="1188" w:name="_Caption0483"/>
      <w:bookmarkStart w:id="1189" w:name="_Caption9209"/>
      <w:bookmarkStart w:id="1190" w:name="_Caption3768"/>
      <w:bookmarkStart w:id="1191" w:name="_Caption6632"/>
      <w:bookmarkStart w:id="1192" w:name="_Caption1506"/>
      <w:bookmarkStart w:id="1193" w:name="_Caption1986"/>
      <w:bookmarkStart w:id="1194" w:name="_Caption4609"/>
      <w:bookmarkStart w:id="1195" w:name="_Caption1147"/>
      <w:bookmarkStart w:id="1196" w:name="_Caption8836"/>
      <w:bookmarkStart w:id="1197" w:name="_Caption0573"/>
      <w:bookmarkStart w:id="1198" w:name="_Caption6138"/>
      <w:bookmarkStart w:id="1199" w:name="_Caption2840"/>
      <w:bookmarkStart w:id="1200" w:name="_Caption5316"/>
      <w:bookmarkStart w:id="1201" w:name="_Caption8582"/>
      <w:bookmarkStart w:id="1202" w:name="_Caption9228"/>
      <w:bookmarkStart w:id="1203" w:name="_Caption3516"/>
      <w:bookmarkStart w:id="1204" w:name="_Caption2112"/>
      <w:bookmarkStart w:id="1205" w:name="_Caption6749"/>
      <w:bookmarkStart w:id="1206" w:name="_Caption3148"/>
      <w:bookmarkStart w:id="1207" w:name="_Caption7786"/>
      <w:bookmarkStart w:id="1208" w:name="_Caption9705"/>
      <w:bookmarkStart w:id="1209" w:name="_Caption0961"/>
      <w:bookmarkStart w:id="1210" w:name="_Caption4098"/>
      <w:bookmarkStart w:id="1211" w:name="_Caption8325"/>
      <w:bookmarkStart w:id="1212" w:name="_Caption8687"/>
      <w:bookmarkStart w:id="1213" w:name="_Caption8581"/>
      <w:bookmarkStart w:id="1214" w:name="_Caption2153"/>
      <w:bookmarkStart w:id="1215" w:name="_Caption8475"/>
      <w:bookmarkStart w:id="1216" w:name="_Caption0437"/>
      <w:bookmarkStart w:id="1217" w:name="_Caption8136"/>
      <w:bookmarkStart w:id="1218" w:name="_Caption5616"/>
      <w:bookmarkStart w:id="1219" w:name="_Caption8067"/>
      <w:bookmarkStart w:id="1220" w:name="_Caption6988"/>
      <w:bookmarkStart w:id="1221" w:name="_Caption1594"/>
      <w:bookmarkStart w:id="1222" w:name="_Caption4251"/>
      <w:bookmarkStart w:id="1223" w:name="_Caption8526"/>
      <w:bookmarkStart w:id="1224" w:name="_Caption5959"/>
      <w:bookmarkStart w:id="1225" w:name="_Caption5297"/>
      <w:bookmarkStart w:id="1226" w:name="_Caption5533"/>
      <w:bookmarkStart w:id="1227" w:name="_Caption1618"/>
      <w:bookmarkStart w:id="1228" w:name="_Caption4506"/>
      <w:bookmarkStart w:id="1229" w:name="_Caption2258"/>
      <w:bookmarkStart w:id="1230" w:name="_Caption9893"/>
      <w:bookmarkStart w:id="1231" w:name="_Caption9665"/>
      <w:bookmarkStart w:id="1232" w:name="_Caption9038"/>
      <w:bookmarkStart w:id="1233" w:name="_Caption1949"/>
      <w:bookmarkStart w:id="1234" w:name="_Caption6746"/>
      <w:bookmarkStart w:id="1235" w:name="_Caption1394"/>
      <w:bookmarkStart w:id="1236" w:name="_Caption1753"/>
      <w:bookmarkStart w:id="1237" w:name="_Caption0964"/>
      <w:bookmarkStart w:id="1238" w:name="_Caption1772"/>
      <w:bookmarkStart w:id="1239" w:name="_Toc529869905"/>
      <w:bookmarkStart w:id="1240" w:name="_Toc530748401"/>
      <w:r w:rsidR="00EA42ED">
        <w:rPr>
          <w:noProof/>
        </w:rPr>
        <w:t>4</w:t>
      </w:r>
      <w:r w:rsidR="00EA42ED" w:rsidRPr="00695C93">
        <w:rPr>
          <w:noProof/>
        </w:rPr>
        <w:t>.</w:t>
      </w:r>
      <w:r w:rsidR="00EA42ED">
        <w:rPr>
          <w:noProof/>
        </w:rPr>
        <w:t>4</w:t>
      </w:r>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r w:rsidRPr="00695C93">
        <w:fldChar w:fldCharType="end"/>
      </w:r>
      <w:r w:rsidRPr="00695C93">
        <w:tab/>
      </w:r>
      <w:r>
        <w:t>Building geometry details</w:t>
      </w:r>
      <w:bookmarkEnd w:id="1239"/>
      <w:bookmarkEnd w:id="1240"/>
    </w:p>
    <w:tbl>
      <w:tblPr>
        <w:tblW w:w="0" w:type="auto"/>
        <w:tblLayout w:type="fixed"/>
        <w:tblLook w:val="0000" w:firstRow="0" w:lastRow="0" w:firstColumn="0" w:lastColumn="0" w:noHBand="0" w:noVBand="0"/>
        <w:tblCaption w:val="Table 4.4: Building geometry details"/>
        <w:tblDescription w:val="The table outlines the building geometry of each building tested by Energy Action modelling. A class 3, 5, 6, 9a and 9b were selected as being representative of the types of buildings impacted by the proposal. "/>
      </w:tblPr>
      <w:tblGrid>
        <w:gridCol w:w="1701"/>
        <w:gridCol w:w="944"/>
        <w:gridCol w:w="1323"/>
        <w:gridCol w:w="1323"/>
        <w:gridCol w:w="1323"/>
        <w:gridCol w:w="1323"/>
      </w:tblGrid>
      <w:tr w:rsidR="00612FD3" w:rsidTr="0045144D">
        <w:tc>
          <w:tcPr>
            <w:tcW w:w="1701" w:type="dxa"/>
            <w:tcBorders>
              <w:bottom w:val="single" w:sz="8" w:space="0" w:color="FFFFFF" w:themeColor="background1"/>
            </w:tcBorders>
            <w:shd w:val="clear" w:color="auto" w:fill="6F6652"/>
            <w:tcMar>
              <w:left w:w="57" w:type="dxa"/>
              <w:right w:w="57" w:type="dxa"/>
            </w:tcMar>
          </w:tcPr>
          <w:p w:rsidR="00612FD3" w:rsidRDefault="00612FD3" w:rsidP="00301B6D">
            <w:pPr>
              <w:pStyle w:val="TableDataColumnHeading"/>
              <w:jc w:val="left"/>
              <w:rPr>
                <w:lang w:bidi="fa-IR"/>
              </w:rPr>
            </w:pPr>
            <w:r>
              <w:rPr>
                <w:lang w:bidi="fa-IR"/>
              </w:rPr>
              <w:t>Building</w:t>
            </w:r>
          </w:p>
        </w:tc>
        <w:tc>
          <w:tcPr>
            <w:tcW w:w="944" w:type="dxa"/>
            <w:tcBorders>
              <w:bottom w:val="single" w:sz="8" w:space="0" w:color="FFFFFF" w:themeColor="background1"/>
            </w:tcBorders>
            <w:shd w:val="clear" w:color="auto" w:fill="6F6652"/>
            <w:tcMar>
              <w:left w:w="57" w:type="dxa"/>
              <w:right w:w="57" w:type="dxa"/>
            </w:tcMar>
          </w:tcPr>
          <w:p w:rsidR="00612FD3" w:rsidRDefault="00612FD3" w:rsidP="00301B6D">
            <w:pPr>
              <w:pStyle w:val="TableDataColumnHeading"/>
              <w:rPr>
                <w:lang w:bidi="fa-IR"/>
              </w:rPr>
            </w:pPr>
            <w:r>
              <w:rPr>
                <w:lang w:bidi="fa-IR"/>
              </w:rPr>
              <w:t>3A</w:t>
            </w:r>
          </w:p>
        </w:tc>
        <w:tc>
          <w:tcPr>
            <w:tcW w:w="1323" w:type="dxa"/>
            <w:tcBorders>
              <w:bottom w:val="single" w:sz="8" w:space="0" w:color="FFFFFF" w:themeColor="background1"/>
            </w:tcBorders>
            <w:shd w:val="clear" w:color="auto" w:fill="6F6652"/>
            <w:tcMar>
              <w:left w:w="57" w:type="dxa"/>
              <w:right w:w="57" w:type="dxa"/>
            </w:tcMar>
          </w:tcPr>
          <w:p w:rsidR="00612FD3" w:rsidRDefault="00612FD3" w:rsidP="00301B6D">
            <w:pPr>
              <w:pStyle w:val="TableDataColumnHeading"/>
              <w:rPr>
                <w:lang w:bidi="fa-IR"/>
              </w:rPr>
            </w:pPr>
            <w:r>
              <w:rPr>
                <w:lang w:bidi="fa-IR"/>
              </w:rPr>
              <w:t>5A</w:t>
            </w:r>
          </w:p>
        </w:tc>
        <w:tc>
          <w:tcPr>
            <w:tcW w:w="1323" w:type="dxa"/>
            <w:tcBorders>
              <w:bottom w:val="single" w:sz="8" w:space="0" w:color="FFFFFF" w:themeColor="background1"/>
            </w:tcBorders>
            <w:shd w:val="clear" w:color="auto" w:fill="6F6652"/>
            <w:tcMar>
              <w:left w:w="57" w:type="dxa"/>
              <w:right w:w="57" w:type="dxa"/>
            </w:tcMar>
          </w:tcPr>
          <w:p w:rsidR="00612FD3" w:rsidRDefault="00612FD3" w:rsidP="00301B6D">
            <w:pPr>
              <w:pStyle w:val="TableDataColumnHeading"/>
              <w:rPr>
                <w:lang w:bidi="fa-IR"/>
              </w:rPr>
            </w:pPr>
            <w:r>
              <w:rPr>
                <w:lang w:bidi="fa-IR"/>
              </w:rPr>
              <w:t>6B</w:t>
            </w:r>
          </w:p>
        </w:tc>
        <w:tc>
          <w:tcPr>
            <w:tcW w:w="1323" w:type="dxa"/>
            <w:tcBorders>
              <w:bottom w:val="single" w:sz="8" w:space="0" w:color="FFFFFF" w:themeColor="background1"/>
            </w:tcBorders>
            <w:shd w:val="clear" w:color="auto" w:fill="6F6652"/>
            <w:tcMar>
              <w:left w:w="57" w:type="dxa"/>
              <w:right w:w="57" w:type="dxa"/>
            </w:tcMar>
          </w:tcPr>
          <w:p w:rsidR="00612FD3" w:rsidRDefault="00612FD3" w:rsidP="00301B6D">
            <w:pPr>
              <w:pStyle w:val="TableDataColumnHeading"/>
              <w:rPr>
                <w:lang w:bidi="fa-IR"/>
              </w:rPr>
            </w:pPr>
            <w:r>
              <w:rPr>
                <w:lang w:bidi="fa-IR"/>
              </w:rPr>
              <w:t>9aC</w:t>
            </w:r>
          </w:p>
        </w:tc>
        <w:tc>
          <w:tcPr>
            <w:tcW w:w="1323" w:type="dxa"/>
            <w:tcBorders>
              <w:bottom w:val="single" w:sz="8" w:space="0" w:color="FFFFFF" w:themeColor="background1"/>
            </w:tcBorders>
            <w:shd w:val="clear" w:color="auto" w:fill="6F6652"/>
            <w:tcMar>
              <w:left w:w="57" w:type="dxa"/>
              <w:right w:w="57" w:type="dxa"/>
            </w:tcMar>
          </w:tcPr>
          <w:p w:rsidR="00612FD3" w:rsidRDefault="00612FD3" w:rsidP="00301B6D">
            <w:pPr>
              <w:pStyle w:val="TableDataColumnHeading"/>
              <w:rPr>
                <w:lang w:bidi="fa-IR"/>
              </w:rPr>
            </w:pPr>
            <w:r>
              <w:rPr>
                <w:lang w:bidi="fa-IR"/>
              </w:rPr>
              <w:t>9bH</w:t>
            </w:r>
          </w:p>
        </w:tc>
      </w:tr>
      <w:tr w:rsidR="00612FD3" w:rsidTr="0045144D">
        <w:tc>
          <w:tcPr>
            <w:tcW w:w="170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jc w:val="left"/>
              <w:rPr>
                <w:lang w:bidi="fa-IR"/>
              </w:rPr>
            </w:pPr>
            <w:r>
              <w:rPr>
                <w:lang w:bidi="fa-IR"/>
              </w:rPr>
              <w:t>Occupancy type</w:t>
            </w:r>
          </w:p>
        </w:tc>
        <w:tc>
          <w:tcPr>
            <w:tcW w:w="94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bidi="fa-IR"/>
              </w:rPr>
            </w:pPr>
            <w:r>
              <w:rPr>
                <w:lang w:bidi="fa-IR"/>
              </w:rPr>
              <w:t>Hotel</w:t>
            </w:r>
          </w:p>
        </w:tc>
        <w:tc>
          <w:tcPr>
            <w:tcW w:w="13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bidi="fa-IR"/>
              </w:rPr>
            </w:pPr>
            <w:r>
              <w:rPr>
                <w:lang w:bidi="fa-IR"/>
              </w:rPr>
              <w:t>Office</w:t>
            </w:r>
          </w:p>
        </w:tc>
        <w:tc>
          <w:tcPr>
            <w:tcW w:w="13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bidi="fa-IR"/>
              </w:rPr>
            </w:pPr>
            <w:r>
              <w:rPr>
                <w:lang w:bidi="fa-IR"/>
              </w:rPr>
              <w:t>Retail</w:t>
            </w:r>
          </w:p>
        </w:tc>
        <w:tc>
          <w:tcPr>
            <w:tcW w:w="13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bidi="fa-IR"/>
              </w:rPr>
            </w:pPr>
            <w:r>
              <w:rPr>
                <w:lang w:bidi="fa-IR"/>
              </w:rPr>
              <w:t>Clinic</w:t>
            </w:r>
          </w:p>
        </w:tc>
        <w:tc>
          <w:tcPr>
            <w:tcW w:w="13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bidi="fa-IR"/>
              </w:rPr>
            </w:pPr>
            <w:r>
              <w:rPr>
                <w:lang w:bidi="fa-IR"/>
              </w:rPr>
              <w:t>School</w:t>
            </w:r>
          </w:p>
        </w:tc>
      </w:tr>
      <w:tr w:rsidR="00612FD3" w:rsidTr="0045144D">
        <w:tc>
          <w:tcPr>
            <w:tcW w:w="170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Pr="00DC3807" w:rsidRDefault="00612FD3" w:rsidP="00301B6D">
            <w:pPr>
              <w:pStyle w:val="TableDataEntries"/>
              <w:jc w:val="left"/>
              <w:rPr>
                <w:lang w:bidi="fa-IR"/>
              </w:rPr>
            </w:pPr>
            <w:r>
              <w:rPr>
                <w:lang w:bidi="fa-IR"/>
              </w:rPr>
              <w:t>NLA (m</w:t>
            </w:r>
            <w:r>
              <w:rPr>
                <w:vertAlign w:val="superscript"/>
                <w:lang w:bidi="fa-IR"/>
              </w:rPr>
              <w:t>2</w:t>
            </w:r>
            <w:r>
              <w:rPr>
                <w:lang w:bidi="fa-IR"/>
              </w:rPr>
              <w:t>)</w:t>
            </w:r>
          </w:p>
        </w:tc>
        <w:tc>
          <w:tcPr>
            <w:tcW w:w="94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bidi="fa-IR"/>
              </w:rPr>
            </w:pPr>
            <w:r>
              <w:rPr>
                <w:lang w:bidi="fa-IR"/>
              </w:rPr>
              <w:t>9,000</w:t>
            </w:r>
          </w:p>
        </w:tc>
        <w:tc>
          <w:tcPr>
            <w:tcW w:w="13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bidi="fa-IR"/>
              </w:rPr>
            </w:pPr>
            <w:r>
              <w:rPr>
                <w:lang w:bidi="fa-IR"/>
              </w:rPr>
              <w:t>9,000</w:t>
            </w:r>
          </w:p>
        </w:tc>
        <w:tc>
          <w:tcPr>
            <w:tcW w:w="13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bidi="fa-IR"/>
              </w:rPr>
            </w:pPr>
            <w:r>
              <w:rPr>
                <w:lang w:bidi="fa-IR"/>
              </w:rPr>
              <w:t>1,800</w:t>
            </w:r>
          </w:p>
        </w:tc>
        <w:tc>
          <w:tcPr>
            <w:tcW w:w="13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bidi="fa-IR"/>
              </w:rPr>
            </w:pPr>
            <w:r>
              <w:rPr>
                <w:lang w:bidi="fa-IR"/>
              </w:rPr>
              <w:t>950</w:t>
            </w:r>
          </w:p>
        </w:tc>
        <w:tc>
          <w:tcPr>
            <w:tcW w:w="13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bidi="fa-IR"/>
              </w:rPr>
            </w:pPr>
            <w:r>
              <w:rPr>
                <w:lang w:bidi="fa-IR"/>
              </w:rPr>
              <w:t>2,790</w:t>
            </w:r>
          </w:p>
        </w:tc>
      </w:tr>
      <w:tr w:rsidR="00612FD3" w:rsidTr="0045144D">
        <w:tc>
          <w:tcPr>
            <w:tcW w:w="170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jc w:val="left"/>
              <w:rPr>
                <w:lang w:bidi="fa-IR"/>
              </w:rPr>
            </w:pPr>
            <w:r>
              <w:rPr>
                <w:lang w:bidi="fa-IR"/>
              </w:rPr>
              <w:t>Storeys</w:t>
            </w:r>
          </w:p>
        </w:tc>
        <w:tc>
          <w:tcPr>
            <w:tcW w:w="94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bidi="fa-IR"/>
              </w:rPr>
            </w:pPr>
            <w:r>
              <w:rPr>
                <w:lang w:bidi="fa-IR"/>
              </w:rPr>
              <w:t>10</w:t>
            </w:r>
          </w:p>
        </w:tc>
        <w:tc>
          <w:tcPr>
            <w:tcW w:w="13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bidi="fa-IR"/>
              </w:rPr>
            </w:pPr>
            <w:r>
              <w:rPr>
                <w:lang w:bidi="fa-IR"/>
              </w:rPr>
              <w:t>10</w:t>
            </w:r>
          </w:p>
        </w:tc>
        <w:tc>
          <w:tcPr>
            <w:tcW w:w="13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bidi="fa-IR"/>
              </w:rPr>
            </w:pPr>
            <w:r>
              <w:rPr>
                <w:lang w:bidi="fa-IR"/>
              </w:rPr>
              <w:t>3</w:t>
            </w:r>
          </w:p>
        </w:tc>
        <w:tc>
          <w:tcPr>
            <w:tcW w:w="13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bidi="fa-IR"/>
              </w:rPr>
            </w:pPr>
            <w:r>
              <w:rPr>
                <w:lang w:bidi="fa-IR"/>
              </w:rPr>
              <w:t>1</w:t>
            </w:r>
          </w:p>
        </w:tc>
        <w:tc>
          <w:tcPr>
            <w:tcW w:w="13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bidi="fa-IR"/>
              </w:rPr>
            </w:pPr>
            <w:r>
              <w:rPr>
                <w:lang w:bidi="fa-IR"/>
              </w:rPr>
              <w:t>3</w:t>
            </w:r>
          </w:p>
        </w:tc>
      </w:tr>
      <w:tr w:rsidR="00612FD3" w:rsidTr="0045144D">
        <w:tc>
          <w:tcPr>
            <w:tcW w:w="170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jc w:val="left"/>
              <w:rPr>
                <w:lang w:bidi="fa-IR"/>
              </w:rPr>
            </w:pPr>
            <w:r>
              <w:rPr>
                <w:lang w:bidi="fa-IR"/>
              </w:rPr>
              <w:t>WWR (%)</w:t>
            </w:r>
          </w:p>
        </w:tc>
        <w:tc>
          <w:tcPr>
            <w:tcW w:w="94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bidi="fa-IR"/>
              </w:rPr>
            </w:pPr>
            <w:r>
              <w:rPr>
                <w:lang w:bidi="fa-IR"/>
              </w:rPr>
              <w:t>30</w:t>
            </w:r>
          </w:p>
        </w:tc>
        <w:tc>
          <w:tcPr>
            <w:tcW w:w="13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bidi="fa-IR"/>
              </w:rPr>
            </w:pPr>
            <w:r>
              <w:rPr>
                <w:lang w:bidi="fa-IR"/>
              </w:rPr>
              <w:t>56/50 and 40</w:t>
            </w:r>
          </w:p>
        </w:tc>
        <w:tc>
          <w:tcPr>
            <w:tcW w:w="13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bidi="fa-IR"/>
              </w:rPr>
            </w:pPr>
            <w:r>
              <w:rPr>
                <w:lang w:bidi="fa-IR"/>
              </w:rPr>
              <w:t>30</w:t>
            </w:r>
          </w:p>
        </w:tc>
        <w:tc>
          <w:tcPr>
            <w:tcW w:w="13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bidi="fa-IR"/>
              </w:rPr>
            </w:pPr>
            <w:r>
              <w:rPr>
                <w:lang w:bidi="fa-IR"/>
              </w:rPr>
              <w:t>30</w:t>
            </w:r>
          </w:p>
        </w:tc>
        <w:tc>
          <w:tcPr>
            <w:tcW w:w="13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bidi="fa-IR"/>
              </w:rPr>
            </w:pPr>
            <w:r>
              <w:rPr>
                <w:lang w:bidi="fa-IR"/>
              </w:rPr>
              <w:t>30</w:t>
            </w:r>
          </w:p>
        </w:tc>
      </w:tr>
      <w:tr w:rsidR="00612FD3" w:rsidTr="0045144D">
        <w:tc>
          <w:tcPr>
            <w:tcW w:w="170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jc w:val="left"/>
              <w:rPr>
                <w:lang w:bidi="fa-IR"/>
              </w:rPr>
            </w:pPr>
            <w:r>
              <w:rPr>
                <w:lang w:bidi="fa-IR"/>
              </w:rPr>
              <w:t>Floor length (m)</w:t>
            </w:r>
          </w:p>
        </w:tc>
        <w:tc>
          <w:tcPr>
            <w:tcW w:w="94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bidi="fa-IR"/>
              </w:rPr>
            </w:pPr>
            <w:r>
              <w:rPr>
                <w:lang w:bidi="fa-IR"/>
              </w:rPr>
              <w:t>31.6</w:t>
            </w:r>
          </w:p>
        </w:tc>
        <w:tc>
          <w:tcPr>
            <w:tcW w:w="13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bidi="fa-IR"/>
              </w:rPr>
            </w:pPr>
            <w:r>
              <w:rPr>
                <w:lang w:bidi="fa-IR"/>
              </w:rPr>
              <w:t>31.6</w:t>
            </w:r>
          </w:p>
        </w:tc>
        <w:tc>
          <w:tcPr>
            <w:tcW w:w="13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bidi="fa-IR"/>
              </w:rPr>
            </w:pPr>
            <w:r>
              <w:rPr>
                <w:lang w:bidi="fa-IR"/>
              </w:rPr>
              <w:t>36.5</w:t>
            </w:r>
          </w:p>
        </w:tc>
        <w:tc>
          <w:tcPr>
            <w:tcW w:w="13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bidi="fa-IR"/>
              </w:rPr>
            </w:pPr>
            <w:r>
              <w:rPr>
                <w:lang w:bidi="fa-IR"/>
              </w:rPr>
              <w:t>31.6</w:t>
            </w:r>
          </w:p>
        </w:tc>
        <w:tc>
          <w:tcPr>
            <w:tcW w:w="13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bidi="fa-IR"/>
              </w:rPr>
            </w:pPr>
            <w:r>
              <w:rPr>
                <w:lang w:bidi="fa-IR"/>
              </w:rPr>
              <w:t>38.75</w:t>
            </w:r>
          </w:p>
        </w:tc>
      </w:tr>
      <w:tr w:rsidR="00612FD3" w:rsidTr="0045144D">
        <w:tc>
          <w:tcPr>
            <w:tcW w:w="170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jc w:val="left"/>
              <w:rPr>
                <w:lang w:bidi="fa-IR"/>
              </w:rPr>
            </w:pPr>
            <w:r>
              <w:rPr>
                <w:lang w:bidi="fa-IR"/>
              </w:rPr>
              <w:t>Floor depth (m)</w:t>
            </w:r>
          </w:p>
        </w:tc>
        <w:tc>
          <w:tcPr>
            <w:tcW w:w="94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bidi="fa-IR"/>
              </w:rPr>
            </w:pPr>
            <w:r>
              <w:rPr>
                <w:lang w:bidi="fa-IR"/>
              </w:rPr>
              <w:t>31.6</w:t>
            </w:r>
          </w:p>
        </w:tc>
        <w:tc>
          <w:tcPr>
            <w:tcW w:w="13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bidi="fa-IR"/>
              </w:rPr>
            </w:pPr>
            <w:r>
              <w:rPr>
                <w:lang w:bidi="fa-IR"/>
              </w:rPr>
              <w:t>31.6</w:t>
            </w:r>
          </w:p>
        </w:tc>
        <w:tc>
          <w:tcPr>
            <w:tcW w:w="13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bidi="fa-IR"/>
              </w:rPr>
            </w:pPr>
            <w:r>
              <w:rPr>
                <w:lang w:bidi="fa-IR"/>
              </w:rPr>
              <w:t>18.3</w:t>
            </w:r>
          </w:p>
        </w:tc>
        <w:tc>
          <w:tcPr>
            <w:tcW w:w="13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bidi="fa-IR"/>
              </w:rPr>
            </w:pPr>
            <w:r>
              <w:rPr>
                <w:lang w:bidi="fa-IR"/>
              </w:rPr>
              <w:t>31.6</w:t>
            </w:r>
          </w:p>
        </w:tc>
        <w:tc>
          <w:tcPr>
            <w:tcW w:w="13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bidi="fa-IR"/>
              </w:rPr>
            </w:pPr>
            <w:r>
              <w:rPr>
                <w:lang w:bidi="fa-IR"/>
              </w:rPr>
              <w:t>30.0</w:t>
            </w:r>
          </w:p>
        </w:tc>
      </w:tr>
      <w:tr w:rsidR="00612FD3" w:rsidTr="0045144D">
        <w:tc>
          <w:tcPr>
            <w:tcW w:w="170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jc w:val="left"/>
              <w:rPr>
                <w:lang w:bidi="fa-IR"/>
              </w:rPr>
            </w:pPr>
            <w:r>
              <w:rPr>
                <w:lang w:bidi="fa-IR"/>
              </w:rPr>
              <w:t>Floor to floor height (m)</w:t>
            </w:r>
          </w:p>
        </w:tc>
        <w:tc>
          <w:tcPr>
            <w:tcW w:w="94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bidi="fa-IR"/>
              </w:rPr>
            </w:pPr>
            <w:r>
              <w:rPr>
                <w:lang w:bidi="fa-IR"/>
              </w:rPr>
              <w:t>3.6</w:t>
            </w:r>
          </w:p>
        </w:tc>
        <w:tc>
          <w:tcPr>
            <w:tcW w:w="13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bidi="fa-IR"/>
              </w:rPr>
            </w:pPr>
            <w:r>
              <w:rPr>
                <w:lang w:bidi="fa-IR"/>
              </w:rPr>
              <w:t>3.6</w:t>
            </w:r>
          </w:p>
        </w:tc>
        <w:tc>
          <w:tcPr>
            <w:tcW w:w="13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bidi="fa-IR"/>
              </w:rPr>
            </w:pPr>
            <w:r>
              <w:rPr>
                <w:lang w:bidi="fa-IR"/>
              </w:rPr>
              <w:t>3.6</w:t>
            </w:r>
          </w:p>
        </w:tc>
        <w:tc>
          <w:tcPr>
            <w:tcW w:w="13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bidi="fa-IR"/>
              </w:rPr>
            </w:pPr>
            <w:r>
              <w:rPr>
                <w:lang w:bidi="fa-IR"/>
              </w:rPr>
              <w:t>6.0</w:t>
            </w:r>
          </w:p>
        </w:tc>
        <w:tc>
          <w:tcPr>
            <w:tcW w:w="13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bidi="fa-IR"/>
              </w:rPr>
            </w:pPr>
            <w:r>
              <w:rPr>
                <w:lang w:bidi="fa-IR"/>
              </w:rPr>
              <w:t>3.0</w:t>
            </w:r>
          </w:p>
        </w:tc>
      </w:tr>
      <w:tr w:rsidR="00612FD3" w:rsidTr="0045144D">
        <w:tc>
          <w:tcPr>
            <w:tcW w:w="1701" w:type="dxa"/>
            <w:tcBorders>
              <w:top w:val="single" w:sz="8" w:space="0" w:color="FFFFFF" w:themeColor="background1"/>
              <w:bottom w:val="single" w:sz="6" w:space="0" w:color="6F6652"/>
            </w:tcBorders>
            <w:shd w:val="clear" w:color="auto" w:fill="E9E8E5" w:themeFill="background2"/>
            <w:tcMar>
              <w:left w:w="57" w:type="dxa"/>
              <w:right w:w="57" w:type="dxa"/>
            </w:tcMar>
          </w:tcPr>
          <w:p w:rsidR="00612FD3" w:rsidRDefault="00612FD3" w:rsidP="00301B6D">
            <w:pPr>
              <w:pStyle w:val="TableDataEntries"/>
              <w:jc w:val="left"/>
              <w:rPr>
                <w:lang w:bidi="fa-IR"/>
              </w:rPr>
            </w:pPr>
            <w:r>
              <w:rPr>
                <w:lang w:bidi="fa-IR"/>
              </w:rPr>
              <w:t>Ceiling height (m)</w:t>
            </w:r>
          </w:p>
        </w:tc>
        <w:tc>
          <w:tcPr>
            <w:tcW w:w="944" w:type="dxa"/>
            <w:tcBorders>
              <w:top w:val="single" w:sz="8" w:space="0" w:color="FFFFFF" w:themeColor="background1"/>
              <w:bottom w:val="single" w:sz="6" w:space="0" w:color="6F6652"/>
            </w:tcBorders>
            <w:shd w:val="clear" w:color="auto" w:fill="E9E8E5" w:themeFill="background2"/>
            <w:tcMar>
              <w:left w:w="57" w:type="dxa"/>
              <w:right w:w="57" w:type="dxa"/>
            </w:tcMar>
          </w:tcPr>
          <w:p w:rsidR="00612FD3" w:rsidRDefault="00612FD3" w:rsidP="00301B6D">
            <w:pPr>
              <w:pStyle w:val="TableDataEntries"/>
              <w:rPr>
                <w:lang w:bidi="fa-IR"/>
              </w:rPr>
            </w:pPr>
            <w:r>
              <w:rPr>
                <w:lang w:bidi="fa-IR"/>
              </w:rPr>
              <w:t>2.7</w:t>
            </w:r>
          </w:p>
        </w:tc>
        <w:tc>
          <w:tcPr>
            <w:tcW w:w="1323" w:type="dxa"/>
            <w:tcBorders>
              <w:top w:val="single" w:sz="8" w:space="0" w:color="FFFFFF" w:themeColor="background1"/>
              <w:bottom w:val="single" w:sz="6" w:space="0" w:color="6F6652"/>
            </w:tcBorders>
            <w:shd w:val="clear" w:color="auto" w:fill="E9E8E5" w:themeFill="background2"/>
            <w:tcMar>
              <w:left w:w="57" w:type="dxa"/>
              <w:right w:w="57" w:type="dxa"/>
            </w:tcMar>
          </w:tcPr>
          <w:p w:rsidR="00612FD3" w:rsidRDefault="00612FD3" w:rsidP="00301B6D">
            <w:pPr>
              <w:pStyle w:val="TableDataEntries"/>
              <w:rPr>
                <w:lang w:bidi="fa-IR"/>
              </w:rPr>
            </w:pPr>
            <w:r>
              <w:rPr>
                <w:lang w:bidi="fa-IR"/>
              </w:rPr>
              <w:t>2.7</w:t>
            </w:r>
          </w:p>
        </w:tc>
        <w:tc>
          <w:tcPr>
            <w:tcW w:w="1323" w:type="dxa"/>
            <w:tcBorders>
              <w:top w:val="single" w:sz="8" w:space="0" w:color="FFFFFF" w:themeColor="background1"/>
              <w:bottom w:val="single" w:sz="6" w:space="0" w:color="6F6652"/>
            </w:tcBorders>
            <w:shd w:val="clear" w:color="auto" w:fill="E9E8E5" w:themeFill="background2"/>
            <w:tcMar>
              <w:left w:w="57" w:type="dxa"/>
              <w:right w:w="57" w:type="dxa"/>
            </w:tcMar>
          </w:tcPr>
          <w:p w:rsidR="00612FD3" w:rsidRDefault="00612FD3" w:rsidP="00301B6D">
            <w:pPr>
              <w:pStyle w:val="TableDataEntries"/>
              <w:rPr>
                <w:lang w:bidi="fa-IR"/>
              </w:rPr>
            </w:pPr>
            <w:r>
              <w:rPr>
                <w:lang w:bidi="fa-IR"/>
              </w:rPr>
              <w:t>2.7</w:t>
            </w:r>
          </w:p>
        </w:tc>
        <w:tc>
          <w:tcPr>
            <w:tcW w:w="1323" w:type="dxa"/>
            <w:tcBorders>
              <w:top w:val="single" w:sz="8" w:space="0" w:color="FFFFFF" w:themeColor="background1"/>
              <w:bottom w:val="single" w:sz="6" w:space="0" w:color="6F6652"/>
            </w:tcBorders>
            <w:shd w:val="clear" w:color="auto" w:fill="E9E8E5" w:themeFill="background2"/>
            <w:tcMar>
              <w:left w:w="57" w:type="dxa"/>
              <w:right w:w="57" w:type="dxa"/>
            </w:tcMar>
          </w:tcPr>
          <w:p w:rsidR="00612FD3" w:rsidRDefault="00612FD3" w:rsidP="00301B6D">
            <w:pPr>
              <w:pStyle w:val="TableDataEntries"/>
              <w:rPr>
                <w:lang w:bidi="fa-IR"/>
              </w:rPr>
            </w:pPr>
            <w:r>
              <w:rPr>
                <w:lang w:bidi="fa-IR"/>
              </w:rPr>
              <w:t>4.8</w:t>
            </w:r>
          </w:p>
        </w:tc>
        <w:tc>
          <w:tcPr>
            <w:tcW w:w="1323" w:type="dxa"/>
            <w:tcBorders>
              <w:top w:val="single" w:sz="8" w:space="0" w:color="FFFFFF" w:themeColor="background1"/>
              <w:bottom w:val="single" w:sz="6" w:space="0" w:color="6F6652"/>
            </w:tcBorders>
            <w:shd w:val="clear" w:color="auto" w:fill="E9E8E5" w:themeFill="background2"/>
            <w:tcMar>
              <w:left w:w="57" w:type="dxa"/>
              <w:right w:w="57" w:type="dxa"/>
            </w:tcMar>
          </w:tcPr>
          <w:p w:rsidR="00612FD3" w:rsidRDefault="00612FD3" w:rsidP="00301B6D">
            <w:pPr>
              <w:pStyle w:val="TableDataEntries"/>
              <w:rPr>
                <w:lang w:bidi="fa-IR"/>
              </w:rPr>
            </w:pPr>
            <w:r>
              <w:rPr>
                <w:lang w:bidi="fa-IR"/>
              </w:rPr>
              <w:t>3.0</w:t>
            </w:r>
          </w:p>
        </w:tc>
      </w:tr>
    </w:tbl>
    <w:p w:rsidR="00612FD3" w:rsidRDefault="00612FD3" w:rsidP="00612FD3">
      <w:pPr>
        <w:pStyle w:val="Source"/>
        <w:rPr>
          <w:lang w:bidi="fa-IR"/>
        </w:rPr>
      </w:pPr>
      <w:r w:rsidRPr="00DC3807">
        <w:rPr>
          <w:i/>
          <w:lang w:bidi="fa-IR"/>
        </w:rPr>
        <w:t>Source:</w:t>
      </w:r>
      <w:r>
        <w:rPr>
          <w:lang w:bidi="fa-IR"/>
        </w:rPr>
        <w:t xml:space="preserve"> Energy Action 2017, </w:t>
      </w:r>
      <w:r>
        <w:rPr>
          <w:i/>
          <w:lang w:bidi="fa-IR"/>
        </w:rPr>
        <w:t>Baseline Modelling Methodology and Results</w:t>
      </w:r>
      <w:r>
        <w:rPr>
          <w:lang w:bidi="fa-IR"/>
        </w:rPr>
        <w:t xml:space="preserve">, Section 3.2 Geometry </w:t>
      </w:r>
    </w:p>
    <w:p w:rsidR="00612FD3" w:rsidRDefault="00612FD3" w:rsidP="006F7AE6">
      <w:pPr>
        <w:pStyle w:val="BodyText"/>
        <w:rPr>
          <w:lang w:val="en-GB"/>
        </w:rPr>
      </w:pPr>
      <w:r>
        <w:rPr>
          <w:lang w:val="en-GB"/>
        </w:rPr>
        <w:t xml:space="preserve">Each building archetype was modelled in </w:t>
      </w:r>
      <w:r w:rsidR="00E31EE8">
        <w:rPr>
          <w:lang w:val="en-GB"/>
        </w:rPr>
        <w:t>Climate Zone</w:t>
      </w:r>
      <w:r>
        <w:rPr>
          <w:lang w:val="en-GB"/>
        </w:rPr>
        <w:t>s 1</w:t>
      </w:r>
      <w:r>
        <w:rPr>
          <w:lang w:val="en-GB"/>
        </w:rPr>
        <w:noBreakHyphen/>
        <w:t xml:space="preserve">7. As relatively little building activity occurs in </w:t>
      </w:r>
      <w:r w:rsidR="00E31EE8">
        <w:rPr>
          <w:lang w:val="en-GB"/>
        </w:rPr>
        <w:t>Climate Zone</w:t>
      </w:r>
      <w:r>
        <w:rPr>
          <w:lang w:val="en-GB"/>
        </w:rPr>
        <w:t xml:space="preserve"> 8 (mainly alpine areas), no additional modelling has been completed for this </w:t>
      </w:r>
      <w:r w:rsidR="00E31EE8">
        <w:rPr>
          <w:lang w:val="en-GB"/>
        </w:rPr>
        <w:t>Climate Zone</w:t>
      </w:r>
      <w:r>
        <w:rPr>
          <w:lang w:val="en-GB"/>
        </w:rPr>
        <w:t>.</w:t>
      </w:r>
    </w:p>
    <w:p w:rsidR="00612FD3" w:rsidRDefault="00612FD3" w:rsidP="00612FD3">
      <w:pPr>
        <w:pStyle w:val="Heading4"/>
        <w:numPr>
          <w:ilvl w:val="3"/>
          <w:numId w:val="5"/>
        </w:numPr>
        <w:rPr>
          <w:lang w:val="en-GB"/>
        </w:rPr>
      </w:pPr>
      <w:r>
        <w:rPr>
          <w:lang w:val="en-GB"/>
        </w:rPr>
        <w:t>Window</w:t>
      </w:r>
      <w:r>
        <w:rPr>
          <w:lang w:val="en-GB"/>
        </w:rPr>
        <w:noBreakHyphen/>
        <w:t>to</w:t>
      </w:r>
      <w:r>
        <w:rPr>
          <w:lang w:val="en-GB"/>
        </w:rPr>
        <w:noBreakHyphen/>
        <w:t>wall ratio</w:t>
      </w:r>
      <w:r w:rsidR="00A555A0">
        <w:rPr>
          <w:lang w:val="en-GB"/>
        </w:rPr>
        <w:t>s</w:t>
      </w:r>
    </w:p>
    <w:p w:rsidR="00352312" w:rsidRDefault="00612FD3" w:rsidP="00612FD3">
      <w:pPr>
        <w:pStyle w:val="BodyText"/>
        <w:rPr>
          <w:lang w:val="en-GB"/>
        </w:rPr>
      </w:pPr>
      <w:r>
        <w:rPr>
          <w:lang w:val="en-GB"/>
        </w:rPr>
        <w:t xml:space="preserve">Previous modelling presented in the Consultation RIS </w:t>
      </w:r>
      <w:r w:rsidR="00352312">
        <w:rPr>
          <w:lang w:val="en-GB"/>
        </w:rPr>
        <w:t>suggested that assumptions relating to the window</w:t>
      </w:r>
      <w:r w:rsidR="00352312">
        <w:rPr>
          <w:lang w:val="en-GB"/>
        </w:rPr>
        <w:noBreakHyphen/>
        <w:t>to</w:t>
      </w:r>
      <w:r w:rsidR="00352312">
        <w:rPr>
          <w:lang w:val="en-GB"/>
        </w:rPr>
        <w:noBreakHyphen/>
        <w:t xml:space="preserve">wall ratio (WWR) </w:t>
      </w:r>
      <w:r w:rsidR="001653F3">
        <w:rPr>
          <w:lang w:val="en-GB"/>
        </w:rPr>
        <w:t>were</w:t>
      </w:r>
      <w:r w:rsidR="00352312">
        <w:rPr>
          <w:lang w:val="en-GB"/>
        </w:rPr>
        <w:t xml:space="preserve"> an important driver of the modelling results.</w:t>
      </w:r>
    </w:p>
    <w:p w:rsidR="00352312" w:rsidRDefault="00352312" w:rsidP="00352312">
      <w:pPr>
        <w:pStyle w:val="ListBullet"/>
        <w:rPr>
          <w:lang w:val="en-GB"/>
        </w:rPr>
      </w:pPr>
      <w:r>
        <w:rPr>
          <w:lang w:val="en-GB"/>
        </w:rPr>
        <w:t xml:space="preserve">The modelling showed </w:t>
      </w:r>
      <w:r w:rsidR="00612FD3">
        <w:rPr>
          <w:lang w:val="en-GB"/>
        </w:rPr>
        <w:t>that improved energy performance and significant construction cost savings could be achieved simultaneously by adopting more energy efficient designs, such as buildings with smaller windows (i.e. reducing the window</w:t>
      </w:r>
      <w:r w:rsidR="00612FD3">
        <w:rPr>
          <w:lang w:val="en-GB"/>
        </w:rPr>
        <w:noBreakHyphen/>
        <w:t>to</w:t>
      </w:r>
      <w:r w:rsidR="00612FD3">
        <w:rPr>
          <w:lang w:val="en-GB"/>
        </w:rPr>
        <w:noBreakHyphen/>
        <w:t>wall ratio).</w:t>
      </w:r>
    </w:p>
    <w:p w:rsidR="00352312" w:rsidRDefault="00352312" w:rsidP="00352312">
      <w:pPr>
        <w:pStyle w:val="ListBullet"/>
        <w:rPr>
          <w:lang w:val="en-GB"/>
        </w:rPr>
      </w:pPr>
      <w:r>
        <w:rPr>
          <w:lang w:val="en-GB"/>
        </w:rPr>
        <w:t>This also implied that assumptions around the baseline WWR were important.</w:t>
      </w:r>
    </w:p>
    <w:p w:rsidR="00352312" w:rsidRDefault="00352312" w:rsidP="00352312">
      <w:pPr>
        <w:pStyle w:val="ListBullet2"/>
        <w:rPr>
          <w:lang w:val="en-GB"/>
        </w:rPr>
      </w:pPr>
      <w:r>
        <w:rPr>
          <w:lang w:val="en-GB"/>
        </w:rPr>
        <w:t>Buildings with a higher WWR in the baseline would have greater scope to reduce the WWR to achieve compliance with the new code.</w:t>
      </w:r>
    </w:p>
    <w:p w:rsidR="00352312" w:rsidRDefault="00352312" w:rsidP="00352312">
      <w:pPr>
        <w:pStyle w:val="ListBullet2"/>
        <w:rPr>
          <w:lang w:val="en-GB"/>
        </w:rPr>
      </w:pPr>
      <w:r>
        <w:rPr>
          <w:lang w:val="en-GB"/>
        </w:rPr>
        <w:t>By contrast, buildings with a lower WWR would have less scope to achieve compliance with the new code requirements through reducing the WWR and would need to comply through other means.</w:t>
      </w:r>
    </w:p>
    <w:p w:rsidR="00352312" w:rsidRDefault="004D181C" w:rsidP="00612FD3">
      <w:pPr>
        <w:pStyle w:val="BodyText"/>
        <w:rPr>
          <w:lang w:val="en-GB"/>
        </w:rPr>
      </w:pPr>
      <w:r>
        <w:rPr>
          <w:lang w:val="en-GB"/>
        </w:rPr>
        <w:t>The building archetypes modelled are broadly intended to be representative of the various commercial building sectors. However, t</w:t>
      </w:r>
      <w:r w:rsidR="00352312">
        <w:rPr>
          <w:lang w:val="en-GB"/>
        </w:rPr>
        <w:t xml:space="preserve">he baseline WWRs in the modelling for the Consultation RIS were generally based on the highest WWR achievable through the DTS provisions in the existing code for each façade. </w:t>
      </w:r>
      <w:r>
        <w:rPr>
          <w:lang w:val="en-GB"/>
        </w:rPr>
        <w:t>This approach led to buildings with significantly different WWRs across each façade and is unlikely to be reflect actual buildings.</w:t>
      </w:r>
    </w:p>
    <w:p w:rsidR="00612FD3" w:rsidRDefault="00386158" w:rsidP="009D7595">
      <w:pPr>
        <w:pStyle w:val="BodyText"/>
        <w:tabs>
          <w:tab w:val="left" w:pos="591"/>
        </w:tabs>
        <w:rPr>
          <w:lang w:val="en-GB"/>
        </w:rPr>
      </w:pPr>
      <w:r>
        <w:rPr>
          <w:lang w:val="en-GB"/>
        </w:rPr>
        <w:t>To control for the influence varying WWR could have on outcomes,</w:t>
      </w:r>
      <w:r w:rsidDel="00386158">
        <w:rPr>
          <w:lang w:val="en-GB"/>
        </w:rPr>
        <w:t xml:space="preserve"> </w:t>
      </w:r>
      <w:r>
        <w:rPr>
          <w:lang w:val="en-GB"/>
        </w:rPr>
        <w:t>a</w:t>
      </w:r>
      <w:r w:rsidR="004D181C">
        <w:rPr>
          <w:lang w:val="en-GB"/>
        </w:rPr>
        <w:t xml:space="preserve"> baseline WWR </w:t>
      </w:r>
      <w:r>
        <w:rPr>
          <w:lang w:val="en-GB"/>
        </w:rPr>
        <w:t xml:space="preserve">would ideally adopt the </w:t>
      </w:r>
      <w:r w:rsidR="004D181C">
        <w:rPr>
          <w:lang w:val="en-GB"/>
        </w:rPr>
        <w:t xml:space="preserve">average WWR for each building type. However, </w:t>
      </w:r>
      <w:r w:rsidR="00612FD3">
        <w:rPr>
          <w:lang w:val="en-GB"/>
        </w:rPr>
        <w:t xml:space="preserve">WWRs </w:t>
      </w:r>
      <w:r>
        <w:rPr>
          <w:lang w:val="en-GB"/>
        </w:rPr>
        <w:t xml:space="preserve">and estimates </w:t>
      </w:r>
      <w:r w:rsidR="00612FD3">
        <w:rPr>
          <w:lang w:val="en-GB"/>
        </w:rPr>
        <w:t>vary significantly across buildings and there is no comprehensive source of information on the WWR of buildings (or new buildings) in Australia</w:t>
      </w:r>
      <w:r>
        <w:rPr>
          <w:rStyle w:val="FootnoteReference"/>
          <w:lang w:val="en-GB"/>
        </w:rPr>
        <w:footnoteReference w:id="46"/>
      </w:r>
      <w:r w:rsidR="00612FD3">
        <w:rPr>
          <w:lang w:val="en-GB"/>
        </w:rPr>
        <w:t xml:space="preserve">. Since the Consultation RIS was published, DEE commissioned </w:t>
      </w:r>
      <w:r w:rsidR="003F28DD">
        <w:rPr>
          <w:lang w:val="en-GB"/>
        </w:rPr>
        <w:t>EA</w:t>
      </w:r>
      <w:r w:rsidR="00612FD3">
        <w:rPr>
          <w:lang w:val="en-GB"/>
        </w:rPr>
        <w:t xml:space="preserve"> to survey the WWR across various building types (table</w:t>
      </w:r>
      <w:r w:rsidR="00BA0599">
        <w:rPr>
          <w:lang w:val="en-GB"/>
        </w:rPr>
        <w:t> </w:t>
      </w:r>
      <w:r w:rsidR="00BA0599">
        <w:rPr>
          <w:lang w:val="en-GB"/>
        </w:rPr>
        <w:fldChar w:fldCharType="begin"/>
      </w:r>
      <w:r w:rsidR="00BA0599">
        <w:rPr>
          <w:lang w:val="en-GB"/>
        </w:rPr>
        <w:instrText xml:space="preserve"> REF _Caption7497 </w:instrText>
      </w:r>
      <w:r w:rsidR="00BA0599">
        <w:rPr>
          <w:lang w:val="en-GB"/>
        </w:rPr>
        <w:fldChar w:fldCharType="separate"/>
      </w:r>
      <w:r w:rsidR="006B79B8">
        <w:rPr>
          <w:noProof/>
        </w:rPr>
        <w:t>4</w:t>
      </w:r>
      <w:r w:rsidR="006B79B8" w:rsidRPr="00695C93">
        <w:rPr>
          <w:noProof/>
        </w:rPr>
        <w:t>.</w:t>
      </w:r>
      <w:r w:rsidR="006B79B8">
        <w:rPr>
          <w:noProof/>
        </w:rPr>
        <w:t>5</w:t>
      </w:r>
      <w:r w:rsidR="00BA0599">
        <w:rPr>
          <w:lang w:val="en-GB"/>
        </w:rPr>
        <w:fldChar w:fldCharType="end"/>
      </w:r>
      <w:r w:rsidR="00612FD3">
        <w:rPr>
          <w:lang w:val="en-GB"/>
        </w:rPr>
        <w:t xml:space="preserve">). To estimate the WWR, </w:t>
      </w:r>
      <w:r w:rsidR="003F28DD">
        <w:rPr>
          <w:lang w:val="en-GB"/>
        </w:rPr>
        <w:t>EA</w:t>
      </w:r>
      <w:r w:rsidR="00612FD3">
        <w:rPr>
          <w:lang w:val="en-GB"/>
        </w:rPr>
        <w:t xml:space="preserve"> used a software tool on a combination of elevation drawings, Google Streetview and photographs for a sample of buildings.</w:t>
      </w:r>
    </w:p>
    <w:p w:rsidR="004D181C" w:rsidRDefault="004D181C" w:rsidP="009D7595">
      <w:pPr>
        <w:pStyle w:val="BodyText"/>
        <w:tabs>
          <w:tab w:val="left" w:pos="591"/>
        </w:tabs>
        <w:rPr>
          <w:lang w:val="en-GB"/>
        </w:rPr>
      </w:pPr>
      <w:r>
        <w:rPr>
          <w:lang w:val="en-GB"/>
        </w:rPr>
        <w:t>Although the sample size is relatively small and there is no way of knowing whether it was representative of the broader commercial building sector, these estimates provide a reasonable basis for establishing the</w:t>
      </w:r>
      <w:r w:rsidR="0052456A">
        <w:rPr>
          <w:lang w:val="en-GB"/>
        </w:rPr>
        <w:t xml:space="preserve"> baseline WWR. The baseline WWRs used in the modelling broadly reflect the average of the sample for the relevant building type.</w:t>
      </w:r>
    </w:p>
    <w:p w:rsidR="00612FD3" w:rsidRDefault="00612FD3" w:rsidP="00612FD3">
      <w:pPr>
        <w:pStyle w:val="Caption"/>
      </w:pPr>
      <w:r w:rsidRPr="00695C93">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sidR="00B833F1">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sidR="00B833F1">
        <w:rPr>
          <w:noProof/>
        </w:rPr>
        <w:instrText>4</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sidR="00B833F1">
        <w:rPr>
          <w:noProof/>
        </w:rPr>
        <w:instrText>4</w:instrText>
      </w:r>
      <w:r>
        <w:rPr>
          <w:noProof/>
        </w:rPr>
        <w:fldChar w:fldCharType="end"/>
      </w:r>
      <w:r w:rsidRPr="00695C93">
        <w:instrText xml:space="preserve">." </w:instrText>
      </w:r>
      <w:r w:rsidRPr="00695C93">
        <w:fldChar w:fldCharType="separate"/>
      </w:r>
      <w:r w:rsidR="00B833F1">
        <w:rPr>
          <w:noProof/>
        </w:rPr>
        <w:instrText>4</w:instrText>
      </w:r>
      <w:r w:rsidR="00B833F1" w:rsidRPr="00695C93">
        <w:rPr>
          <w:noProof/>
        </w:rPr>
        <w:instrText>.</w:instrText>
      </w:r>
      <w:r w:rsidRPr="00695C93">
        <w:fldChar w:fldCharType="end"/>
      </w:r>
      <w:r w:rsidRPr="00695C93">
        <w:instrText>" "</w:instrText>
      </w:r>
      <w:r w:rsidR="001F6F43">
        <w:fldChar w:fldCharType="begin"/>
      </w:r>
      <w:r w:rsidR="001F6F43">
        <w:instrText xml:space="preserve"> STYLEREF "Heading 6" \l \n </w:instrText>
      </w:r>
      <w:r w:rsidR="001F6F43">
        <w:fldChar w:fldCharType="separate"/>
      </w:r>
      <w:r w:rsidRPr="00695C93">
        <w:instrText>B</w:instrText>
      </w:r>
      <w:r w:rsidR="001F6F43">
        <w:fldChar w:fldCharType="end"/>
      </w:r>
      <w:r w:rsidRPr="00695C93">
        <w:instrText xml:space="preserve">." </w:instrText>
      </w:r>
      <w:r w:rsidRPr="00695C93">
        <w:fldChar w:fldCharType="separate"/>
      </w:r>
      <w:r w:rsidR="00EA42ED">
        <w:rPr>
          <w:noProof/>
        </w:rPr>
        <w:instrText>4</w:instrText>
      </w:r>
      <w:r w:rsidR="00EA42ED"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sidR="00B833F1">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sidR="00B833F1">
        <w:rPr>
          <w:noProof/>
        </w:rPr>
        <w:instrText>4</w:instrText>
      </w:r>
      <w:r>
        <w:rPr>
          <w:noProof/>
        </w:rPr>
        <w:fldChar w:fldCharType="end"/>
      </w:r>
      <w:r w:rsidRPr="00695C93">
        <w:instrText xml:space="preserve"> = 0 "" "1" </w:instrText>
      </w:r>
      <w:r w:rsidRPr="00695C93">
        <w:fldChar w:fldCharType="separate"/>
      </w:r>
      <w:r w:rsidR="00EA42ED" w:rsidRPr="00695C93">
        <w:rPr>
          <w:noProof/>
        </w:rPr>
        <w:instrText>1</w:instrText>
      </w:r>
      <w:r w:rsidRPr="00695C93">
        <w:fldChar w:fldCharType="end"/>
      </w:r>
      <w:r w:rsidRPr="00695C93">
        <w:instrText xml:space="preserve">" "6" </w:instrText>
      </w:r>
      <w:r w:rsidRPr="00695C93">
        <w:fldChar w:fldCharType="separate"/>
      </w:r>
      <w:r w:rsidR="00EA42ED" w:rsidRPr="00695C93">
        <w:rPr>
          <w:noProof/>
        </w:rPr>
        <w:instrText>1</w:instrText>
      </w:r>
      <w:r w:rsidRPr="00695C93">
        <w:fldChar w:fldCharType="end"/>
      </w:r>
      <w:r w:rsidRPr="00695C93">
        <w:instrText xml:space="preserve"> </w:instrText>
      </w:r>
      <w:r w:rsidRPr="00695C93">
        <w:fldChar w:fldCharType="separate"/>
      </w:r>
      <w:r w:rsidR="00B833F1">
        <w:rPr>
          <w:noProof/>
        </w:rPr>
        <w:instrText>5</w:instrText>
      </w:r>
      <w:r w:rsidRPr="00695C93">
        <w:fldChar w:fldCharType="end"/>
      </w:r>
      <w:r w:rsidRPr="00695C93">
        <w:instrText xml:space="preserve">" "" </w:instrText>
      </w:r>
      <w:r w:rsidRPr="00695C93">
        <w:fldChar w:fldCharType="separate"/>
      </w:r>
      <w:bookmarkStart w:id="1241" w:name="_Caption2348"/>
      <w:bookmarkStart w:id="1242" w:name="_Caption6081"/>
      <w:bookmarkStart w:id="1243" w:name="_Caption6955"/>
      <w:bookmarkStart w:id="1244" w:name="_Caption3412"/>
      <w:bookmarkStart w:id="1245" w:name="_Caption8040"/>
      <w:bookmarkStart w:id="1246" w:name="_Caption5196"/>
      <w:bookmarkStart w:id="1247" w:name="_Caption2812"/>
      <w:bookmarkStart w:id="1248" w:name="_Caption1708"/>
      <w:bookmarkStart w:id="1249" w:name="_Caption9429"/>
      <w:bookmarkStart w:id="1250" w:name="_Caption0351"/>
      <w:bookmarkStart w:id="1251" w:name="_Caption5980"/>
      <w:bookmarkStart w:id="1252" w:name="_Caption7871"/>
      <w:bookmarkStart w:id="1253" w:name="_Caption6339"/>
      <w:bookmarkStart w:id="1254" w:name="_Caption5094"/>
      <w:bookmarkStart w:id="1255" w:name="_Caption4798"/>
      <w:bookmarkStart w:id="1256" w:name="_Caption4989"/>
      <w:bookmarkStart w:id="1257" w:name="_Caption4126"/>
      <w:bookmarkStart w:id="1258" w:name="_Caption1614"/>
      <w:bookmarkStart w:id="1259" w:name="_Caption5624"/>
      <w:bookmarkStart w:id="1260" w:name="_Caption4707"/>
      <w:bookmarkStart w:id="1261" w:name="_Caption9823"/>
      <w:bookmarkStart w:id="1262" w:name="_Caption1787"/>
      <w:bookmarkStart w:id="1263" w:name="_Caption0951"/>
      <w:bookmarkStart w:id="1264" w:name="_Caption9464"/>
      <w:bookmarkStart w:id="1265" w:name="_Caption9278"/>
      <w:bookmarkStart w:id="1266" w:name="_Caption3925"/>
      <w:bookmarkStart w:id="1267" w:name="_Caption7180"/>
      <w:bookmarkStart w:id="1268" w:name="_Caption5098"/>
      <w:bookmarkStart w:id="1269" w:name="_Caption6627"/>
      <w:bookmarkStart w:id="1270" w:name="_Caption6500"/>
      <w:bookmarkStart w:id="1271" w:name="_Caption5504"/>
      <w:bookmarkStart w:id="1272" w:name="_Caption7260"/>
      <w:bookmarkStart w:id="1273" w:name="_Caption7497"/>
      <w:bookmarkStart w:id="1274" w:name="_Caption2457"/>
      <w:bookmarkStart w:id="1275" w:name="_Caption6979"/>
      <w:bookmarkStart w:id="1276" w:name="_Caption3598"/>
      <w:bookmarkStart w:id="1277" w:name="_Caption8803"/>
      <w:bookmarkStart w:id="1278" w:name="_Caption4005"/>
      <w:bookmarkStart w:id="1279" w:name="_Caption6629"/>
      <w:bookmarkStart w:id="1280" w:name="_Caption6748"/>
      <w:bookmarkStart w:id="1281" w:name="_Caption4611"/>
      <w:bookmarkStart w:id="1282" w:name="_Caption3509"/>
      <w:bookmarkStart w:id="1283" w:name="_Caption9784"/>
      <w:bookmarkStart w:id="1284" w:name="_Caption7125"/>
      <w:bookmarkStart w:id="1285" w:name="_Caption9266"/>
      <w:bookmarkStart w:id="1286" w:name="_Caption3928"/>
      <w:bookmarkStart w:id="1287" w:name="_Caption7737"/>
      <w:bookmarkStart w:id="1288" w:name="_Caption9000"/>
      <w:bookmarkStart w:id="1289" w:name="_Caption1234"/>
      <w:bookmarkStart w:id="1290" w:name="_Caption4876"/>
      <w:bookmarkStart w:id="1291" w:name="_Caption0542"/>
      <w:bookmarkStart w:id="1292" w:name="_Caption1075"/>
      <w:bookmarkStart w:id="1293" w:name="_Caption8390"/>
      <w:bookmarkStart w:id="1294" w:name="_Caption3669"/>
      <w:bookmarkStart w:id="1295" w:name="_Caption4742"/>
      <w:bookmarkStart w:id="1296" w:name="_Caption0903"/>
      <w:bookmarkStart w:id="1297" w:name="_Caption7953"/>
      <w:bookmarkStart w:id="1298" w:name="_Caption4885"/>
      <w:bookmarkStart w:id="1299" w:name="_Caption6264"/>
      <w:bookmarkStart w:id="1300" w:name="_Caption0560"/>
      <w:bookmarkStart w:id="1301" w:name="_Caption4084"/>
      <w:bookmarkStart w:id="1302" w:name="_Caption4391"/>
      <w:bookmarkStart w:id="1303" w:name="_Caption1498"/>
      <w:bookmarkStart w:id="1304" w:name="_Caption8606"/>
      <w:bookmarkStart w:id="1305" w:name="_Caption0791"/>
      <w:bookmarkStart w:id="1306" w:name="_Caption6057"/>
      <w:bookmarkStart w:id="1307" w:name="_Caption1079"/>
      <w:bookmarkStart w:id="1308" w:name="_Toc529869906"/>
      <w:bookmarkStart w:id="1309" w:name="_Toc530748402"/>
      <w:r w:rsidR="00EA42ED">
        <w:rPr>
          <w:noProof/>
        </w:rPr>
        <w:t>4</w:t>
      </w:r>
      <w:r w:rsidR="00EA42ED" w:rsidRPr="00695C93">
        <w:rPr>
          <w:noProof/>
        </w:rPr>
        <w:t>.</w:t>
      </w:r>
      <w:r w:rsidR="00EA42ED">
        <w:rPr>
          <w:noProof/>
        </w:rPr>
        <w:t>5</w:t>
      </w:r>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r w:rsidRPr="00695C93">
        <w:fldChar w:fldCharType="end"/>
      </w:r>
      <w:r w:rsidRPr="00695C93">
        <w:tab/>
      </w:r>
      <w:r>
        <w:t>WWR across different building sub-types</w:t>
      </w:r>
      <w:bookmarkEnd w:id="1308"/>
      <w:bookmarkEnd w:id="1309"/>
    </w:p>
    <w:tbl>
      <w:tblPr>
        <w:tblW w:w="0" w:type="auto"/>
        <w:tblLayout w:type="fixed"/>
        <w:tblLook w:val="0000" w:firstRow="0" w:lastRow="0" w:firstColumn="0" w:lastColumn="0" w:noHBand="0" w:noVBand="0"/>
        <w:tblCaption w:val="Table 4.5: WWR across different building sub-types"/>
        <w:tblDescription w:val="This table identifies the relevant window to wall ratio as found by Energy Action in their reivew of new commercial buildings.  "/>
      </w:tblPr>
      <w:tblGrid>
        <w:gridCol w:w="3207"/>
        <w:gridCol w:w="1182"/>
        <w:gridCol w:w="1182"/>
        <w:gridCol w:w="1182"/>
        <w:gridCol w:w="1184"/>
      </w:tblGrid>
      <w:tr w:rsidR="00612FD3" w:rsidTr="004D181C">
        <w:trPr>
          <w:trHeight w:val="461"/>
          <w:tblHeader/>
        </w:trPr>
        <w:tc>
          <w:tcPr>
            <w:tcW w:w="3207" w:type="dxa"/>
            <w:shd w:val="clear" w:color="auto" w:fill="6F6652"/>
            <w:tcMar>
              <w:left w:w="57" w:type="dxa"/>
              <w:right w:w="57" w:type="dxa"/>
            </w:tcMar>
          </w:tcPr>
          <w:p w:rsidR="00612FD3" w:rsidRDefault="00612FD3" w:rsidP="00301B6D">
            <w:pPr>
              <w:pStyle w:val="TableDataColumnHeading"/>
              <w:jc w:val="left"/>
              <w:rPr>
                <w:lang w:val="en-GB"/>
              </w:rPr>
            </w:pPr>
          </w:p>
        </w:tc>
        <w:tc>
          <w:tcPr>
            <w:tcW w:w="1182" w:type="dxa"/>
            <w:shd w:val="clear" w:color="auto" w:fill="6F6652"/>
            <w:tcMar>
              <w:left w:w="57" w:type="dxa"/>
              <w:right w:w="57" w:type="dxa"/>
            </w:tcMar>
          </w:tcPr>
          <w:p w:rsidR="00612FD3" w:rsidRDefault="00612FD3" w:rsidP="00301B6D">
            <w:pPr>
              <w:pStyle w:val="TableDataColumnHeading"/>
              <w:rPr>
                <w:lang w:val="en-GB"/>
              </w:rPr>
            </w:pPr>
            <w:r>
              <w:rPr>
                <w:lang w:val="en-GB"/>
              </w:rPr>
              <w:t>Sample</w:t>
            </w:r>
          </w:p>
        </w:tc>
        <w:tc>
          <w:tcPr>
            <w:tcW w:w="1182" w:type="dxa"/>
            <w:shd w:val="clear" w:color="auto" w:fill="6F6652"/>
            <w:tcMar>
              <w:left w:w="57" w:type="dxa"/>
              <w:right w:w="57" w:type="dxa"/>
            </w:tcMar>
          </w:tcPr>
          <w:p w:rsidR="00612FD3" w:rsidRDefault="00612FD3" w:rsidP="00301B6D">
            <w:pPr>
              <w:pStyle w:val="TableDataColumnHeading"/>
              <w:rPr>
                <w:lang w:val="en-GB"/>
              </w:rPr>
            </w:pPr>
            <w:r>
              <w:rPr>
                <w:lang w:val="en-GB"/>
              </w:rPr>
              <w:t>Average WWR</w:t>
            </w:r>
          </w:p>
        </w:tc>
        <w:tc>
          <w:tcPr>
            <w:tcW w:w="1182" w:type="dxa"/>
            <w:shd w:val="clear" w:color="auto" w:fill="6F6652"/>
            <w:tcMar>
              <w:left w:w="57" w:type="dxa"/>
              <w:right w:w="57" w:type="dxa"/>
            </w:tcMar>
          </w:tcPr>
          <w:p w:rsidR="00612FD3" w:rsidRDefault="00612FD3" w:rsidP="00301B6D">
            <w:pPr>
              <w:pStyle w:val="TableDataColumnHeading"/>
              <w:rPr>
                <w:lang w:val="en-GB"/>
              </w:rPr>
            </w:pPr>
            <w:r>
              <w:rPr>
                <w:lang w:val="en-GB"/>
              </w:rPr>
              <w:t>Minimum WWR</w:t>
            </w:r>
          </w:p>
        </w:tc>
        <w:tc>
          <w:tcPr>
            <w:tcW w:w="1184" w:type="dxa"/>
            <w:shd w:val="clear" w:color="auto" w:fill="6F6652"/>
            <w:tcMar>
              <w:left w:w="57" w:type="dxa"/>
              <w:right w:w="57" w:type="dxa"/>
            </w:tcMar>
          </w:tcPr>
          <w:p w:rsidR="00612FD3" w:rsidRDefault="00612FD3" w:rsidP="00301B6D">
            <w:pPr>
              <w:pStyle w:val="TableDataColumnHeading"/>
              <w:rPr>
                <w:lang w:val="en-GB"/>
              </w:rPr>
            </w:pPr>
            <w:r>
              <w:rPr>
                <w:lang w:val="en-GB"/>
              </w:rPr>
              <w:t>Maximum WWR</w:t>
            </w:r>
          </w:p>
        </w:tc>
      </w:tr>
      <w:tr w:rsidR="00612FD3" w:rsidTr="004D181C">
        <w:trPr>
          <w:trHeight w:val="230"/>
          <w:tblHeader/>
        </w:trPr>
        <w:tc>
          <w:tcPr>
            <w:tcW w:w="3207"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jc w:val="left"/>
              <w:rPr>
                <w:lang w:val="en-GB"/>
              </w:rPr>
            </w:pPr>
          </w:p>
        </w:tc>
        <w:tc>
          <w:tcPr>
            <w:tcW w:w="1182"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No.</w:t>
            </w:r>
          </w:p>
        </w:tc>
        <w:tc>
          <w:tcPr>
            <w:tcW w:w="1182"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Per cent</w:t>
            </w:r>
          </w:p>
        </w:tc>
        <w:tc>
          <w:tcPr>
            <w:tcW w:w="1182"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Per cent</w:t>
            </w:r>
          </w:p>
        </w:tc>
        <w:tc>
          <w:tcPr>
            <w:tcW w:w="1184"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Per cent</w:t>
            </w:r>
          </w:p>
        </w:tc>
      </w:tr>
      <w:tr w:rsidR="00612FD3" w:rsidTr="00301B6D">
        <w:trPr>
          <w:trHeight w:val="230"/>
        </w:trPr>
        <w:tc>
          <w:tcPr>
            <w:tcW w:w="3207"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612FD3" w:rsidRDefault="00612FD3" w:rsidP="00301B6D">
            <w:pPr>
              <w:pStyle w:val="TableDataEntries"/>
              <w:jc w:val="left"/>
              <w:rPr>
                <w:lang w:val="en-GB"/>
              </w:rPr>
            </w:pPr>
            <w:r>
              <w:rPr>
                <w:lang w:val="en-GB"/>
              </w:rPr>
              <w:t>Hotels</w:t>
            </w:r>
          </w:p>
        </w:tc>
        <w:tc>
          <w:tcPr>
            <w:tcW w:w="1182"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612FD3" w:rsidRDefault="00612FD3" w:rsidP="00301B6D">
            <w:pPr>
              <w:pStyle w:val="TableDataEntries"/>
              <w:rPr>
                <w:lang w:val="en-GB"/>
              </w:rPr>
            </w:pPr>
            <w:r>
              <w:rPr>
                <w:lang w:val="en-GB"/>
              </w:rPr>
              <w:t>26</w:t>
            </w:r>
          </w:p>
        </w:tc>
        <w:tc>
          <w:tcPr>
            <w:tcW w:w="1182"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612FD3" w:rsidRDefault="00612FD3" w:rsidP="00301B6D">
            <w:pPr>
              <w:pStyle w:val="TableDataEntries"/>
              <w:rPr>
                <w:lang w:val="en-GB"/>
              </w:rPr>
            </w:pPr>
            <w:r>
              <w:rPr>
                <w:lang w:val="en-GB"/>
              </w:rPr>
              <w:t>27</w:t>
            </w:r>
          </w:p>
        </w:tc>
        <w:tc>
          <w:tcPr>
            <w:tcW w:w="1182"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612FD3" w:rsidRDefault="00612FD3" w:rsidP="00301B6D">
            <w:pPr>
              <w:pStyle w:val="TableDataEntries"/>
              <w:rPr>
                <w:lang w:val="en-GB"/>
              </w:rPr>
            </w:pPr>
            <w:r>
              <w:rPr>
                <w:lang w:val="en-GB"/>
              </w:rPr>
              <w:t>12</w:t>
            </w:r>
          </w:p>
        </w:tc>
        <w:tc>
          <w:tcPr>
            <w:tcW w:w="1184"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612FD3" w:rsidRDefault="00612FD3" w:rsidP="00301B6D">
            <w:pPr>
              <w:pStyle w:val="TableDataEntries"/>
              <w:rPr>
                <w:lang w:val="en-GB"/>
              </w:rPr>
            </w:pPr>
            <w:r>
              <w:rPr>
                <w:lang w:val="en-GB"/>
              </w:rPr>
              <w:t>40</w:t>
            </w:r>
          </w:p>
        </w:tc>
      </w:tr>
      <w:tr w:rsidR="00612FD3" w:rsidTr="00301B6D">
        <w:trPr>
          <w:trHeight w:val="230"/>
        </w:trPr>
        <w:tc>
          <w:tcPr>
            <w:tcW w:w="320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C74C79">
            <w:pPr>
              <w:pStyle w:val="TableDataEntries"/>
              <w:ind w:firstLine="82"/>
              <w:jc w:val="left"/>
              <w:rPr>
                <w:lang w:val="en-GB"/>
              </w:rPr>
            </w:pPr>
            <w:r>
              <w:rPr>
                <w:lang w:val="en-GB"/>
              </w:rPr>
              <w:t>Business hotel</w:t>
            </w:r>
          </w:p>
        </w:tc>
        <w:tc>
          <w:tcPr>
            <w:tcW w:w="11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18</w:t>
            </w:r>
          </w:p>
        </w:tc>
        <w:tc>
          <w:tcPr>
            <w:tcW w:w="11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32</w:t>
            </w:r>
          </w:p>
        </w:tc>
        <w:tc>
          <w:tcPr>
            <w:tcW w:w="11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15</w:t>
            </w:r>
          </w:p>
        </w:tc>
        <w:tc>
          <w:tcPr>
            <w:tcW w:w="118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47</w:t>
            </w:r>
          </w:p>
        </w:tc>
      </w:tr>
      <w:tr w:rsidR="00612FD3" w:rsidTr="00301B6D">
        <w:trPr>
          <w:trHeight w:val="230"/>
        </w:trPr>
        <w:tc>
          <w:tcPr>
            <w:tcW w:w="320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C74C79">
            <w:pPr>
              <w:pStyle w:val="TableDataEntries"/>
              <w:ind w:firstLine="82"/>
              <w:jc w:val="left"/>
              <w:rPr>
                <w:lang w:val="en-GB"/>
              </w:rPr>
            </w:pPr>
            <w:r>
              <w:rPr>
                <w:lang w:val="en-GB"/>
              </w:rPr>
              <w:t>Motel</w:t>
            </w:r>
          </w:p>
        </w:tc>
        <w:tc>
          <w:tcPr>
            <w:tcW w:w="11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8</w:t>
            </w:r>
          </w:p>
        </w:tc>
        <w:tc>
          <w:tcPr>
            <w:tcW w:w="11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16</w:t>
            </w:r>
          </w:p>
        </w:tc>
        <w:tc>
          <w:tcPr>
            <w:tcW w:w="11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5</w:t>
            </w:r>
          </w:p>
        </w:tc>
        <w:tc>
          <w:tcPr>
            <w:tcW w:w="118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29</w:t>
            </w:r>
          </w:p>
        </w:tc>
      </w:tr>
      <w:tr w:rsidR="00612FD3" w:rsidTr="00301B6D">
        <w:trPr>
          <w:trHeight w:val="230"/>
        </w:trPr>
        <w:tc>
          <w:tcPr>
            <w:tcW w:w="3207"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612FD3" w:rsidRDefault="00612FD3" w:rsidP="00301B6D">
            <w:pPr>
              <w:pStyle w:val="TableDataEntries"/>
              <w:jc w:val="left"/>
              <w:rPr>
                <w:lang w:val="en-GB"/>
              </w:rPr>
            </w:pPr>
            <w:r>
              <w:rPr>
                <w:lang w:val="en-GB"/>
              </w:rPr>
              <w:t>Office</w:t>
            </w:r>
          </w:p>
        </w:tc>
        <w:tc>
          <w:tcPr>
            <w:tcW w:w="1182"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612FD3" w:rsidRDefault="00612FD3" w:rsidP="00301B6D">
            <w:pPr>
              <w:pStyle w:val="TableDataEntries"/>
              <w:rPr>
                <w:lang w:val="en-GB"/>
              </w:rPr>
            </w:pPr>
            <w:r>
              <w:rPr>
                <w:lang w:val="en-GB"/>
              </w:rPr>
              <w:t>28</w:t>
            </w:r>
          </w:p>
        </w:tc>
        <w:tc>
          <w:tcPr>
            <w:tcW w:w="1182"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612FD3" w:rsidRDefault="00612FD3" w:rsidP="00301B6D">
            <w:pPr>
              <w:pStyle w:val="TableDataEntries"/>
              <w:rPr>
                <w:lang w:val="en-GB"/>
              </w:rPr>
            </w:pPr>
            <w:r>
              <w:rPr>
                <w:lang w:val="en-GB"/>
              </w:rPr>
              <w:t>46</w:t>
            </w:r>
          </w:p>
        </w:tc>
        <w:tc>
          <w:tcPr>
            <w:tcW w:w="1182"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612FD3" w:rsidRDefault="00612FD3" w:rsidP="00301B6D">
            <w:pPr>
              <w:pStyle w:val="TableDataEntries"/>
              <w:rPr>
                <w:lang w:val="en-GB"/>
              </w:rPr>
            </w:pPr>
            <w:r>
              <w:rPr>
                <w:lang w:val="en-GB"/>
              </w:rPr>
              <w:t>31</w:t>
            </w:r>
          </w:p>
        </w:tc>
        <w:tc>
          <w:tcPr>
            <w:tcW w:w="1184"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612FD3" w:rsidRDefault="00612FD3" w:rsidP="00301B6D">
            <w:pPr>
              <w:pStyle w:val="TableDataEntries"/>
              <w:rPr>
                <w:lang w:val="en-GB"/>
              </w:rPr>
            </w:pPr>
            <w:r>
              <w:rPr>
                <w:lang w:val="en-GB"/>
              </w:rPr>
              <w:t>61</w:t>
            </w:r>
          </w:p>
        </w:tc>
      </w:tr>
      <w:tr w:rsidR="00612FD3" w:rsidTr="00301B6D">
        <w:trPr>
          <w:trHeight w:val="230"/>
        </w:trPr>
        <w:tc>
          <w:tcPr>
            <w:tcW w:w="320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C74C79">
            <w:pPr>
              <w:pStyle w:val="TableDataEntries"/>
              <w:ind w:firstLine="82"/>
              <w:jc w:val="left"/>
              <w:rPr>
                <w:lang w:val="en-GB"/>
              </w:rPr>
            </w:pPr>
            <w:r>
              <w:rPr>
                <w:lang w:val="en-GB"/>
              </w:rPr>
              <w:t>Low rise office (&lt;10 floors)</w:t>
            </w:r>
          </w:p>
        </w:tc>
        <w:tc>
          <w:tcPr>
            <w:tcW w:w="11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15</w:t>
            </w:r>
          </w:p>
        </w:tc>
        <w:tc>
          <w:tcPr>
            <w:tcW w:w="11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35</w:t>
            </w:r>
          </w:p>
        </w:tc>
        <w:tc>
          <w:tcPr>
            <w:tcW w:w="11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18</w:t>
            </w:r>
          </w:p>
        </w:tc>
        <w:tc>
          <w:tcPr>
            <w:tcW w:w="118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54</w:t>
            </w:r>
          </w:p>
        </w:tc>
      </w:tr>
      <w:tr w:rsidR="00612FD3" w:rsidTr="00301B6D">
        <w:trPr>
          <w:trHeight w:val="230"/>
        </w:trPr>
        <w:tc>
          <w:tcPr>
            <w:tcW w:w="320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C74C79">
            <w:pPr>
              <w:pStyle w:val="TableDataEntries"/>
              <w:ind w:firstLine="82"/>
              <w:jc w:val="left"/>
              <w:rPr>
                <w:lang w:val="en-GB"/>
              </w:rPr>
            </w:pPr>
            <w:r>
              <w:rPr>
                <w:lang w:val="en-GB"/>
              </w:rPr>
              <w:t>Mid rise office (10-25 floors)</w:t>
            </w:r>
          </w:p>
        </w:tc>
        <w:tc>
          <w:tcPr>
            <w:tcW w:w="11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8</w:t>
            </w:r>
          </w:p>
        </w:tc>
        <w:tc>
          <w:tcPr>
            <w:tcW w:w="11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63</w:t>
            </w:r>
          </w:p>
        </w:tc>
        <w:tc>
          <w:tcPr>
            <w:tcW w:w="11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53</w:t>
            </w:r>
          </w:p>
        </w:tc>
        <w:tc>
          <w:tcPr>
            <w:tcW w:w="118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70</w:t>
            </w:r>
          </w:p>
        </w:tc>
      </w:tr>
      <w:tr w:rsidR="00612FD3" w:rsidTr="00301B6D">
        <w:trPr>
          <w:trHeight w:val="230"/>
        </w:trPr>
        <w:tc>
          <w:tcPr>
            <w:tcW w:w="320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C74C79">
            <w:pPr>
              <w:pStyle w:val="TableDataEntries"/>
              <w:ind w:firstLine="82"/>
              <w:jc w:val="left"/>
              <w:rPr>
                <w:lang w:val="en-GB"/>
              </w:rPr>
            </w:pPr>
            <w:r>
              <w:rPr>
                <w:lang w:val="en-GB"/>
              </w:rPr>
              <w:t>High rise office (25+ floors)</w:t>
            </w:r>
          </w:p>
        </w:tc>
        <w:tc>
          <w:tcPr>
            <w:tcW w:w="11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5</w:t>
            </w:r>
          </w:p>
        </w:tc>
        <w:tc>
          <w:tcPr>
            <w:tcW w:w="11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57</w:t>
            </w:r>
          </w:p>
        </w:tc>
        <w:tc>
          <w:tcPr>
            <w:tcW w:w="11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41</w:t>
            </w:r>
          </w:p>
        </w:tc>
        <w:tc>
          <w:tcPr>
            <w:tcW w:w="118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69</w:t>
            </w:r>
          </w:p>
        </w:tc>
      </w:tr>
      <w:tr w:rsidR="00612FD3" w:rsidTr="00301B6D">
        <w:trPr>
          <w:trHeight w:val="230"/>
        </w:trPr>
        <w:tc>
          <w:tcPr>
            <w:tcW w:w="3207"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612FD3" w:rsidRDefault="00612FD3" w:rsidP="00301B6D">
            <w:pPr>
              <w:pStyle w:val="TableDataEntries"/>
              <w:jc w:val="left"/>
              <w:rPr>
                <w:lang w:val="en-GB"/>
              </w:rPr>
            </w:pPr>
            <w:r>
              <w:rPr>
                <w:lang w:val="en-GB"/>
              </w:rPr>
              <w:t>Retail</w:t>
            </w:r>
          </w:p>
        </w:tc>
        <w:tc>
          <w:tcPr>
            <w:tcW w:w="1182"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612FD3" w:rsidRDefault="00612FD3" w:rsidP="00301B6D">
            <w:pPr>
              <w:pStyle w:val="TableDataEntries"/>
              <w:rPr>
                <w:lang w:val="en-GB"/>
              </w:rPr>
            </w:pPr>
            <w:r>
              <w:rPr>
                <w:lang w:val="en-GB"/>
              </w:rPr>
              <w:t>27</w:t>
            </w:r>
          </w:p>
        </w:tc>
        <w:tc>
          <w:tcPr>
            <w:tcW w:w="1182"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612FD3" w:rsidRDefault="00612FD3" w:rsidP="00301B6D">
            <w:pPr>
              <w:pStyle w:val="TableDataEntries"/>
              <w:rPr>
                <w:lang w:val="en-GB"/>
              </w:rPr>
            </w:pPr>
            <w:r>
              <w:rPr>
                <w:lang w:val="en-GB"/>
              </w:rPr>
              <w:t>30</w:t>
            </w:r>
          </w:p>
        </w:tc>
        <w:tc>
          <w:tcPr>
            <w:tcW w:w="1182"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612FD3" w:rsidRDefault="00612FD3" w:rsidP="00301B6D">
            <w:pPr>
              <w:pStyle w:val="TableDataEntries"/>
              <w:rPr>
                <w:lang w:val="en-GB"/>
              </w:rPr>
            </w:pPr>
            <w:r>
              <w:rPr>
                <w:lang w:val="en-GB"/>
              </w:rPr>
              <w:t>10</w:t>
            </w:r>
          </w:p>
        </w:tc>
        <w:tc>
          <w:tcPr>
            <w:tcW w:w="1184"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612FD3" w:rsidRDefault="00612FD3" w:rsidP="00301B6D">
            <w:pPr>
              <w:pStyle w:val="TableDataEntries"/>
              <w:rPr>
                <w:lang w:val="en-GB"/>
              </w:rPr>
            </w:pPr>
            <w:r>
              <w:rPr>
                <w:lang w:val="en-GB"/>
              </w:rPr>
              <w:t>52</w:t>
            </w:r>
          </w:p>
        </w:tc>
      </w:tr>
      <w:tr w:rsidR="00612FD3" w:rsidTr="00301B6D">
        <w:trPr>
          <w:trHeight w:val="230"/>
        </w:trPr>
        <w:tc>
          <w:tcPr>
            <w:tcW w:w="320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C74C79">
            <w:pPr>
              <w:pStyle w:val="TableDataEntries"/>
              <w:ind w:firstLine="82"/>
              <w:jc w:val="left"/>
              <w:rPr>
                <w:lang w:val="en-GB"/>
              </w:rPr>
            </w:pPr>
            <w:r>
              <w:rPr>
                <w:lang w:val="en-GB"/>
              </w:rPr>
              <w:t>Outdoor retail strip</w:t>
            </w:r>
          </w:p>
        </w:tc>
        <w:tc>
          <w:tcPr>
            <w:tcW w:w="11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8</w:t>
            </w:r>
          </w:p>
        </w:tc>
        <w:tc>
          <w:tcPr>
            <w:tcW w:w="11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50</w:t>
            </w:r>
          </w:p>
        </w:tc>
        <w:tc>
          <w:tcPr>
            <w:tcW w:w="11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13</w:t>
            </w:r>
          </w:p>
        </w:tc>
        <w:tc>
          <w:tcPr>
            <w:tcW w:w="118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59</w:t>
            </w:r>
          </w:p>
        </w:tc>
      </w:tr>
      <w:tr w:rsidR="00612FD3" w:rsidTr="00301B6D">
        <w:trPr>
          <w:trHeight w:val="230"/>
        </w:trPr>
        <w:tc>
          <w:tcPr>
            <w:tcW w:w="320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C74C79">
            <w:pPr>
              <w:pStyle w:val="TableDataEntries"/>
              <w:ind w:firstLine="82"/>
              <w:jc w:val="left"/>
              <w:rPr>
                <w:lang w:val="en-GB"/>
              </w:rPr>
            </w:pPr>
            <w:r>
              <w:rPr>
                <w:lang w:val="en-GB"/>
              </w:rPr>
              <w:t>Shopping centre</w:t>
            </w:r>
          </w:p>
        </w:tc>
        <w:tc>
          <w:tcPr>
            <w:tcW w:w="11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5</w:t>
            </w:r>
          </w:p>
        </w:tc>
        <w:tc>
          <w:tcPr>
            <w:tcW w:w="11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28</w:t>
            </w:r>
          </w:p>
        </w:tc>
        <w:tc>
          <w:tcPr>
            <w:tcW w:w="11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10</w:t>
            </w:r>
          </w:p>
        </w:tc>
        <w:tc>
          <w:tcPr>
            <w:tcW w:w="118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45</w:t>
            </w:r>
          </w:p>
        </w:tc>
      </w:tr>
      <w:tr w:rsidR="00612FD3" w:rsidTr="00301B6D">
        <w:trPr>
          <w:trHeight w:val="230"/>
        </w:trPr>
        <w:tc>
          <w:tcPr>
            <w:tcW w:w="320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C74C79">
            <w:pPr>
              <w:pStyle w:val="TableDataEntries"/>
              <w:ind w:firstLine="82"/>
              <w:jc w:val="left"/>
              <w:rPr>
                <w:lang w:val="en-GB"/>
              </w:rPr>
            </w:pPr>
            <w:r>
              <w:rPr>
                <w:lang w:val="en-GB"/>
              </w:rPr>
              <w:t>Standalone retail</w:t>
            </w:r>
          </w:p>
        </w:tc>
        <w:tc>
          <w:tcPr>
            <w:tcW w:w="11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14</w:t>
            </w:r>
          </w:p>
        </w:tc>
        <w:tc>
          <w:tcPr>
            <w:tcW w:w="11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18</w:t>
            </w:r>
          </w:p>
        </w:tc>
        <w:tc>
          <w:tcPr>
            <w:tcW w:w="11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9</w:t>
            </w:r>
          </w:p>
        </w:tc>
        <w:tc>
          <w:tcPr>
            <w:tcW w:w="118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51</w:t>
            </w:r>
          </w:p>
        </w:tc>
      </w:tr>
      <w:tr w:rsidR="00612FD3" w:rsidTr="00301B6D">
        <w:trPr>
          <w:trHeight w:val="230"/>
        </w:trPr>
        <w:tc>
          <w:tcPr>
            <w:tcW w:w="3207"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612FD3" w:rsidRDefault="00612FD3" w:rsidP="00301B6D">
            <w:pPr>
              <w:pStyle w:val="TableDataEntries"/>
              <w:jc w:val="left"/>
              <w:rPr>
                <w:lang w:val="en-GB"/>
              </w:rPr>
            </w:pPr>
            <w:r>
              <w:rPr>
                <w:lang w:val="en-GB"/>
              </w:rPr>
              <w:t>Hospitals</w:t>
            </w:r>
          </w:p>
        </w:tc>
        <w:tc>
          <w:tcPr>
            <w:tcW w:w="1182"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612FD3" w:rsidRDefault="00612FD3" w:rsidP="00301B6D">
            <w:pPr>
              <w:pStyle w:val="TableDataEntries"/>
              <w:rPr>
                <w:lang w:val="en-GB"/>
              </w:rPr>
            </w:pPr>
            <w:r>
              <w:rPr>
                <w:lang w:val="en-GB"/>
              </w:rPr>
              <w:t>25</w:t>
            </w:r>
          </w:p>
        </w:tc>
        <w:tc>
          <w:tcPr>
            <w:tcW w:w="1182"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612FD3" w:rsidRDefault="00612FD3" w:rsidP="00301B6D">
            <w:pPr>
              <w:pStyle w:val="TableDataEntries"/>
              <w:rPr>
                <w:lang w:val="en-GB"/>
              </w:rPr>
            </w:pPr>
            <w:r>
              <w:rPr>
                <w:lang w:val="en-GB"/>
              </w:rPr>
              <w:t>30</w:t>
            </w:r>
          </w:p>
        </w:tc>
        <w:tc>
          <w:tcPr>
            <w:tcW w:w="1182"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612FD3" w:rsidRDefault="00612FD3" w:rsidP="00301B6D">
            <w:pPr>
              <w:pStyle w:val="TableDataEntries"/>
              <w:rPr>
                <w:lang w:val="en-GB"/>
              </w:rPr>
            </w:pPr>
            <w:r>
              <w:rPr>
                <w:lang w:val="en-GB"/>
              </w:rPr>
              <w:t>14</w:t>
            </w:r>
          </w:p>
        </w:tc>
        <w:tc>
          <w:tcPr>
            <w:tcW w:w="1184"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612FD3" w:rsidRDefault="00612FD3" w:rsidP="00301B6D">
            <w:pPr>
              <w:pStyle w:val="TableDataEntries"/>
              <w:rPr>
                <w:lang w:val="en-GB"/>
              </w:rPr>
            </w:pPr>
            <w:r>
              <w:rPr>
                <w:lang w:val="en-GB"/>
              </w:rPr>
              <w:t>45</w:t>
            </w:r>
          </w:p>
        </w:tc>
      </w:tr>
      <w:tr w:rsidR="00612FD3" w:rsidTr="00301B6D">
        <w:trPr>
          <w:trHeight w:val="230"/>
        </w:trPr>
        <w:tc>
          <w:tcPr>
            <w:tcW w:w="3207"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612FD3" w:rsidRDefault="00612FD3" w:rsidP="00301B6D">
            <w:pPr>
              <w:pStyle w:val="TableDataEntries"/>
              <w:jc w:val="left"/>
              <w:rPr>
                <w:lang w:val="en-GB"/>
              </w:rPr>
            </w:pPr>
            <w:r>
              <w:rPr>
                <w:lang w:val="en-GB"/>
              </w:rPr>
              <w:t>Aged care</w:t>
            </w:r>
          </w:p>
        </w:tc>
        <w:tc>
          <w:tcPr>
            <w:tcW w:w="1182"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612FD3" w:rsidRDefault="00612FD3" w:rsidP="00301B6D">
            <w:pPr>
              <w:pStyle w:val="TableDataEntries"/>
              <w:rPr>
                <w:lang w:val="en-GB"/>
              </w:rPr>
            </w:pPr>
            <w:r>
              <w:rPr>
                <w:lang w:val="en-GB"/>
              </w:rPr>
              <w:t>30</w:t>
            </w:r>
          </w:p>
        </w:tc>
        <w:tc>
          <w:tcPr>
            <w:tcW w:w="1182"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612FD3" w:rsidRDefault="00612FD3" w:rsidP="00301B6D">
            <w:pPr>
              <w:pStyle w:val="TableDataEntries"/>
              <w:rPr>
                <w:lang w:val="en-GB"/>
              </w:rPr>
            </w:pPr>
            <w:r>
              <w:rPr>
                <w:lang w:val="en-GB"/>
              </w:rPr>
              <w:t>27</w:t>
            </w:r>
          </w:p>
        </w:tc>
        <w:tc>
          <w:tcPr>
            <w:tcW w:w="1182"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612FD3" w:rsidRDefault="00612FD3" w:rsidP="00301B6D">
            <w:pPr>
              <w:pStyle w:val="TableDataEntries"/>
              <w:rPr>
                <w:lang w:val="en-GB"/>
              </w:rPr>
            </w:pPr>
            <w:r>
              <w:rPr>
                <w:lang w:val="en-GB"/>
              </w:rPr>
              <w:t>15</w:t>
            </w:r>
          </w:p>
        </w:tc>
        <w:tc>
          <w:tcPr>
            <w:tcW w:w="1184"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612FD3" w:rsidRDefault="00612FD3" w:rsidP="00301B6D">
            <w:pPr>
              <w:pStyle w:val="TableDataEntries"/>
              <w:rPr>
                <w:lang w:val="en-GB"/>
              </w:rPr>
            </w:pPr>
            <w:r>
              <w:rPr>
                <w:lang w:val="en-GB"/>
              </w:rPr>
              <w:t>41</w:t>
            </w:r>
          </w:p>
        </w:tc>
      </w:tr>
      <w:tr w:rsidR="00612FD3" w:rsidTr="00301B6D">
        <w:trPr>
          <w:trHeight w:val="230"/>
        </w:trPr>
        <w:tc>
          <w:tcPr>
            <w:tcW w:w="3207"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612FD3" w:rsidRDefault="00612FD3" w:rsidP="00301B6D">
            <w:pPr>
              <w:pStyle w:val="TableDataEntries"/>
              <w:jc w:val="left"/>
              <w:rPr>
                <w:lang w:val="en-GB"/>
              </w:rPr>
            </w:pPr>
            <w:r>
              <w:rPr>
                <w:lang w:val="en-GB"/>
              </w:rPr>
              <w:t>Education</w:t>
            </w:r>
          </w:p>
        </w:tc>
        <w:tc>
          <w:tcPr>
            <w:tcW w:w="1182"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612FD3" w:rsidRDefault="00612FD3" w:rsidP="00301B6D">
            <w:pPr>
              <w:pStyle w:val="TableDataEntries"/>
              <w:rPr>
                <w:lang w:val="en-GB"/>
              </w:rPr>
            </w:pPr>
            <w:r>
              <w:rPr>
                <w:lang w:val="en-GB"/>
              </w:rPr>
              <w:t>29</w:t>
            </w:r>
          </w:p>
        </w:tc>
        <w:tc>
          <w:tcPr>
            <w:tcW w:w="1182"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612FD3" w:rsidRDefault="00612FD3" w:rsidP="00301B6D">
            <w:pPr>
              <w:pStyle w:val="TableDataEntries"/>
              <w:rPr>
                <w:lang w:val="en-GB"/>
              </w:rPr>
            </w:pPr>
            <w:r>
              <w:rPr>
                <w:lang w:val="en-GB"/>
              </w:rPr>
              <w:t>32</w:t>
            </w:r>
          </w:p>
        </w:tc>
        <w:tc>
          <w:tcPr>
            <w:tcW w:w="1182"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612FD3" w:rsidRDefault="00612FD3" w:rsidP="00301B6D">
            <w:pPr>
              <w:pStyle w:val="TableDataEntries"/>
              <w:rPr>
                <w:lang w:val="en-GB"/>
              </w:rPr>
            </w:pPr>
            <w:r>
              <w:rPr>
                <w:lang w:val="en-GB"/>
              </w:rPr>
              <w:t>11</w:t>
            </w:r>
          </w:p>
        </w:tc>
        <w:tc>
          <w:tcPr>
            <w:tcW w:w="1184"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612FD3" w:rsidRDefault="00612FD3" w:rsidP="00301B6D">
            <w:pPr>
              <w:pStyle w:val="TableDataEntries"/>
              <w:rPr>
                <w:lang w:val="en-GB"/>
              </w:rPr>
            </w:pPr>
            <w:r>
              <w:rPr>
                <w:lang w:val="en-GB"/>
              </w:rPr>
              <w:t>49</w:t>
            </w:r>
          </w:p>
        </w:tc>
      </w:tr>
      <w:tr w:rsidR="00612FD3" w:rsidTr="00301B6D">
        <w:trPr>
          <w:trHeight w:val="230"/>
        </w:trPr>
        <w:tc>
          <w:tcPr>
            <w:tcW w:w="320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C74C79">
            <w:pPr>
              <w:pStyle w:val="TableDataEntries"/>
              <w:ind w:firstLine="82"/>
              <w:jc w:val="left"/>
              <w:rPr>
                <w:lang w:val="en-GB"/>
              </w:rPr>
            </w:pPr>
            <w:r>
              <w:rPr>
                <w:lang w:val="en-GB"/>
              </w:rPr>
              <w:t>Early learning centre</w:t>
            </w:r>
          </w:p>
        </w:tc>
        <w:tc>
          <w:tcPr>
            <w:tcW w:w="11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3</w:t>
            </w:r>
          </w:p>
        </w:tc>
        <w:tc>
          <w:tcPr>
            <w:tcW w:w="11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26</w:t>
            </w:r>
          </w:p>
        </w:tc>
        <w:tc>
          <w:tcPr>
            <w:tcW w:w="11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11</w:t>
            </w:r>
          </w:p>
        </w:tc>
        <w:tc>
          <w:tcPr>
            <w:tcW w:w="118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46</w:t>
            </w:r>
          </w:p>
        </w:tc>
      </w:tr>
      <w:tr w:rsidR="00612FD3" w:rsidTr="00301B6D">
        <w:trPr>
          <w:trHeight w:val="230"/>
        </w:trPr>
        <w:tc>
          <w:tcPr>
            <w:tcW w:w="320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C74C79">
            <w:pPr>
              <w:pStyle w:val="TableDataEntries"/>
              <w:ind w:firstLine="82"/>
              <w:jc w:val="left"/>
              <w:rPr>
                <w:lang w:val="en-GB"/>
              </w:rPr>
            </w:pPr>
            <w:r>
              <w:rPr>
                <w:lang w:val="en-GB"/>
              </w:rPr>
              <w:t>Primary school</w:t>
            </w:r>
          </w:p>
        </w:tc>
        <w:tc>
          <w:tcPr>
            <w:tcW w:w="11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7</w:t>
            </w:r>
          </w:p>
        </w:tc>
        <w:tc>
          <w:tcPr>
            <w:tcW w:w="11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24</w:t>
            </w:r>
          </w:p>
        </w:tc>
        <w:tc>
          <w:tcPr>
            <w:tcW w:w="11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3</w:t>
            </w:r>
          </w:p>
        </w:tc>
        <w:tc>
          <w:tcPr>
            <w:tcW w:w="118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44</w:t>
            </w:r>
          </w:p>
        </w:tc>
      </w:tr>
      <w:tr w:rsidR="00612FD3" w:rsidTr="00301B6D">
        <w:trPr>
          <w:trHeight w:val="230"/>
        </w:trPr>
        <w:tc>
          <w:tcPr>
            <w:tcW w:w="320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C74C79">
            <w:pPr>
              <w:pStyle w:val="TableDataEntries"/>
              <w:ind w:firstLine="82"/>
              <w:jc w:val="left"/>
              <w:rPr>
                <w:lang w:val="en-GB"/>
              </w:rPr>
            </w:pPr>
            <w:r>
              <w:rPr>
                <w:lang w:val="en-GB"/>
              </w:rPr>
              <w:t>Secondary school</w:t>
            </w:r>
          </w:p>
        </w:tc>
        <w:tc>
          <w:tcPr>
            <w:tcW w:w="11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7</w:t>
            </w:r>
          </w:p>
        </w:tc>
        <w:tc>
          <w:tcPr>
            <w:tcW w:w="11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25</w:t>
            </w:r>
          </w:p>
        </w:tc>
        <w:tc>
          <w:tcPr>
            <w:tcW w:w="11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7</w:t>
            </w:r>
          </w:p>
        </w:tc>
        <w:tc>
          <w:tcPr>
            <w:tcW w:w="118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43</w:t>
            </w:r>
          </w:p>
        </w:tc>
      </w:tr>
      <w:tr w:rsidR="00612FD3" w:rsidTr="00301B6D">
        <w:trPr>
          <w:trHeight w:val="230"/>
        </w:trPr>
        <w:tc>
          <w:tcPr>
            <w:tcW w:w="3207" w:type="dxa"/>
            <w:tcBorders>
              <w:top w:val="single" w:sz="8" w:space="0" w:color="FFFFFF" w:themeColor="background1"/>
              <w:bottom w:val="single" w:sz="6" w:space="0" w:color="6F6652"/>
            </w:tcBorders>
            <w:shd w:val="clear" w:color="auto" w:fill="E9E8E5" w:themeFill="background2"/>
            <w:tcMar>
              <w:left w:w="57" w:type="dxa"/>
              <w:right w:w="57" w:type="dxa"/>
            </w:tcMar>
          </w:tcPr>
          <w:p w:rsidR="00612FD3" w:rsidRDefault="00612FD3" w:rsidP="00C74C79">
            <w:pPr>
              <w:pStyle w:val="TableDataEntries"/>
              <w:ind w:firstLine="82"/>
              <w:jc w:val="left"/>
              <w:rPr>
                <w:lang w:val="en-GB"/>
              </w:rPr>
            </w:pPr>
            <w:r>
              <w:rPr>
                <w:lang w:val="en-GB"/>
              </w:rPr>
              <w:t>University</w:t>
            </w:r>
          </w:p>
        </w:tc>
        <w:tc>
          <w:tcPr>
            <w:tcW w:w="1182" w:type="dxa"/>
            <w:tcBorders>
              <w:top w:val="single" w:sz="8" w:space="0" w:color="FFFFFF" w:themeColor="background1"/>
              <w:bottom w:val="single" w:sz="6" w:space="0" w:color="6F6652"/>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12</w:t>
            </w:r>
          </w:p>
        </w:tc>
        <w:tc>
          <w:tcPr>
            <w:tcW w:w="1182" w:type="dxa"/>
            <w:tcBorders>
              <w:top w:val="single" w:sz="8" w:space="0" w:color="FFFFFF" w:themeColor="background1"/>
              <w:bottom w:val="single" w:sz="6" w:space="0" w:color="6F6652"/>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44</w:t>
            </w:r>
          </w:p>
        </w:tc>
        <w:tc>
          <w:tcPr>
            <w:tcW w:w="1182" w:type="dxa"/>
            <w:tcBorders>
              <w:top w:val="single" w:sz="8" w:space="0" w:color="FFFFFF" w:themeColor="background1"/>
              <w:bottom w:val="single" w:sz="6" w:space="0" w:color="6F6652"/>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26</w:t>
            </w:r>
          </w:p>
        </w:tc>
        <w:tc>
          <w:tcPr>
            <w:tcW w:w="1184" w:type="dxa"/>
            <w:tcBorders>
              <w:top w:val="single" w:sz="8" w:space="0" w:color="FFFFFF" w:themeColor="background1"/>
              <w:bottom w:val="single" w:sz="6" w:space="0" w:color="6F6652"/>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58</w:t>
            </w:r>
          </w:p>
        </w:tc>
      </w:tr>
    </w:tbl>
    <w:p w:rsidR="00612FD3" w:rsidRDefault="00612FD3" w:rsidP="00612FD3">
      <w:pPr>
        <w:pStyle w:val="Source"/>
        <w:rPr>
          <w:lang w:bidi="fa-IR"/>
        </w:rPr>
      </w:pPr>
      <w:r w:rsidRPr="00E04EBF">
        <w:rPr>
          <w:i/>
          <w:lang w:bidi="fa-IR"/>
        </w:rPr>
        <w:t>Source:</w:t>
      </w:r>
      <w:r>
        <w:rPr>
          <w:lang w:bidi="fa-IR"/>
        </w:rPr>
        <w:t xml:space="preserve"> Energy Action, Australian buildings window to wall ratios, Prepared for the Department of </w:t>
      </w:r>
      <w:r w:rsidR="00300555">
        <w:rPr>
          <w:lang w:bidi="fa-IR"/>
        </w:rPr>
        <w:t xml:space="preserve">the Environment </w:t>
      </w:r>
      <w:r>
        <w:rPr>
          <w:lang w:bidi="fa-IR"/>
        </w:rPr>
        <w:t xml:space="preserve">and </w:t>
      </w:r>
      <w:r w:rsidR="00B53C65">
        <w:rPr>
          <w:lang w:bidi="fa-IR"/>
        </w:rPr>
        <w:t>Energy</w:t>
      </w:r>
      <w:r>
        <w:rPr>
          <w:lang w:bidi="fa-IR"/>
        </w:rPr>
        <w:t>.</w:t>
      </w:r>
    </w:p>
    <w:p w:rsidR="00352312" w:rsidRDefault="00352312" w:rsidP="00352312">
      <w:pPr>
        <w:pStyle w:val="BodyText"/>
        <w:rPr>
          <w:lang w:val="en-GB"/>
        </w:rPr>
      </w:pPr>
      <w:r>
        <w:rPr>
          <w:lang w:val="en-GB"/>
        </w:rPr>
        <w:t xml:space="preserve">The Consultation RIS </w:t>
      </w:r>
      <w:r w:rsidR="004D181C">
        <w:rPr>
          <w:lang w:val="en-GB"/>
        </w:rPr>
        <w:t xml:space="preserve">also </w:t>
      </w:r>
      <w:r>
        <w:rPr>
          <w:lang w:val="en-GB"/>
        </w:rPr>
        <w:t xml:space="preserve">argued that achieving compliance through reducing the WWR could lead to the loss of design features that are valued by the market (such as large windows). Costs associated with less attractive design features are generally harder to quantify, but could include: reduced amenity for building occupants and/or lower rents for building owners. </w:t>
      </w:r>
    </w:p>
    <w:p w:rsidR="00352312" w:rsidRDefault="00352312" w:rsidP="00352312">
      <w:pPr>
        <w:pStyle w:val="BodyText"/>
        <w:rPr>
          <w:lang w:val="en-GB"/>
        </w:rPr>
      </w:pPr>
      <w:r>
        <w:rPr>
          <w:lang w:val="en-GB"/>
        </w:rPr>
        <w:t>Stakeholders also generally considered it less likely that industry would respond to the proposed changes in the NCC by significantly reducing the window</w:t>
      </w:r>
      <w:r>
        <w:rPr>
          <w:lang w:val="en-GB"/>
        </w:rPr>
        <w:noBreakHyphen/>
        <w:t>to</w:t>
      </w:r>
      <w:r>
        <w:rPr>
          <w:lang w:val="en-GB"/>
        </w:rPr>
        <w:noBreakHyphen/>
        <w:t>wall ratio (WWR). The revised modelling therefore maintains a constant WWR under both the baseline scenario and under the proposed revisions to the NCC.</w:t>
      </w:r>
    </w:p>
    <w:p w:rsidR="009C3E3C" w:rsidRDefault="009C3E3C" w:rsidP="009C3E3C">
      <w:pPr>
        <w:pStyle w:val="BodyText"/>
        <w:rPr>
          <w:lang w:val="en-GB"/>
        </w:rPr>
      </w:pPr>
      <w:r>
        <w:rPr>
          <w:lang w:val="en-GB"/>
        </w:rPr>
        <w:t xml:space="preserve">In various consultations, there were some concerns from industry in relation to compliance costs for premium office buildings, which tend to be more extensively glazed than other types of commercial buildings. To address these concerns, </w:t>
      </w:r>
      <w:r w:rsidR="003F28DD">
        <w:rPr>
          <w:lang w:val="en-GB"/>
        </w:rPr>
        <w:t>EA</w:t>
      </w:r>
      <w:r>
        <w:rPr>
          <w:lang w:val="en-GB"/>
        </w:rPr>
        <w:t xml:space="preserve"> also modelled an office building with a higher WWR as a sensitivity test.</w:t>
      </w:r>
    </w:p>
    <w:p w:rsidR="009C3E3C" w:rsidRDefault="003F28DD" w:rsidP="009C3E3C">
      <w:pPr>
        <w:pStyle w:val="BodyText"/>
        <w:rPr>
          <w:lang w:val="en-GB"/>
        </w:rPr>
      </w:pPr>
      <w:r>
        <w:rPr>
          <w:lang w:val="en-GB"/>
        </w:rPr>
        <w:t>EA</w:t>
      </w:r>
      <w:r w:rsidR="009C3E3C">
        <w:rPr>
          <w:lang w:val="en-GB"/>
        </w:rPr>
        <w:t>’s modelling suggested that the highest WWR achievable through the DTS pathway for the 5A archetype under the current code is:</w:t>
      </w:r>
    </w:p>
    <w:p w:rsidR="009C3E3C" w:rsidRDefault="009C3E3C" w:rsidP="009C3E3C">
      <w:pPr>
        <w:pStyle w:val="ListBullet"/>
        <w:rPr>
          <w:lang w:val="en-GB"/>
        </w:rPr>
      </w:pPr>
      <w:r>
        <w:rPr>
          <w:lang w:val="en-GB"/>
        </w:rPr>
        <w:t xml:space="preserve">around 56 per cent for most </w:t>
      </w:r>
      <w:r w:rsidR="00E31EE8">
        <w:rPr>
          <w:lang w:val="en-GB"/>
        </w:rPr>
        <w:t>Climate Zone</w:t>
      </w:r>
      <w:r>
        <w:rPr>
          <w:lang w:val="en-GB"/>
        </w:rPr>
        <w:t>s; and</w:t>
      </w:r>
    </w:p>
    <w:p w:rsidR="009C3E3C" w:rsidRDefault="009C3E3C" w:rsidP="009C3E3C">
      <w:pPr>
        <w:pStyle w:val="ListBullet"/>
        <w:rPr>
          <w:lang w:val="en-GB"/>
        </w:rPr>
      </w:pPr>
      <w:r>
        <w:rPr>
          <w:lang w:val="en-GB"/>
        </w:rPr>
        <w:t xml:space="preserve">around 50 per cent for </w:t>
      </w:r>
      <w:r w:rsidR="00E31EE8">
        <w:rPr>
          <w:lang w:val="en-GB"/>
        </w:rPr>
        <w:t>Climate Zone</w:t>
      </w:r>
      <w:r>
        <w:rPr>
          <w:lang w:val="en-GB"/>
        </w:rPr>
        <w:t xml:space="preserve"> 7.</w:t>
      </w:r>
    </w:p>
    <w:p w:rsidR="009C3E3C" w:rsidRDefault="009C3E3C" w:rsidP="009C3E3C">
      <w:pPr>
        <w:pStyle w:val="BodyText"/>
        <w:rPr>
          <w:lang w:val="en-GB"/>
        </w:rPr>
      </w:pPr>
      <w:r>
        <w:rPr>
          <w:lang w:val="en-GB"/>
        </w:rPr>
        <w:t>As the modelling is based on compliance through the DTS pathway, these maximum WWRs were used. Note that higher WWRs were possible under the revised code, suggesting that the revised code offers more flexibility with regard to glazing choices through the DTS pathway than the existing code.</w:t>
      </w:r>
    </w:p>
    <w:p w:rsidR="00612FD3" w:rsidRDefault="00612FD3" w:rsidP="00612FD3">
      <w:pPr>
        <w:pStyle w:val="Heading4"/>
        <w:numPr>
          <w:ilvl w:val="3"/>
          <w:numId w:val="5"/>
        </w:numPr>
        <w:rPr>
          <w:lang w:val="en-GB"/>
        </w:rPr>
      </w:pPr>
      <w:r>
        <w:rPr>
          <w:lang w:val="en-GB"/>
        </w:rPr>
        <w:t>Approach to glazing selection</w:t>
      </w:r>
    </w:p>
    <w:p w:rsidR="009D7595" w:rsidRDefault="00612FD3" w:rsidP="00612FD3">
      <w:pPr>
        <w:pStyle w:val="BodyText"/>
        <w:rPr>
          <w:lang w:val="en-GB"/>
        </w:rPr>
      </w:pPr>
      <w:r>
        <w:rPr>
          <w:lang w:val="en-GB"/>
        </w:rPr>
        <w:t xml:space="preserve">Glazing selection is a key factor driving both energy consumption and cost outcomes. </w:t>
      </w:r>
      <w:r w:rsidR="009D7595">
        <w:rPr>
          <w:lang w:val="en-GB"/>
        </w:rPr>
        <w:t>The basis for selecting glazing in the modelling used for the Consultation RIS varied across buildings. For the office building (5A) and the retail building (6B), the glazing choice was based on the lowest cost compliant option under the existing code (i.e. the baseline) and the proposed revisions. However, for the remaining buildings, glazing was selected to be as close as possible to the specified minimum standard.</w:t>
      </w:r>
    </w:p>
    <w:p w:rsidR="00612FD3" w:rsidRDefault="009D7595" w:rsidP="00612FD3">
      <w:pPr>
        <w:pStyle w:val="BodyText"/>
        <w:rPr>
          <w:lang w:val="en-GB"/>
        </w:rPr>
      </w:pPr>
      <w:r>
        <w:rPr>
          <w:lang w:val="en-GB"/>
        </w:rPr>
        <w:t>The modelling underpinning the Decision RIS uses a consistent approach to glazing selection</w:t>
      </w:r>
      <w:r w:rsidR="008D3820">
        <w:rPr>
          <w:lang w:val="en-GB"/>
        </w:rPr>
        <w:t xml:space="preserve"> for all buildings t</w:t>
      </w:r>
      <w:r w:rsidR="00612FD3">
        <w:rPr>
          <w:lang w:val="en-GB"/>
        </w:rPr>
        <w:t>o ensure comparability</w:t>
      </w:r>
      <w:r w:rsidR="008D3820">
        <w:rPr>
          <w:lang w:val="en-GB"/>
        </w:rPr>
        <w:t xml:space="preserve">. </w:t>
      </w:r>
      <w:r w:rsidR="00397578">
        <w:rPr>
          <w:lang w:val="en-GB"/>
        </w:rPr>
        <w:t>The lowest cost</w:t>
      </w:r>
      <w:r w:rsidR="00612FD3">
        <w:rPr>
          <w:lang w:val="en-GB"/>
        </w:rPr>
        <w:t xml:space="preserve"> compliant glazing for each façade under both the baseline (current NCC requirements) and the proposed changes to the NCC scenario</w:t>
      </w:r>
      <w:r w:rsidR="00397578">
        <w:rPr>
          <w:lang w:val="en-GB"/>
        </w:rPr>
        <w:t xml:space="preserve"> was considered the approach most likely to reflect reality for buildings complying through the DTS pathway</w:t>
      </w:r>
      <w:r w:rsidR="00612FD3">
        <w:rPr>
          <w:lang w:val="en-GB"/>
        </w:rPr>
        <w:t>.</w:t>
      </w:r>
    </w:p>
    <w:p w:rsidR="00612FD3" w:rsidRDefault="00612FD3" w:rsidP="00612FD3">
      <w:pPr>
        <w:pStyle w:val="Heading4"/>
        <w:numPr>
          <w:ilvl w:val="3"/>
          <w:numId w:val="5"/>
        </w:numPr>
        <w:rPr>
          <w:lang w:val="en-GB"/>
        </w:rPr>
      </w:pPr>
      <w:r>
        <w:rPr>
          <w:lang w:val="en-GB"/>
        </w:rPr>
        <w:t>LED lights</w:t>
      </w:r>
    </w:p>
    <w:p w:rsidR="00164C8C" w:rsidRDefault="00164C8C" w:rsidP="00612FD3">
      <w:pPr>
        <w:pStyle w:val="BodyText"/>
        <w:tabs>
          <w:tab w:val="left" w:pos="1730"/>
        </w:tabs>
      </w:pPr>
      <w:r w:rsidRPr="004F1A51">
        <w:t>As discussed above, it is likely that LED lighting will mostly be adopted by industry, without changes to the NCC</w:t>
      </w:r>
      <w:r w:rsidR="00B53C65">
        <w:t xml:space="preserve"> </w:t>
      </w:r>
      <w:r w:rsidR="00063CA8">
        <w:t>a</w:t>
      </w:r>
      <w:r w:rsidR="00B53C65">
        <w:t xml:space="preserve"> </w:t>
      </w:r>
      <w:r w:rsidR="00BB30D0">
        <w:t>fact</w:t>
      </w:r>
      <w:r w:rsidR="00BB30D0" w:rsidRPr="004F1A51">
        <w:t xml:space="preserve"> reflected</w:t>
      </w:r>
      <w:r w:rsidRPr="004F1A51">
        <w:t xml:space="preserve"> in the baseline</w:t>
      </w:r>
      <w:r w:rsidR="00B53C65">
        <w:t xml:space="preserve"> of </w:t>
      </w:r>
      <w:r w:rsidR="003F28DD">
        <w:t>EA</w:t>
      </w:r>
      <w:r w:rsidRPr="004F1A51">
        <w:t xml:space="preserve">’s </w:t>
      </w:r>
      <w:r>
        <w:t xml:space="preserve">additional </w:t>
      </w:r>
      <w:r w:rsidRPr="004F1A51">
        <w:t>modelling which forms the basis of the CBA results.</w:t>
      </w:r>
    </w:p>
    <w:p w:rsidR="00612FD3" w:rsidRDefault="00612FD3" w:rsidP="00612FD3">
      <w:pPr>
        <w:pStyle w:val="Heading4"/>
        <w:numPr>
          <w:ilvl w:val="3"/>
          <w:numId w:val="5"/>
        </w:numPr>
      </w:pPr>
      <w:r>
        <w:t>Minimum energy efficiency standards for lifts</w:t>
      </w:r>
    </w:p>
    <w:p w:rsidR="00612FD3" w:rsidRDefault="00612FD3" w:rsidP="00612FD3">
      <w:pPr>
        <w:pStyle w:val="BodyText"/>
      </w:pPr>
      <w:r>
        <w:t>The proposed changes to the NCC involve specifying minimum energy efficiency standards for lifts; the NCC does not currently specify minimum standards for lifts. As the proposed minimum standard is either consistent with (or below) current industry practice, the minimum standard is not expected to have any impact on either construction costs or energy performance.</w:t>
      </w:r>
    </w:p>
    <w:p w:rsidR="00BA0599" w:rsidRDefault="00612FD3" w:rsidP="00BA0599">
      <w:pPr>
        <w:pStyle w:val="Heading4"/>
        <w:rPr>
          <w:lang w:val="en-GB"/>
        </w:rPr>
      </w:pPr>
      <w:r>
        <w:rPr>
          <w:lang w:val="en-GB"/>
        </w:rPr>
        <w:t>Decomposition of results</w:t>
      </w:r>
      <w:r w:rsidR="00FA54DE">
        <w:rPr>
          <w:lang w:val="en-GB"/>
        </w:rPr>
        <w:t xml:space="preserve"> by element</w:t>
      </w:r>
    </w:p>
    <w:p w:rsidR="00612FD3" w:rsidRDefault="00612FD3" w:rsidP="00612FD3">
      <w:pPr>
        <w:pStyle w:val="BodyText"/>
        <w:rPr>
          <w:lang w:val="en-GB"/>
        </w:rPr>
      </w:pPr>
      <w:r>
        <w:rPr>
          <w:lang w:val="en-GB"/>
        </w:rPr>
        <w:t xml:space="preserve">Several </w:t>
      </w:r>
      <w:r w:rsidR="00B53C65">
        <w:rPr>
          <w:lang w:val="en-GB"/>
        </w:rPr>
        <w:t xml:space="preserve">stakeholder </w:t>
      </w:r>
      <w:r>
        <w:rPr>
          <w:lang w:val="en-GB"/>
        </w:rPr>
        <w:t>submissions requested:</w:t>
      </w:r>
    </w:p>
    <w:p w:rsidR="00612FD3" w:rsidRDefault="00612FD3" w:rsidP="00612FD3">
      <w:pPr>
        <w:pStyle w:val="ListBullet"/>
        <w:numPr>
          <w:ilvl w:val="0"/>
          <w:numId w:val="36"/>
        </w:numPr>
        <w:rPr>
          <w:lang w:val="en-GB"/>
        </w:rPr>
      </w:pPr>
      <w:r>
        <w:rPr>
          <w:lang w:val="en-GB"/>
        </w:rPr>
        <w:t>a decomposition of the results into the various elements of the DTS provisions; and/or</w:t>
      </w:r>
    </w:p>
    <w:p w:rsidR="00612FD3" w:rsidRDefault="00612FD3" w:rsidP="00612FD3">
      <w:pPr>
        <w:pStyle w:val="ListBullet"/>
        <w:numPr>
          <w:ilvl w:val="0"/>
          <w:numId w:val="36"/>
        </w:numPr>
        <w:rPr>
          <w:lang w:val="en-GB"/>
        </w:rPr>
      </w:pPr>
      <w:r>
        <w:rPr>
          <w:lang w:val="en-GB"/>
        </w:rPr>
        <w:t>separation of methodological changes from changes in stringency.</w:t>
      </w:r>
    </w:p>
    <w:p w:rsidR="00612FD3" w:rsidRDefault="00612FD3" w:rsidP="00612FD3">
      <w:pPr>
        <w:pStyle w:val="BodyText"/>
        <w:rPr>
          <w:lang w:val="en-GB"/>
        </w:rPr>
      </w:pPr>
      <w:r>
        <w:rPr>
          <w:lang w:val="en-GB"/>
        </w:rPr>
        <w:t>Stakeholders were concerned that some beneficial improvements to the code (particularly those that could potentially deliver lower construction costs and improved energy performance simultaneously) could be effectively ‘cross</w:t>
      </w:r>
      <w:r>
        <w:rPr>
          <w:lang w:val="en-GB"/>
        </w:rPr>
        <w:noBreakHyphen/>
        <w:t>subsidising’ other proposed changes that may not be warranted if considered in isolation.</w:t>
      </w:r>
    </w:p>
    <w:p w:rsidR="00612FD3" w:rsidRDefault="003F28DD" w:rsidP="00612FD3">
      <w:pPr>
        <w:pStyle w:val="BodyText"/>
        <w:rPr>
          <w:lang w:val="en-GB"/>
        </w:rPr>
      </w:pPr>
      <w:r>
        <w:rPr>
          <w:lang w:val="en-GB"/>
        </w:rPr>
        <w:t>EA</w:t>
      </w:r>
      <w:r w:rsidR="00612FD3">
        <w:rPr>
          <w:lang w:val="en-GB"/>
        </w:rPr>
        <w:t xml:space="preserve"> notes that decomposing the results across each building archetype and </w:t>
      </w:r>
      <w:r w:rsidR="00E31EE8">
        <w:rPr>
          <w:lang w:val="en-GB"/>
        </w:rPr>
        <w:t>Climate Zone</w:t>
      </w:r>
      <w:r w:rsidR="00612FD3">
        <w:rPr>
          <w:lang w:val="en-GB"/>
        </w:rPr>
        <w:t xml:space="preserve"> would be highly resource intensive. Furthermore, given the interaction between the various elements of the code, the results from such an exercise may not be meaningful. For example, changes in the stringency of the façade would affect the capacity (and therefore the cost) of the services required for heating and cooling. As such, modelling changes to façade requirements and the services requirement separately and adding them together would give a different result to modelling the changes to both elements together.</w:t>
      </w:r>
    </w:p>
    <w:p w:rsidR="00612FD3" w:rsidRDefault="00612FD3" w:rsidP="00612FD3">
      <w:pPr>
        <w:pStyle w:val="BodyText"/>
        <w:rPr>
          <w:lang w:val="en-GB"/>
        </w:rPr>
      </w:pPr>
      <w:r>
        <w:rPr>
          <w:lang w:val="en-GB"/>
        </w:rPr>
        <w:t xml:space="preserve">Nevertheless, to provide some insights into the relative contribution of the different elements, </w:t>
      </w:r>
      <w:r w:rsidR="003F28DD">
        <w:rPr>
          <w:lang w:val="en-GB"/>
        </w:rPr>
        <w:t>EA</w:t>
      </w:r>
      <w:r>
        <w:rPr>
          <w:lang w:val="en-GB"/>
        </w:rPr>
        <w:t xml:space="preserve"> has </w:t>
      </w:r>
      <w:r w:rsidR="00BA0599">
        <w:rPr>
          <w:lang w:val="en-GB"/>
        </w:rPr>
        <w:t>decomposed</w:t>
      </w:r>
      <w:r>
        <w:rPr>
          <w:lang w:val="en-GB"/>
        </w:rPr>
        <w:t xml:space="preserve"> the impacts of changes to the façade requirements from the changes to the services requirements using the following approach.</w:t>
      </w:r>
    </w:p>
    <w:p w:rsidR="00BA0599" w:rsidRDefault="003F28DD" w:rsidP="00BA0599">
      <w:pPr>
        <w:pStyle w:val="BodyText"/>
        <w:rPr>
          <w:lang w:val="en-GB"/>
        </w:rPr>
      </w:pPr>
      <w:r>
        <w:rPr>
          <w:lang w:val="en-GB"/>
        </w:rPr>
        <w:t>EA</w:t>
      </w:r>
      <w:r w:rsidR="00BA0599">
        <w:rPr>
          <w:lang w:val="en-GB"/>
        </w:rPr>
        <w:t xml:space="preserve"> completed additional simulations with:</w:t>
      </w:r>
    </w:p>
    <w:p w:rsidR="00612FD3" w:rsidRDefault="00BA0599" w:rsidP="00BA0599">
      <w:pPr>
        <w:pStyle w:val="ListBullet"/>
        <w:rPr>
          <w:lang w:val="en-GB"/>
        </w:rPr>
      </w:pPr>
      <w:r>
        <w:rPr>
          <w:lang w:val="en-GB"/>
        </w:rPr>
        <w:t>a façade that complies with the current (2016) NCC</w:t>
      </w:r>
      <w:r w:rsidR="00FA54DE">
        <w:rPr>
          <w:lang w:val="en-GB"/>
        </w:rPr>
        <w:t xml:space="preserve"> (i.e. unchanged from the baseline); and</w:t>
      </w:r>
    </w:p>
    <w:p w:rsidR="00BA0599" w:rsidRDefault="00BA0599" w:rsidP="00BA0599">
      <w:pPr>
        <w:pStyle w:val="ListBullet"/>
        <w:rPr>
          <w:lang w:val="en-GB"/>
        </w:rPr>
      </w:pPr>
      <w:r>
        <w:rPr>
          <w:lang w:val="en-GB"/>
        </w:rPr>
        <w:t>services that comply with the proposed revisions to the NCC.</w:t>
      </w:r>
    </w:p>
    <w:p w:rsidR="00612FD3" w:rsidRDefault="00FA54DE" w:rsidP="00612FD3">
      <w:pPr>
        <w:pStyle w:val="BodyText"/>
        <w:rPr>
          <w:lang w:val="en-GB"/>
        </w:rPr>
      </w:pPr>
      <w:r>
        <w:rPr>
          <w:lang w:val="en-GB"/>
        </w:rPr>
        <w:t>Comparing the results of this simulation to the baseline can be interpreted as the contribution of services to energy savings and construction costs. The remaining benefits and costs can be interpreted as the contribution of the new façade requirements.</w:t>
      </w:r>
    </w:p>
    <w:p w:rsidR="00FA54DE" w:rsidRDefault="00FA54DE" w:rsidP="00612FD3">
      <w:pPr>
        <w:pStyle w:val="BodyText"/>
        <w:rPr>
          <w:lang w:val="en-GB"/>
        </w:rPr>
      </w:pPr>
      <w:r>
        <w:rPr>
          <w:lang w:val="en-GB"/>
        </w:rPr>
        <w:t xml:space="preserve">This decomposition was completed for all building archetypes in </w:t>
      </w:r>
      <w:r w:rsidR="00E31EE8">
        <w:rPr>
          <w:lang w:val="en-GB"/>
        </w:rPr>
        <w:t>Climate Zone</w:t>
      </w:r>
      <w:r>
        <w:rPr>
          <w:lang w:val="en-GB"/>
        </w:rPr>
        <w:t xml:space="preserve">s 2, 5 and 6. These </w:t>
      </w:r>
      <w:r w:rsidR="00E31EE8">
        <w:rPr>
          <w:lang w:val="en-GB"/>
        </w:rPr>
        <w:t>Climate Zone</w:t>
      </w:r>
      <w:r>
        <w:rPr>
          <w:lang w:val="en-GB"/>
        </w:rPr>
        <w:t xml:space="preserve">s include all of the five </w:t>
      </w:r>
      <w:r w:rsidR="004D181C">
        <w:rPr>
          <w:lang w:val="en-GB"/>
        </w:rPr>
        <w:t>mainland state capital</w:t>
      </w:r>
      <w:r>
        <w:rPr>
          <w:lang w:val="en-GB"/>
        </w:rPr>
        <w:t xml:space="preserve"> cities: Sydney (</w:t>
      </w:r>
      <w:r w:rsidR="00E31EE8">
        <w:rPr>
          <w:lang w:val="en-GB"/>
        </w:rPr>
        <w:t>Climate Zone</w:t>
      </w:r>
      <w:r>
        <w:rPr>
          <w:lang w:val="en-GB"/>
        </w:rPr>
        <w:t xml:space="preserve"> 5), Melbourne (</w:t>
      </w:r>
      <w:r w:rsidR="00E31EE8">
        <w:rPr>
          <w:lang w:val="en-GB"/>
        </w:rPr>
        <w:t>Climate Zone</w:t>
      </w:r>
      <w:r>
        <w:rPr>
          <w:lang w:val="en-GB"/>
        </w:rPr>
        <w:t xml:space="preserve"> 6); Brisbane (</w:t>
      </w:r>
      <w:r w:rsidR="00E31EE8">
        <w:rPr>
          <w:lang w:val="en-GB"/>
        </w:rPr>
        <w:t>Climate Zone</w:t>
      </w:r>
      <w:r>
        <w:rPr>
          <w:lang w:val="en-GB"/>
        </w:rPr>
        <w:t xml:space="preserve"> 2); Adelaide (</w:t>
      </w:r>
      <w:r w:rsidR="00E31EE8">
        <w:rPr>
          <w:lang w:val="en-GB"/>
        </w:rPr>
        <w:t>Climate Zone</w:t>
      </w:r>
      <w:r>
        <w:rPr>
          <w:lang w:val="en-GB"/>
        </w:rPr>
        <w:t xml:space="preserve"> 5); and Perth (</w:t>
      </w:r>
      <w:r w:rsidR="00E31EE8">
        <w:rPr>
          <w:lang w:val="en-GB"/>
        </w:rPr>
        <w:t>Climate Zone</w:t>
      </w:r>
      <w:r>
        <w:rPr>
          <w:lang w:val="en-GB"/>
        </w:rPr>
        <w:t xml:space="preserve"> 5).</w:t>
      </w:r>
    </w:p>
    <w:p w:rsidR="00612FD3" w:rsidRDefault="00612FD3" w:rsidP="00612FD3">
      <w:pPr>
        <w:pStyle w:val="BodyText"/>
        <w:rPr>
          <w:lang w:val="en-GB"/>
        </w:rPr>
      </w:pPr>
      <w:r>
        <w:rPr>
          <w:lang w:val="en-GB"/>
        </w:rPr>
        <w:t xml:space="preserve">In addition, the work undertaken by </w:t>
      </w:r>
      <w:r w:rsidR="003F28DD">
        <w:rPr>
          <w:lang w:val="en-GB"/>
        </w:rPr>
        <w:t>EA</w:t>
      </w:r>
      <w:r>
        <w:rPr>
          <w:lang w:val="en-GB"/>
        </w:rPr>
        <w:t xml:space="preserve"> to develop the proposed changes aimed to optimise each element separately. The elemental reports would therefore provide some insights into the relative impact of each element separately.</w:t>
      </w:r>
    </w:p>
    <w:p w:rsidR="009C3E3C" w:rsidRDefault="009C3E3C" w:rsidP="009C3E3C">
      <w:pPr>
        <w:pStyle w:val="Heading4"/>
        <w:rPr>
          <w:lang w:val="en-GB"/>
        </w:rPr>
      </w:pPr>
      <w:r>
        <w:rPr>
          <w:lang w:val="en-GB"/>
        </w:rPr>
        <w:t>Case studies</w:t>
      </w:r>
    </w:p>
    <w:p w:rsidR="00506FEA" w:rsidRDefault="009C3E3C" w:rsidP="00612FD3">
      <w:pPr>
        <w:pStyle w:val="BodyText"/>
        <w:rPr>
          <w:lang w:val="en-GB"/>
        </w:rPr>
      </w:pPr>
      <w:r w:rsidRPr="00A555A0">
        <w:rPr>
          <w:lang w:val="en-GB"/>
        </w:rPr>
        <w:t>To supplement the energy modelling, DEE and ABCB</w:t>
      </w:r>
      <w:r>
        <w:rPr>
          <w:lang w:val="en-GB"/>
        </w:rPr>
        <w:t xml:space="preserve"> commissioned a number of case studies</w:t>
      </w:r>
      <w:r w:rsidR="0055684D">
        <w:rPr>
          <w:lang w:val="en-GB"/>
        </w:rPr>
        <w:t>.</w:t>
      </w:r>
    </w:p>
    <w:p w:rsidR="009C3E3C" w:rsidRDefault="0055684D" w:rsidP="00506FEA">
      <w:pPr>
        <w:pStyle w:val="ListBullet"/>
        <w:rPr>
          <w:lang w:val="en-GB"/>
        </w:rPr>
      </w:pPr>
      <w:r>
        <w:rPr>
          <w:lang w:val="en-GB"/>
        </w:rPr>
        <w:t>Each case study</w:t>
      </w:r>
      <w:r w:rsidR="00121235">
        <w:rPr>
          <w:lang w:val="en-GB"/>
        </w:rPr>
        <w:t xml:space="preserve"> was based on an </w:t>
      </w:r>
      <w:r w:rsidR="00487211">
        <w:rPr>
          <w:lang w:val="en-GB"/>
        </w:rPr>
        <w:t>existing</w:t>
      </w:r>
      <w:r w:rsidR="00CE4C73">
        <w:rPr>
          <w:lang w:val="en-GB"/>
        </w:rPr>
        <w:t xml:space="preserve"> </w:t>
      </w:r>
      <w:r w:rsidR="00121235">
        <w:rPr>
          <w:lang w:val="en-GB"/>
        </w:rPr>
        <w:t xml:space="preserve">building and </w:t>
      </w:r>
      <w:r w:rsidR="00CE4C73">
        <w:rPr>
          <w:lang w:val="en-GB"/>
        </w:rPr>
        <w:t xml:space="preserve">identified </w:t>
      </w:r>
      <w:r w:rsidR="00121235">
        <w:rPr>
          <w:lang w:val="en-GB"/>
        </w:rPr>
        <w:t xml:space="preserve">the changes </w:t>
      </w:r>
      <w:r w:rsidR="00CE4C73">
        <w:rPr>
          <w:lang w:val="en-GB"/>
        </w:rPr>
        <w:t>required</w:t>
      </w:r>
      <w:r w:rsidR="00121235">
        <w:rPr>
          <w:lang w:val="en-GB"/>
        </w:rPr>
        <w:t xml:space="preserve"> (to the building’s design or the choice of building services) in order to comply with the </w:t>
      </w:r>
      <w:r w:rsidR="00CE4C73">
        <w:rPr>
          <w:lang w:val="en-GB"/>
        </w:rPr>
        <w:t>proposed level of stringency</w:t>
      </w:r>
      <w:r w:rsidR="00121235">
        <w:rPr>
          <w:lang w:val="en-GB"/>
        </w:rPr>
        <w:t>.</w:t>
      </w:r>
    </w:p>
    <w:p w:rsidR="00121235" w:rsidRDefault="00121235" w:rsidP="00506FEA">
      <w:pPr>
        <w:pStyle w:val="ListBullet"/>
        <w:rPr>
          <w:lang w:val="en-GB"/>
        </w:rPr>
      </w:pPr>
      <w:r>
        <w:rPr>
          <w:lang w:val="en-GB"/>
        </w:rPr>
        <w:t>The modelled energy performance and (in some cases) the cost of the alternative building that would be compliant with the revised code was then compared to the actual building built under the current code.</w:t>
      </w:r>
    </w:p>
    <w:p w:rsidR="00506FEA" w:rsidRDefault="00506FEA" w:rsidP="00612FD3">
      <w:pPr>
        <w:pStyle w:val="BodyText"/>
        <w:rPr>
          <w:lang w:val="en-GB"/>
        </w:rPr>
      </w:pPr>
      <w:r>
        <w:rPr>
          <w:lang w:val="en-GB"/>
        </w:rPr>
        <w:t xml:space="preserve">The case studies were intended to supplement the energy modelling of stylised building archetypes through the DTS pathway </w:t>
      </w:r>
      <w:r w:rsidR="00CA2A37">
        <w:rPr>
          <w:lang w:val="en-GB"/>
        </w:rPr>
        <w:t>by</w:t>
      </w:r>
      <w:r>
        <w:rPr>
          <w:lang w:val="en-GB"/>
        </w:rPr>
        <w:t xml:space="preserve"> provid</w:t>
      </w:r>
      <w:r w:rsidR="00CA2A37">
        <w:rPr>
          <w:lang w:val="en-GB"/>
        </w:rPr>
        <w:t>ing</w:t>
      </w:r>
      <w:r>
        <w:rPr>
          <w:lang w:val="en-GB"/>
        </w:rPr>
        <w:t xml:space="preserve"> insights on real world compliance options using Performance Solutions and the associated costs and benefits.</w:t>
      </w:r>
    </w:p>
    <w:p w:rsidR="00612FD3" w:rsidRDefault="00612FD3" w:rsidP="00612FD3">
      <w:pPr>
        <w:pStyle w:val="Heading3"/>
        <w:numPr>
          <w:ilvl w:val="2"/>
          <w:numId w:val="5"/>
        </w:numPr>
      </w:pPr>
      <w:r>
        <w:t>Aggregating building-level estimates</w:t>
      </w:r>
    </w:p>
    <w:p w:rsidR="00612FD3" w:rsidRPr="00AA2799" w:rsidRDefault="00612FD3" w:rsidP="00612FD3">
      <w:pPr>
        <w:pStyle w:val="BodyText"/>
      </w:pPr>
      <w:r>
        <w:t xml:space="preserve">Building level estimates are then aggregated using the projected commercial building additions and major refurbishments by building classes and </w:t>
      </w:r>
      <w:r w:rsidR="00E31EE8">
        <w:t>Climate Zone</w:t>
      </w:r>
      <w:r>
        <w:t xml:space="preserve">s. Appendix </w:t>
      </w:r>
      <w:r>
        <w:fldChar w:fldCharType="begin"/>
      </w:r>
      <w:r>
        <w:instrText xml:space="preserve"> REF _Ref507683255 \n \h </w:instrText>
      </w:r>
      <w:r>
        <w:fldChar w:fldCharType="separate"/>
      </w:r>
      <w:r w:rsidR="006B79B8">
        <w:t>E</w:t>
      </w:r>
      <w:r>
        <w:fldChar w:fldCharType="end"/>
      </w:r>
      <w:r>
        <w:t xml:space="preserve"> discusses in detail future commercial building projections by building class and </w:t>
      </w:r>
      <w:r w:rsidR="00E31EE8">
        <w:t>Climate Zone</w:t>
      </w:r>
      <w:r>
        <w:t xml:space="preserve">. Charts </w:t>
      </w:r>
      <w:r w:rsidR="00BA0599">
        <w:rPr>
          <w:noProof/>
        </w:rPr>
        <w:fldChar w:fldCharType="begin"/>
      </w:r>
      <w:r w:rsidR="00BA0599">
        <w:rPr>
          <w:noProof/>
        </w:rPr>
        <w:instrText xml:space="preserve"> REF _Caption0413 </w:instrText>
      </w:r>
      <w:r w:rsidR="00BA0599">
        <w:rPr>
          <w:noProof/>
        </w:rPr>
        <w:fldChar w:fldCharType="separate"/>
      </w:r>
      <w:r w:rsidR="006B79B8" w:rsidRPr="007502CF">
        <w:rPr>
          <w:noProof/>
        </w:rPr>
        <w:t>4.6</w:t>
      </w:r>
      <w:r w:rsidR="00BA0599">
        <w:rPr>
          <w:noProof/>
        </w:rPr>
        <w:fldChar w:fldCharType="end"/>
      </w:r>
      <w:r w:rsidR="0045144D">
        <w:t xml:space="preserve"> </w:t>
      </w:r>
      <w:r>
        <w:t xml:space="preserve">and </w:t>
      </w:r>
      <w:r w:rsidR="00BA0599">
        <w:rPr>
          <w:noProof/>
        </w:rPr>
        <w:fldChar w:fldCharType="begin"/>
      </w:r>
      <w:r w:rsidR="00BA0599">
        <w:rPr>
          <w:noProof/>
        </w:rPr>
        <w:instrText xml:space="preserve"> REF _Caption6473 </w:instrText>
      </w:r>
      <w:r w:rsidR="00BA0599">
        <w:rPr>
          <w:noProof/>
        </w:rPr>
        <w:fldChar w:fldCharType="separate"/>
      </w:r>
      <w:r w:rsidR="006B79B8" w:rsidRPr="007502CF">
        <w:rPr>
          <w:noProof/>
        </w:rPr>
        <w:t>4.7</w:t>
      </w:r>
      <w:r w:rsidR="00BA0599">
        <w:rPr>
          <w:noProof/>
        </w:rPr>
        <w:fldChar w:fldCharType="end"/>
      </w:r>
      <w:r>
        <w:t xml:space="preserve"> summarise total additions (including replacement of retired buildings but excluding major refurbishments) to commercial buildings each year by building class and </w:t>
      </w:r>
      <w:r w:rsidR="00E31EE8">
        <w:t>Climate Zone</w:t>
      </w:r>
      <w:r>
        <w:t>, respectively.</w:t>
      </w:r>
    </w:p>
    <w:p w:rsidR="00612FD3" w:rsidRPr="007502CF" w:rsidRDefault="00612FD3" w:rsidP="00612FD3">
      <w:pPr>
        <w:pStyle w:val="Caption"/>
        <w:numPr>
          <w:ilvl w:val="0"/>
          <w:numId w:val="7"/>
        </w:numPr>
      </w:pPr>
      <w:r w:rsidRPr="007502CF">
        <w:fldChar w:fldCharType="begin"/>
      </w:r>
      <w:r w:rsidRPr="007502CF">
        <w:instrText xml:space="preserve"> IF 1 = 1 "</w:instrText>
      </w:r>
      <w:r w:rsidRPr="007502CF">
        <w:fldChar w:fldCharType="begin"/>
      </w:r>
      <w:r w:rsidRPr="007502CF">
        <w:instrText xml:space="preserve"> IF </w:instrText>
      </w:r>
      <w:r w:rsidR="00BA0599" w:rsidRPr="007502CF">
        <w:rPr>
          <w:noProof/>
        </w:rPr>
        <w:fldChar w:fldCharType="begin"/>
      </w:r>
      <w:r w:rsidR="00BA0599" w:rsidRPr="007502CF">
        <w:rPr>
          <w:noProof/>
        </w:rPr>
        <w:instrText xml:space="preserve"> STYLEREF "Heading 6" \l \n </w:instrText>
      </w:r>
      <w:r w:rsidR="00BA0599" w:rsidRPr="007502CF">
        <w:rPr>
          <w:noProof/>
        </w:rPr>
        <w:fldChar w:fldCharType="separate"/>
      </w:r>
      <w:r w:rsidR="00B833F1">
        <w:rPr>
          <w:noProof/>
        </w:rPr>
        <w:instrText>0</w:instrText>
      </w:r>
      <w:r w:rsidR="00BA0599" w:rsidRPr="007502CF">
        <w:rPr>
          <w:noProof/>
        </w:rPr>
        <w:fldChar w:fldCharType="end"/>
      </w:r>
      <w:r w:rsidRPr="007502CF">
        <w:instrText xml:space="preserve"> = 0 "</w:instrText>
      </w:r>
      <w:r w:rsidRPr="007502CF">
        <w:fldChar w:fldCharType="begin"/>
      </w:r>
      <w:r w:rsidRPr="007502CF">
        <w:instrText xml:space="preserve"> IF </w:instrText>
      </w:r>
      <w:r w:rsidR="00BA0599" w:rsidRPr="007502CF">
        <w:rPr>
          <w:noProof/>
        </w:rPr>
        <w:fldChar w:fldCharType="begin"/>
      </w:r>
      <w:r w:rsidR="00BA0599" w:rsidRPr="007502CF">
        <w:rPr>
          <w:noProof/>
        </w:rPr>
        <w:instrText xml:space="preserve"> STYLEREF "Heading 1" \l \n </w:instrText>
      </w:r>
      <w:r w:rsidR="00BA0599" w:rsidRPr="007502CF">
        <w:rPr>
          <w:noProof/>
        </w:rPr>
        <w:fldChar w:fldCharType="separate"/>
      </w:r>
      <w:r w:rsidR="00B833F1">
        <w:rPr>
          <w:noProof/>
        </w:rPr>
        <w:instrText>4</w:instrText>
      </w:r>
      <w:r w:rsidR="00BA0599" w:rsidRPr="007502CF">
        <w:rPr>
          <w:noProof/>
        </w:rPr>
        <w:fldChar w:fldCharType="end"/>
      </w:r>
      <w:r w:rsidRPr="007502CF">
        <w:instrText xml:space="preserve"> = 0 "" "</w:instrText>
      </w:r>
      <w:r w:rsidR="00BA0599" w:rsidRPr="007502CF">
        <w:rPr>
          <w:noProof/>
        </w:rPr>
        <w:fldChar w:fldCharType="begin"/>
      </w:r>
      <w:r w:rsidR="00BA0599" w:rsidRPr="007502CF">
        <w:rPr>
          <w:noProof/>
        </w:rPr>
        <w:instrText xml:space="preserve"> STYLEREF "Heading 1" \l \n </w:instrText>
      </w:r>
      <w:r w:rsidR="00BA0599" w:rsidRPr="007502CF">
        <w:rPr>
          <w:noProof/>
        </w:rPr>
        <w:fldChar w:fldCharType="separate"/>
      </w:r>
      <w:r w:rsidR="00B833F1">
        <w:rPr>
          <w:noProof/>
        </w:rPr>
        <w:instrText>4</w:instrText>
      </w:r>
      <w:r w:rsidR="00BA0599" w:rsidRPr="007502CF">
        <w:rPr>
          <w:noProof/>
        </w:rPr>
        <w:fldChar w:fldCharType="end"/>
      </w:r>
      <w:r w:rsidRPr="007502CF">
        <w:instrText xml:space="preserve">." </w:instrText>
      </w:r>
      <w:r w:rsidRPr="007502CF">
        <w:fldChar w:fldCharType="separate"/>
      </w:r>
      <w:r w:rsidR="00B833F1">
        <w:rPr>
          <w:noProof/>
        </w:rPr>
        <w:instrText>4</w:instrText>
      </w:r>
      <w:r w:rsidR="00B833F1" w:rsidRPr="007502CF">
        <w:rPr>
          <w:noProof/>
        </w:rPr>
        <w:instrText>.</w:instrText>
      </w:r>
      <w:r w:rsidRPr="007502CF">
        <w:fldChar w:fldCharType="end"/>
      </w:r>
      <w:r w:rsidRPr="007502CF">
        <w:instrText>" "</w:instrText>
      </w:r>
      <w:r w:rsidR="00BA0599" w:rsidRPr="007502CF">
        <w:rPr>
          <w:noProof/>
        </w:rPr>
        <w:fldChar w:fldCharType="begin"/>
      </w:r>
      <w:r w:rsidR="00BA0599" w:rsidRPr="007502CF">
        <w:rPr>
          <w:noProof/>
        </w:rPr>
        <w:instrText xml:space="preserve"> STYLEREF "Heading 6" \l \n </w:instrText>
      </w:r>
      <w:r w:rsidR="00BA0599" w:rsidRPr="007502CF">
        <w:rPr>
          <w:noProof/>
        </w:rPr>
        <w:fldChar w:fldCharType="separate"/>
      </w:r>
      <w:r w:rsidRPr="007502CF">
        <w:rPr>
          <w:noProof/>
        </w:rPr>
        <w:instrText>A</w:instrText>
      </w:r>
      <w:r w:rsidR="00BA0599" w:rsidRPr="007502CF">
        <w:rPr>
          <w:noProof/>
        </w:rPr>
        <w:fldChar w:fldCharType="end"/>
      </w:r>
      <w:r w:rsidRPr="007502CF">
        <w:instrText xml:space="preserve">." </w:instrText>
      </w:r>
      <w:r w:rsidRPr="007502CF">
        <w:fldChar w:fldCharType="separate"/>
      </w:r>
      <w:r w:rsidR="00EA42ED">
        <w:rPr>
          <w:noProof/>
        </w:rPr>
        <w:instrText>4</w:instrText>
      </w:r>
      <w:r w:rsidR="00EA42ED" w:rsidRPr="007502CF">
        <w:rPr>
          <w:noProof/>
        </w:rPr>
        <w:instrText>.</w:instrText>
      </w:r>
      <w:r w:rsidRPr="007502CF">
        <w:fldChar w:fldCharType="end"/>
      </w:r>
      <w:r w:rsidRPr="007502CF">
        <w:fldChar w:fldCharType="begin"/>
      </w:r>
      <w:r w:rsidRPr="007502CF">
        <w:instrText xml:space="preserve"> SEQ Item \* ARABIC \s </w:instrText>
      </w:r>
      <w:r w:rsidRPr="007502CF">
        <w:fldChar w:fldCharType="begin"/>
      </w:r>
      <w:r w:rsidRPr="007502CF">
        <w:instrText xml:space="preserve"> IF </w:instrText>
      </w:r>
      <w:r w:rsidR="00BA0599" w:rsidRPr="007502CF">
        <w:rPr>
          <w:noProof/>
        </w:rPr>
        <w:fldChar w:fldCharType="begin"/>
      </w:r>
      <w:r w:rsidR="00BA0599" w:rsidRPr="007502CF">
        <w:rPr>
          <w:noProof/>
        </w:rPr>
        <w:instrText xml:space="preserve"> STYLEREF "Heading 6" \l \n </w:instrText>
      </w:r>
      <w:r w:rsidR="00BA0599" w:rsidRPr="007502CF">
        <w:rPr>
          <w:noProof/>
        </w:rPr>
        <w:fldChar w:fldCharType="separate"/>
      </w:r>
      <w:r w:rsidR="00B833F1">
        <w:rPr>
          <w:noProof/>
        </w:rPr>
        <w:instrText>0</w:instrText>
      </w:r>
      <w:r w:rsidR="00BA0599" w:rsidRPr="007502CF">
        <w:rPr>
          <w:noProof/>
        </w:rPr>
        <w:fldChar w:fldCharType="end"/>
      </w:r>
      <w:r w:rsidRPr="007502CF">
        <w:instrText xml:space="preserve"> = 0 "</w:instrText>
      </w:r>
      <w:r w:rsidRPr="007502CF">
        <w:fldChar w:fldCharType="begin"/>
      </w:r>
      <w:r w:rsidRPr="007502CF">
        <w:instrText xml:space="preserve"> IF </w:instrText>
      </w:r>
      <w:r w:rsidR="00BA0599" w:rsidRPr="007502CF">
        <w:rPr>
          <w:noProof/>
        </w:rPr>
        <w:fldChar w:fldCharType="begin"/>
      </w:r>
      <w:r w:rsidR="00BA0599" w:rsidRPr="007502CF">
        <w:rPr>
          <w:noProof/>
        </w:rPr>
        <w:instrText xml:space="preserve"> STYLEREF "Heading 1" \l \n </w:instrText>
      </w:r>
      <w:r w:rsidR="00BA0599" w:rsidRPr="007502CF">
        <w:rPr>
          <w:noProof/>
        </w:rPr>
        <w:fldChar w:fldCharType="separate"/>
      </w:r>
      <w:r w:rsidR="00B833F1">
        <w:rPr>
          <w:noProof/>
        </w:rPr>
        <w:instrText>4</w:instrText>
      </w:r>
      <w:r w:rsidR="00BA0599" w:rsidRPr="007502CF">
        <w:rPr>
          <w:noProof/>
        </w:rPr>
        <w:fldChar w:fldCharType="end"/>
      </w:r>
      <w:r w:rsidRPr="007502CF">
        <w:instrText xml:space="preserve"> = 0 "" "1" </w:instrText>
      </w:r>
      <w:r w:rsidRPr="007502CF">
        <w:fldChar w:fldCharType="separate"/>
      </w:r>
      <w:r w:rsidR="00EA42ED" w:rsidRPr="007502CF">
        <w:rPr>
          <w:noProof/>
        </w:rPr>
        <w:instrText>1</w:instrText>
      </w:r>
      <w:r w:rsidRPr="007502CF">
        <w:fldChar w:fldCharType="end"/>
      </w:r>
      <w:r w:rsidRPr="007502CF">
        <w:instrText xml:space="preserve">" "6" </w:instrText>
      </w:r>
      <w:r w:rsidRPr="007502CF">
        <w:fldChar w:fldCharType="separate"/>
      </w:r>
      <w:r w:rsidR="00EA42ED" w:rsidRPr="007502CF">
        <w:rPr>
          <w:noProof/>
        </w:rPr>
        <w:instrText>1</w:instrText>
      </w:r>
      <w:r w:rsidRPr="007502CF">
        <w:fldChar w:fldCharType="end"/>
      </w:r>
      <w:r w:rsidRPr="007502CF">
        <w:instrText xml:space="preserve"> </w:instrText>
      </w:r>
      <w:r w:rsidRPr="007502CF">
        <w:fldChar w:fldCharType="separate"/>
      </w:r>
      <w:r w:rsidR="00B833F1">
        <w:rPr>
          <w:noProof/>
        </w:rPr>
        <w:instrText>6</w:instrText>
      </w:r>
      <w:r w:rsidRPr="007502CF">
        <w:fldChar w:fldCharType="end"/>
      </w:r>
      <w:r w:rsidRPr="007502CF">
        <w:instrText xml:space="preserve">" "" </w:instrText>
      </w:r>
      <w:r w:rsidRPr="007502CF">
        <w:fldChar w:fldCharType="separate"/>
      </w:r>
      <w:bookmarkStart w:id="1310" w:name="_Caption6130"/>
      <w:bookmarkStart w:id="1311" w:name="_Caption4086"/>
      <w:bookmarkStart w:id="1312" w:name="_Caption2838"/>
      <w:bookmarkStart w:id="1313" w:name="_Caption3828"/>
      <w:bookmarkStart w:id="1314" w:name="_Caption9005"/>
      <w:bookmarkStart w:id="1315" w:name="_Caption1146"/>
      <w:bookmarkStart w:id="1316" w:name="_Caption3843"/>
      <w:bookmarkStart w:id="1317" w:name="_Caption7657"/>
      <w:bookmarkStart w:id="1318" w:name="_Caption7228"/>
      <w:bookmarkStart w:id="1319" w:name="_Caption8506"/>
      <w:bookmarkStart w:id="1320" w:name="_Caption6526"/>
      <w:bookmarkStart w:id="1321" w:name="_Caption1852"/>
      <w:bookmarkStart w:id="1322" w:name="_Caption4171"/>
      <w:bookmarkStart w:id="1323" w:name="_Caption8180"/>
      <w:bookmarkStart w:id="1324" w:name="_Caption0145"/>
      <w:bookmarkStart w:id="1325" w:name="_Caption8490"/>
      <w:bookmarkStart w:id="1326" w:name="_Caption4208"/>
      <w:bookmarkStart w:id="1327" w:name="_Caption9711"/>
      <w:bookmarkStart w:id="1328" w:name="_Caption0052"/>
      <w:bookmarkStart w:id="1329" w:name="_Caption2880"/>
      <w:bookmarkStart w:id="1330" w:name="_Caption8315"/>
      <w:bookmarkStart w:id="1331" w:name="_Caption3927"/>
      <w:bookmarkStart w:id="1332" w:name="_Caption8808"/>
      <w:bookmarkStart w:id="1333" w:name="_Caption1694"/>
      <w:bookmarkStart w:id="1334" w:name="_Caption5920"/>
      <w:bookmarkStart w:id="1335" w:name="_Caption4493"/>
      <w:bookmarkStart w:id="1336" w:name="_Caption1401"/>
      <w:bookmarkStart w:id="1337" w:name="_Caption7909"/>
      <w:bookmarkStart w:id="1338" w:name="_Caption3777"/>
      <w:bookmarkStart w:id="1339" w:name="_Caption5141"/>
      <w:bookmarkStart w:id="1340" w:name="_Caption8757"/>
      <w:bookmarkStart w:id="1341" w:name="_Caption2243"/>
      <w:bookmarkStart w:id="1342" w:name="_Caption2130"/>
      <w:bookmarkStart w:id="1343" w:name="_Caption8871"/>
      <w:bookmarkStart w:id="1344" w:name="_Caption0413"/>
      <w:bookmarkStart w:id="1345" w:name="_Caption4149"/>
      <w:bookmarkStart w:id="1346" w:name="_Caption3320"/>
      <w:bookmarkStart w:id="1347" w:name="_Caption1636"/>
      <w:bookmarkStart w:id="1348" w:name="_Caption1528"/>
      <w:bookmarkStart w:id="1349" w:name="_Caption5264"/>
      <w:bookmarkStart w:id="1350" w:name="_Caption4344"/>
      <w:bookmarkStart w:id="1351" w:name="_Caption1021"/>
      <w:bookmarkStart w:id="1352" w:name="_Caption9551"/>
      <w:bookmarkStart w:id="1353" w:name="_Caption2084"/>
      <w:bookmarkStart w:id="1354" w:name="_Caption8326"/>
      <w:bookmarkStart w:id="1355" w:name="_Caption1652"/>
      <w:bookmarkStart w:id="1356" w:name="_Caption5829"/>
      <w:bookmarkStart w:id="1357" w:name="_Caption1195"/>
      <w:bookmarkStart w:id="1358" w:name="_Caption1344"/>
      <w:bookmarkStart w:id="1359" w:name="_Caption5711"/>
      <w:bookmarkStart w:id="1360" w:name="_Caption1252"/>
      <w:bookmarkStart w:id="1361" w:name="_Caption9923"/>
      <w:bookmarkStart w:id="1362" w:name="_Caption1908"/>
      <w:bookmarkStart w:id="1363" w:name="_Caption2638"/>
      <w:bookmarkStart w:id="1364" w:name="_Caption5291"/>
      <w:bookmarkStart w:id="1365" w:name="_Caption1959"/>
      <w:bookmarkStart w:id="1366" w:name="_Caption7621"/>
      <w:bookmarkStart w:id="1367" w:name="_Caption1574"/>
      <w:bookmarkStart w:id="1368" w:name="_Caption6826"/>
      <w:bookmarkStart w:id="1369" w:name="_Caption7368"/>
      <w:bookmarkStart w:id="1370" w:name="_Caption9127"/>
      <w:bookmarkStart w:id="1371" w:name="_Caption4148"/>
      <w:bookmarkStart w:id="1372" w:name="_Caption2670"/>
      <w:bookmarkStart w:id="1373" w:name="_Caption0400"/>
      <w:bookmarkStart w:id="1374" w:name="_Caption5499"/>
      <w:bookmarkStart w:id="1375" w:name="_Caption4606"/>
      <w:bookmarkStart w:id="1376" w:name="_Caption3568"/>
      <w:bookmarkStart w:id="1377" w:name="_Toc529869907"/>
      <w:bookmarkStart w:id="1378" w:name="_Toc530748403"/>
      <w:r w:rsidR="00EA42ED">
        <w:rPr>
          <w:noProof/>
        </w:rPr>
        <w:t>4</w:t>
      </w:r>
      <w:r w:rsidR="00EA42ED" w:rsidRPr="007502CF">
        <w:rPr>
          <w:noProof/>
        </w:rPr>
        <w:t>.</w:t>
      </w:r>
      <w:r w:rsidR="00EA42ED">
        <w:rPr>
          <w:noProof/>
        </w:rPr>
        <w:t>6</w:t>
      </w:r>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r w:rsidRPr="007502CF">
        <w:fldChar w:fldCharType="end"/>
      </w:r>
      <w:r w:rsidRPr="007502CF">
        <w:tab/>
        <w:t>Projected new commercial buildings by building class</w:t>
      </w:r>
      <w:bookmarkEnd w:id="1377"/>
      <w:bookmarkEnd w:id="1378"/>
    </w:p>
    <w:p w:rsidR="00612FD3" w:rsidRPr="00A97BEC" w:rsidRDefault="00612FD3" w:rsidP="00612FD3">
      <w:pPr>
        <w:pStyle w:val="Note"/>
      </w:pPr>
      <w:r w:rsidRPr="00900A0B">
        <w:rPr>
          <w:noProof/>
          <w:lang w:eastAsia="en-AU"/>
        </w:rPr>
        <w:drawing>
          <wp:inline distT="0" distB="0" distL="0" distR="0" wp14:anchorId="7A629B65" wp14:editId="33F073FE">
            <wp:extent cx="5037455" cy="2506345"/>
            <wp:effectExtent l="0" t="0" r="0" b="8255"/>
            <wp:docPr id="61" name="Picture 61" descr="The chart shows projected new commercial buildings in Australia by building class up to 2028." title="Projected new commercial buildings by climate zo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37455" cy="2506345"/>
                    </a:xfrm>
                    <a:prstGeom prst="rect">
                      <a:avLst/>
                    </a:prstGeom>
                    <a:solidFill>
                      <a:schemeClr val="bg2"/>
                    </a:solidFill>
                    <a:ln>
                      <a:noFill/>
                    </a:ln>
                  </pic:spPr>
                </pic:pic>
              </a:graphicData>
            </a:graphic>
          </wp:inline>
        </w:drawing>
      </w:r>
      <w:r w:rsidRPr="00A97BEC">
        <w:rPr>
          <w:i/>
        </w:rPr>
        <w:t xml:space="preserve">Note: </w:t>
      </w:r>
      <w:r>
        <w:rPr>
          <w:i/>
        </w:rPr>
        <w:t>Excludes refurbishments.</w:t>
      </w:r>
      <w:r w:rsidRPr="00AD1466">
        <w:rPr>
          <w:noProof/>
          <w:lang w:eastAsia="en-AU"/>
        </w:rPr>
        <w:t xml:space="preserve"> </w:t>
      </w:r>
    </w:p>
    <w:p w:rsidR="00612FD3" w:rsidRDefault="00612FD3" w:rsidP="00612FD3">
      <w:pPr>
        <w:pStyle w:val="Source"/>
      </w:pPr>
      <w:r>
        <w:rPr>
          <w:i/>
        </w:rPr>
        <w:t>Data source</w:t>
      </w:r>
      <w:r w:rsidRPr="00A67576">
        <w:rPr>
          <w:i/>
        </w:rPr>
        <w:t>:</w:t>
      </w:r>
      <w:r>
        <w:t xml:space="preserve"> CIE projection.</w:t>
      </w:r>
    </w:p>
    <w:p w:rsidR="00612FD3" w:rsidRPr="007502CF" w:rsidRDefault="00612FD3" w:rsidP="00612FD3">
      <w:pPr>
        <w:pStyle w:val="Caption"/>
        <w:numPr>
          <w:ilvl w:val="0"/>
          <w:numId w:val="7"/>
        </w:numPr>
      </w:pPr>
      <w:r w:rsidRPr="007502CF">
        <w:fldChar w:fldCharType="begin"/>
      </w:r>
      <w:r w:rsidRPr="007502CF">
        <w:instrText xml:space="preserve"> IF 1 = 1 "</w:instrText>
      </w:r>
      <w:r w:rsidRPr="007502CF">
        <w:fldChar w:fldCharType="begin"/>
      </w:r>
      <w:r w:rsidRPr="007502CF">
        <w:instrText xml:space="preserve"> IF </w:instrText>
      </w:r>
      <w:r w:rsidR="00BA0599" w:rsidRPr="007502CF">
        <w:rPr>
          <w:noProof/>
        </w:rPr>
        <w:fldChar w:fldCharType="begin"/>
      </w:r>
      <w:r w:rsidR="00BA0599" w:rsidRPr="007502CF">
        <w:rPr>
          <w:noProof/>
        </w:rPr>
        <w:instrText xml:space="preserve"> STYLEREF "Heading 6" \l \n </w:instrText>
      </w:r>
      <w:r w:rsidR="00BA0599" w:rsidRPr="007502CF">
        <w:rPr>
          <w:noProof/>
        </w:rPr>
        <w:fldChar w:fldCharType="separate"/>
      </w:r>
      <w:r w:rsidR="00B833F1">
        <w:rPr>
          <w:noProof/>
        </w:rPr>
        <w:instrText>0</w:instrText>
      </w:r>
      <w:r w:rsidR="00BA0599" w:rsidRPr="007502CF">
        <w:rPr>
          <w:noProof/>
        </w:rPr>
        <w:fldChar w:fldCharType="end"/>
      </w:r>
      <w:r w:rsidRPr="007502CF">
        <w:instrText xml:space="preserve"> = 0 "</w:instrText>
      </w:r>
      <w:r w:rsidRPr="007502CF">
        <w:fldChar w:fldCharType="begin"/>
      </w:r>
      <w:r w:rsidRPr="007502CF">
        <w:instrText xml:space="preserve"> IF </w:instrText>
      </w:r>
      <w:r w:rsidR="00BA0599" w:rsidRPr="007502CF">
        <w:rPr>
          <w:noProof/>
        </w:rPr>
        <w:fldChar w:fldCharType="begin"/>
      </w:r>
      <w:r w:rsidR="00BA0599" w:rsidRPr="007502CF">
        <w:rPr>
          <w:noProof/>
        </w:rPr>
        <w:instrText xml:space="preserve"> STYLEREF "Heading 1" \l \n </w:instrText>
      </w:r>
      <w:r w:rsidR="00BA0599" w:rsidRPr="007502CF">
        <w:rPr>
          <w:noProof/>
        </w:rPr>
        <w:fldChar w:fldCharType="separate"/>
      </w:r>
      <w:r w:rsidR="00B833F1">
        <w:rPr>
          <w:noProof/>
        </w:rPr>
        <w:instrText>4</w:instrText>
      </w:r>
      <w:r w:rsidR="00BA0599" w:rsidRPr="007502CF">
        <w:rPr>
          <w:noProof/>
        </w:rPr>
        <w:fldChar w:fldCharType="end"/>
      </w:r>
      <w:r w:rsidRPr="007502CF">
        <w:instrText xml:space="preserve"> = 0 "" "</w:instrText>
      </w:r>
      <w:r w:rsidR="00BA0599" w:rsidRPr="007502CF">
        <w:rPr>
          <w:noProof/>
        </w:rPr>
        <w:fldChar w:fldCharType="begin"/>
      </w:r>
      <w:r w:rsidR="00BA0599" w:rsidRPr="007502CF">
        <w:rPr>
          <w:noProof/>
        </w:rPr>
        <w:instrText xml:space="preserve"> STYLEREF "Heading 1" \l \n </w:instrText>
      </w:r>
      <w:r w:rsidR="00BA0599" w:rsidRPr="007502CF">
        <w:rPr>
          <w:noProof/>
        </w:rPr>
        <w:fldChar w:fldCharType="separate"/>
      </w:r>
      <w:r w:rsidR="00B833F1">
        <w:rPr>
          <w:noProof/>
        </w:rPr>
        <w:instrText>4</w:instrText>
      </w:r>
      <w:r w:rsidR="00BA0599" w:rsidRPr="007502CF">
        <w:rPr>
          <w:noProof/>
        </w:rPr>
        <w:fldChar w:fldCharType="end"/>
      </w:r>
      <w:r w:rsidRPr="007502CF">
        <w:instrText xml:space="preserve">." </w:instrText>
      </w:r>
      <w:r w:rsidRPr="007502CF">
        <w:fldChar w:fldCharType="separate"/>
      </w:r>
      <w:r w:rsidR="00B833F1">
        <w:rPr>
          <w:noProof/>
        </w:rPr>
        <w:instrText>4</w:instrText>
      </w:r>
      <w:r w:rsidR="00B833F1" w:rsidRPr="007502CF">
        <w:rPr>
          <w:noProof/>
        </w:rPr>
        <w:instrText>.</w:instrText>
      </w:r>
      <w:r w:rsidRPr="007502CF">
        <w:fldChar w:fldCharType="end"/>
      </w:r>
      <w:r w:rsidRPr="007502CF">
        <w:instrText>" "</w:instrText>
      </w:r>
      <w:r w:rsidR="00BA0599" w:rsidRPr="007502CF">
        <w:rPr>
          <w:noProof/>
        </w:rPr>
        <w:fldChar w:fldCharType="begin"/>
      </w:r>
      <w:r w:rsidR="00BA0599" w:rsidRPr="007502CF">
        <w:rPr>
          <w:noProof/>
        </w:rPr>
        <w:instrText xml:space="preserve"> STYLEREF "Heading 6" \l \n </w:instrText>
      </w:r>
      <w:r w:rsidR="00BA0599" w:rsidRPr="007502CF">
        <w:rPr>
          <w:noProof/>
        </w:rPr>
        <w:fldChar w:fldCharType="separate"/>
      </w:r>
      <w:r w:rsidRPr="007502CF">
        <w:rPr>
          <w:noProof/>
        </w:rPr>
        <w:instrText>A</w:instrText>
      </w:r>
      <w:r w:rsidR="00BA0599" w:rsidRPr="007502CF">
        <w:rPr>
          <w:noProof/>
        </w:rPr>
        <w:fldChar w:fldCharType="end"/>
      </w:r>
      <w:r w:rsidRPr="007502CF">
        <w:instrText xml:space="preserve">." </w:instrText>
      </w:r>
      <w:r w:rsidRPr="007502CF">
        <w:fldChar w:fldCharType="separate"/>
      </w:r>
      <w:r w:rsidR="00EA42ED">
        <w:rPr>
          <w:noProof/>
        </w:rPr>
        <w:instrText>4</w:instrText>
      </w:r>
      <w:r w:rsidR="00EA42ED" w:rsidRPr="007502CF">
        <w:rPr>
          <w:noProof/>
        </w:rPr>
        <w:instrText>.</w:instrText>
      </w:r>
      <w:r w:rsidRPr="007502CF">
        <w:fldChar w:fldCharType="end"/>
      </w:r>
      <w:r w:rsidRPr="007502CF">
        <w:fldChar w:fldCharType="begin"/>
      </w:r>
      <w:r w:rsidRPr="007502CF">
        <w:instrText xml:space="preserve"> SEQ Item \* ARABIC \s </w:instrText>
      </w:r>
      <w:r w:rsidRPr="007502CF">
        <w:fldChar w:fldCharType="begin"/>
      </w:r>
      <w:r w:rsidRPr="007502CF">
        <w:instrText xml:space="preserve"> IF </w:instrText>
      </w:r>
      <w:r w:rsidR="00BA0599" w:rsidRPr="007502CF">
        <w:rPr>
          <w:noProof/>
        </w:rPr>
        <w:fldChar w:fldCharType="begin"/>
      </w:r>
      <w:r w:rsidR="00BA0599" w:rsidRPr="007502CF">
        <w:rPr>
          <w:noProof/>
        </w:rPr>
        <w:instrText xml:space="preserve"> STYLEREF "Heading 6" \l \n </w:instrText>
      </w:r>
      <w:r w:rsidR="00BA0599" w:rsidRPr="007502CF">
        <w:rPr>
          <w:noProof/>
        </w:rPr>
        <w:fldChar w:fldCharType="separate"/>
      </w:r>
      <w:r w:rsidR="00B833F1">
        <w:rPr>
          <w:noProof/>
        </w:rPr>
        <w:instrText>0</w:instrText>
      </w:r>
      <w:r w:rsidR="00BA0599" w:rsidRPr="007502CF">
        <w:rPr>
          <w:noProof/>
        </w:rPr>
        <w:fldChar w:fldCharType="end"/>
      </w:r>
      <w:r w:rsidRPr="007502CF">
        <w:instrText xml:space="preserve"> = 0 "</w:instrText>
      </w:r>
      <w:r w:rsidRPr="007502CF">
        <w:fldChar w:fldCharType="begin"/>
      </w:r>
      <w:r w:rsidRPr="007502CF">
        <w:instrText xml:space="preserve"> IF </w:instrText>
      </w:r>
      <w:r w:rsidR="00BA0599" w:rsidRPr="007502CF">
        <w:rPr>
          <w:noProof/>
        </w:rPr>
        <w:fldChar w:fldCharType="begin"/>
      </w:r>
      <w:r w:rsidR="00BA0599" w:rsidRPr="007502CF">
        <w:rPr>
          <w:noProof/>
        </w:rPr>
        <w:instrText xml:space="preserve"> STYLEREF "Heading 1" \l \n </w:instrText>
      </w:r>
      <w:r w:rsidR="00BA0599" w:rsidRPr="007502CF">
        <w:rPr>
          <w:noProof/>
        </w:rPr>
        <w:fldChar w:fldCharType="separate"/>
      </w:r>
      <w:r w:rsidR="00B833F1">
        <w:rPr>
          <w:noProof/>
        </w:rPr>
        <w:instrText>4</w:instrText>
      </w:r>
      <w:r w:rsidR="00BA0599" w:rsidRPr="007502CF">
        <w:rPr>
          <w:noProof/>
        </w:rPr>
        <w:fldChar w:fldCharType="end"/>
      </w:r>
      <w:r w:rsidRPr="007502CF">
        <w:instrText xml:space="preserve"> = 0 "" "1" </w:instrText>
      </w:r>
      <w:r w:rsidRPr="007502CF">
        <w:fldChar w:fldCharType="separate"/>
      </w:r>
      <w:r w:rsidR="00EA42ED" w:rsidRPr="007502CF">
        <w:rPr>
          <w:noProof/>
        </w:rPr>
        <w:instrText>1</w:instrText>
      </w:r>
      <w:r w:rsidRPr="007502CF">
        <w:fldChar w:fldCharType="end"/>
      </w:r>
      <w:r w:rsidRPr="007502CF">
        <w:instrText xml:space="preserve">" "6" </w:instrText>
      </w:r>
      <w:r w:rsidRPr="007502CF">
        <w:fldChar w:fldCharType="separate"/>
      </w:r>
      <w:r w:rsidR="00EA42ED" w:rsidRPr="007502CF">
        <w:rPr>
          <w:noProof/>
        </w:rPr>
        <w:instrText>1</w:instrText>
      </w:r>
      <w:r w:rsidRPr="007502CF">
        <w:fldChar w:fldCharType="end"/>
      </w:r>
      <w:r w:rsidRPr="007502CF">
        <w:instrText xml:space="preserve"> </w:instrText>
      </w:r>
      <w:r w:rsidRPr="007502CF">
        <w:fldChar w:fldCharType="separate"/>
      </w:r>
      <w:r w:rsidR="00B833F1">
        <w:rPr>
          <w:noProof/>
        </w:rPr>
        <w:instrText>7</w:instrText>
      </w:r>
      <w:r w:rsidRPr="007502CF">
        <w:fldChar w:fldCharType="end"/>
      </w:r>
      <w:r w:rsidRPr="007502CF">
        <w:instrText xml:space="preserve">" "" </w:instrText>
      </w:r>
      <w:r w:rsidRPr="007502CF">
        <w:fldChar w:fldCharType="separate"/>
      </w:r>
      <w:bookmarkStart w:id="1379" w:name="_Caption7011"/>
      <w:bookmarkStart w:id="1380" w:name="_Caption3393"/>
      <w:bookmarkStart w:id="1381" w:name="_Caption8632"/>
      <w:bookmarkStart w:id="1382" w:name="_Caption1695"/>
      <w:bookmarkStart w:id="1383" w:name="_Caption2250"/>
      <w:bookmarkStart w:id="1384" w:name="_Caption2829"/>
      <w:bookmarkStart w:id="1385" w:name="_Caption6127"/>
      <w:bookmarkStart w:id="1386" w:name="_Caption3679"/>
      <w:bookmarkStart w:id="1387" w:name="_Caption4945"/>
      <w:bookmarkStart w:id="1388" w:name="_Caption2694"/>
      <w:bookmarkStart w:id="1389" w:name="_Caption0824"/>
      <w:bookmarkStart w:id="1390" w:name="_Caption5163"/>
      <w:bookmarkStart w:id="1391" w:name="_Caption3169"/>
      <w:bookmarkStart w:id="1392" w:name="_Caption2986"/>
      <w:bookmarkStart w:id="1393" w:name="_Caption4524"/>
      <w:bookmarkStart w:id="1394" w:name="_Caption7661"/>
      <w:bookmarkStart w:id="1395" w:name="_Caption0669"/>
      <w:bookmarkStart w:id="1396" w:name="_Caption8830"/>
      <w:bookmarkStart w:id="1397" w:name="_Caption6914"/>
      <w:bookmarkStart w:id="1398" w:name="_Caption4736"/>
      <w:bookmarkStart w:id="1399" w:name="_Caption1920"/>
      <w:bookmarkStart w:id="1400" w:name="_Caption0295"/>
      <w:bookmarkStart w:id="1401" w:name="_Caption6513"/>
      <w:bookmarkStart w:id="1402" w:name="_Caption7956"/>
      <w:bookmarkStart w:id="1403" w:name="_Caption6454"/>
      <w:bookmarkStart w:id="1404" w:name="_Caption5281"/>
      <w:bookmarkStart w:id="1405" w:name="_Caption7489"/>
      <w:bookmarkStart w:id="1406" w:name="_Caption3076"/>
      <w:bookmarkStart w:id="1407" w:name="_Caption7475"/>
      <w:bookmarkStart w:id="1408" w:name="_Caption3285"/>
      <w:bookmarkStart w:id="1409" w:name="_Caption2028"/>
      <w:bookmarkStart w:id="1410" w:name="_Caption0294"/>
      <w:bookmarkStart w:id="1411" w:name="_Caption2918"/>
      <w:bookmarkStart w:id="1412" w:name="_Caption8657"/>
      <w:bookmarkStart w:id="1413" w:name="_Caption3846"/>
      <w:bookmarkStart w:id="1414" w:name="_Caption6473"/>
      <w:bookmarkStart w:id="1415" w:name="_Caption3507"/>
      <w:bookmarkStart w:id="1416" w:name="_Caption9606"/>
      <w:bookmarkStart w:id="1417" w:name="_Caption9391"/>
      <w:bookmarkStart w:id="1418" w:name="_Caption0845"/>
      <w:bookmarkStart w:id="1419" w:name="_Caption8158"/>
      <w:bookmarkStart w:id="1420" w:name="_Caption7314"/>
      <w:bookmarkStart w:id="1421" w:name="_Caption7875"/>
      <w:bookmarkStart w:id="1422" w:name="_Caption9511"/>
      <w:bookmarkStart w:id="1423" w:name="_Caption6042"/>
      <w:bookmarkStart w:id="1424" w:name="_Caption5457"/>
      <w:bookmarkStart w:id="1425" w:name="_Caption3348"/>
      <w:bookmarkStart w:id="1426" w:name="_Caption7026"/>
      <w:bookmarkStart w:id="1427" w:name="_Caption2565"/>
      <w:bookmarkStart w:id="1428" w:name="_Caption4363"/>
      <w:bookmarkStart w:id="1429" w:name="_Caption8755"/>
      <w:bookmarkStart w:id="1430" w:name="_Caption8911"/>
      <w:bookmarkStart w:id="1431" w:name="_Caption8766"/>
      <w:bookmarkStart w:id="1432" w:name="_Caption1570"/>
      <w:bookmarkStart w:id="1433" w:name="_Caption2617"/>
      <w:bookmarkStart w:id="1434" w:name="_Caption6431"/>
      <w:bookmarkStart w:id="1435" w:name="_Caption6929"/>
      <w:bookmarkStart w:id="1436" w:name="_Caption2166"/>
      <w:bookmarkStart w:id="1437" w:name="_Caption7707"/>
      <w:bookmarkStart w:id="1438" w:name="_Caption4164"/>
      <w:bookmarkStart w:id="1439" w:name="_Caption6482"/>
      <w:bookmarkStart w:id="1440" w:name="_Caption6432"/>
      <w:bookmarkStart w:id="1441" w:name="_Caption1053"/>
      <w:bookmarkStart w:id="1442" w:name="_Caption7947"/>
      <w:bookmarkStart w:id="1443" w:name="_Caption4965"/>
      <w:bookmarkStart w:id="1444" w:name="_Caption8491"/>
      <w:bookmarkStart w:id="1445" w:name="_Caption5520"/>
      <w:bookmarkStart w:id="1446" w:name="_Toc529869908"/>
      <w:bookmarkStart w:id="1447" w:name="_Toc530748404"/>
      <w:r w:rsidR="00EA42ED">
        <w:rPr>
          <w:noProof/>
        </w:rPr>
        <w:t>4</w:t>
      </w:r>
      <w:r w:rsidR="00EA42ED" w:rsidRPr="007502CF">
        <w:rPr>
          <w:noProof/>
        </w:rPr>
        <w:t>.</w:t>
      </w:r>
      <w:r w:rsidR="00EA42ED">
        <w:rPr>
          <w:noProof/>
        </w:rPr>
        <w:t>7</w:t>
      </w:r>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r w:rsidRPr="007502CF">
        <w:fldChar w:fldCharType="end"/>
      </w:r>
      <w:r w:rsidRPr="007502CF">
        <w:tab/>
        <w:t xml:space="preserve">Projected new commercial buildings by </w:t>
      </w:r>
      <w:r w:rsidR="00E31EE8">
        <w:t>Climate Zone</w:t>
      </w:r>
      <w:bookmarkEnd w:id="1446"/>
      <w:bookmarkEnd w:id="1447"/>
    </w:p>
    <w:p w:rsidR="00612FD3" w:rsidRPr="00A97BEC" w:rsidRDefault="00612FD3" w:rsidP="00612FD3">
      <w:pPr>
        <w:pStyle w:val="Note"/>
      </w:pPr>
      <w:r w:rsidRPr="00125611">
        <w:rPr>
          <w:noProof/>
          <w:lang w:eastAsia="en-AU"/>
        </w:rPr>
        <w:drawing>
          <wp:inline distT="0" distB="0" distL="0" distR="0" wp14:anchorId="2A9EAC52" wp14:editId="24457F7C">
            <wp:extent cx="5037455" cy="2430145"/>
            <wp:effectExtent l="0" t="0" r="0" b="8255"/>
            <wp:docPr id="62" name="Picture 62" descr="The chart shows projected new commercial buildings in Australia by climate zone up to 2028 - new commercial buildings are concentrated in climate zones 2, 5 and 6." title="Projected new commercial buildings by climate zo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1">
                      <a:extLst>
                        <a:ext uri="{28A0092B-C50C-407E-A947-70E740481C1C}">
                          <a14:useLocalDpi xmlns:a14="http://schemas.microsoft.com/office/drawing/2010/main" val="0"/>
                        </a:ext>
                      </a:extLst>
                    </a:blip>
                    <a:srcRect l="-1748" r="-1011"/>
                    <a:stretch/>
                  </pic:blipFill>
                  <pic:spPr bwMode="auto">
                    <a:xfrm>
                      <a:off x="0" y="0"/>
                      <a:ext cx="5037455" cy="2430145"/>
                    </a:xfrm>
                    <a:prstGeom prst="rect">
                      <a:avLst/>
                    </a:prstGeom>
                    <a:solidFill>
                      <a:schemeClr val="bg2"/>
                    </a:solidFill>
                    <a:ln>
                      <a:noFill/>
                    </a:ln>
                    <a:extLst>
                      <a:ext uri="{53640926-AAD7-44D8-BBD7-CCE9431645EC}">
                        <a14:shadowObscured xmlns:a14="http://schemas.microsoft.com/office/drawing/2010/main"/>
                      </a:ext>
                    </a:extLst>
                  </pic:spPr>
                </pic:pic>
              </a:graphicData>
            </a:graphic>
          </wp:inline>
        </w:drawing>
      </w:r>
      <w:r w:rsidRPr="00A97BEC">
        <w:rPr>
          <w:i/>
        </w:rPr>
        <w:t xml:space="preserve">Note: </w:t>
      </w:r>
      <w:r>
        <w:rPr>
          <w:i/>
        </w:rPr>
        <w:t>Excludes refurbishments.</w:t>
      </w:r>
    </w:p>
    <w:p w:rsidR="00612FD3" w:rsidRDefault="00612FD3" w:rsidP="00612FD3">
      <w:pPr>
        <w:pStyle w:val="Source"/>
      </w:pPr>
      <w:r>
        <w:rPr>
          <w:i/>
        </w:rPr>
        <w:t>Data source</w:t>
      </w:r>
      <w:r w:rsidRPr="00A67576">
        <w:rPr>
          <w:i/>
        </w:rPr>
        <w:t>:</w:t>
      </w:r>
      <w:r>
        <w:t xml:space="preserve"> CIE projection.</w:t>
      </w:r>
    </w:p>
    <w:p w:rsidR="00612FD3" w:rsidRDefault="00612FD3" w:rsidP="00612FD3">
      <w:pPr>
        <w:pStyle w:val="Heading2"/>
        <w:numPr>
          <w:ilvl w:val="1"/>
          <w:numId w:val="5"/>
        </w:numPr>
      </w:pPr>
      <w:bookmarkStart w:id="1448" w:name="_Toc529869841"/>
      <w:bookmarkStart w:id="1449" w:name="_Toc530748558"/>
      <w:r>
        <w:t>The impacts of the non-regulatory option</w:t>
      </w:r>
      <w:bookmarkEnd w:id="1448"/>
      <w:bookmarkEnd w:id="1449"/>
    </w:p>
    <w:p w:rsidR="00612FD3" w:rsidRDefault="00612FD3" w:rsidP="00612FD3">
      <w:pPr>
        <w:pStyle w:val="BodyText"/>
      </w:pPr>
      <w:r>
        <w:t>As discussed earlier, a non-regulatory alternative option is to use the proposed changes to the NCC as the basis for a guideline to encourage industry to adopt it voluntarily.</w:t>
      </w:r>
    </w:p>
    <w:p w:rsidR="007A7D14" w:rsidRDefault="00612FD3" w:rsidP="00612FD3">
      <w:pPr>
        <w:pStyle w:val="BodyText"/>
      </w:pPr>
      <w:r>
        <w:t>The cost of turning the proposed changes to the NCC into a handbook would presumably be relatively modest.</w:t>
      </w:r>
      <w:r w:rsidR="007A7D14">
        <w:t xml:space="preserve"> However, t</w:t>
      </w:r>
      <w:r>
        <w:t xml:space="preserve">he benefits would depend on the extent to which the handbook encourages industry to voluntarily improve energy efficiency. </w:t>
      </w:r>
      <w:r w:rsidR="007A7D14">
        <w:t xml:space="preserve">There is no rational basis to estimate the extent to which industry would voluntarily improve energy efficiency as a </w:t>
      </w:r>
      <w:r w:rsidR="00FD57D2">
        <w:t xml:space="preserve">direct </w:t>
      </w:r>
      <w:r w:rsidR="007A7D14">
        <w:t>result of the handbook.</w:t>
      </w:r>
    </w:p>
    <w:p w:rsidR="007A7D14" w:rsidRDefault="007A7D14" w:rsidP="00612FD3">
      <w:pPr>
        <w:pStyle w:val="BodyText"/>
      </w:pPr>
      <w:r>
        <w:t xml:space="preserve">As such, the </w:t>
      </w:r>
      <w:r w:rsidR="00FD57D2">
        <w:t>non</w:t>
      </w:r>
      <w:r w:rsidR="00FD57D2">
        <w:noBreakHyphen/>
        <w:t>regulatory option has not been subjected to a formal CBA. Consistent with the approach in the Consultation RIS, a high</w:t>
      </w:r>
      <w:r w:rsidR="00FD57D2">
        <w:noBreakHyphen/>
        <w:t>level assessment of the potential effectiveness of this approach has been provided instead.</w:t>
      </w:r>
    </w:p>
    <w:p w:rsidR="00612FD3" w:rsidRDefault="00612FD3" w:rsidP="00612FD3">
      <w:pPr>
        <w:pStyle w:val="BodyText"/>
      </w:pPr>
    </w:p>
    <w:p w:rsidR="00612FD3" w:rsidRDefault="00612FD3" w:rsidP="00612FD3">
      <w:pPr>
        <w:pStyle w:val="BodyText"/>
      </w:pPr>
    </w:p>
    <w:p w:rsidR="00612FD3" w:rsidRDefault="00612FD3" w:rsidP="00612FD3">
      <w:pPr>
        <w:pStyle w:val="BodyText"/>
      </w:pPr>
    </w:p>
    <w:p w:rsidR="00612FD3" w:rsidRDefault="00612FD3" w:rsidP="00612FD3">
      <w:pPr>
        <w:pStyle w:val="Heading1"/>
        <w:numPr>
          <w:ilvl w:val="0"/>
          <w:numId w:val="5"/>
        </w:numPr>
      </w:pPr>
      <w:bookmarkStart w:id="1450" w:name="_Toc529869842"/>
      <w:bookmarkStart w:id="1451" w:name="_Toc530748559"/>
      <w:bookmarkEnd w:id="825"/>
      <w:r>
        <w:t>Change in construction costs</w:t>
      </w:r>
      <w:bookmarkEnd w:id="1450"/>
      <w:bookmarkEnd w:id="1451"/>
    </w:p>
    <w:p w:rsidR="00612FD3" w:rsidRDefault="00612FD3" w:rsidP="00612FD3">
      <w:pPr>
        <w:pStyle w:val="Heading2"/>
        <w:numPr>
          <w:ilvl w:val="1"/>
          <w:numId w:val="5"/>
        </w:numPr>
      </w:pPr>
      <w:bookmarkStart w:id="1452" w:name="_Toc499847005"/>
      <w:bookmarkStart w:id="1453" w:name="_Toc505120600"/>
      <w:bookmarkStart w:id="1454" w:name="_Toc492036654"/>
      <w:bookmarkStart w:id="1455" w:name="_Toc493676401"/>
      <w:bookmarkStart w:id="1456" w:name="_Toc507523758"/>
      <w:bookmarkStart w:id="1457" w:name="_Toc509220790"/>
      <w:bookmarkStart w:id="1458" w:name="_Toc529869843"/>
      <w:bookmarkStart w:id="1459" w:name="_Toc530748560"/>
      <w:r>
        <w:t xml:space="preserve">Modelled </w:t>
      </w:r>
      <w:bookmarkEnd w:id="1452"/>
      <w:bookmarkEnd w:id="1453"/>
      <w:bookmarkEnd w:id="1454"/>
      <w:bookmarkEnd w:id="1455"/>
      <w:bookmarkEnd w:id="1456"/>
      <w:bookmarkEnd w:id="1457"/>
      <w:r>
        <w:t>change in construction costs</w:t>
      </w:r>
      <w:bookmarkEnd w:id="1458"/>
      <w:bookmarkEnd w:id="1459"/>
    </w:p>
    <w:p w:rsidR="00A20A3B" w:rsidRDefault="00823390" w:rsidP="002B3C0A">
      <w:pPr>
        <w:pStyle w:val="BodyText"/>
      </w:pPr>
      <w:r>
        <w:t>C</w:t>
      </w:r>
      <w:r w:rsidR="00A20A3B">
        <w:t xml:space="preserve">onstruction costs are estimated by </w:t>
      </w:r>
      <w:r w:rsidR="00E82893">
        <w:t>EA</w:t>
      </w:r>
      <w:r w:rsidR="00A20A3B">
        <w:t xml:space="preserve"> </w:t>
      </w:r>
      <w:r>
        <w:t xml:space="preserve">based on the cost of complying with the minimum standards under the existing code (NCC 2016) and under the proposed minimum standards (NCC 2019) through the DTS pathway. These estimates were based on </w:t>
      </w:r>
      <w:r w:rsidR="00A20A3B">
        <w:t xml:space="preserve">market pricing information </w:t>
      </w:r>
      <w:r>
        <w:t>gathered from a range of sources</w:t>
      </w:r>
      <w:r w:rsidR="00A20A3B">
        <w:t xml:space="preserve">. </w:t>
      </w:r>
    </w:p>
    <w:p w:rsidR="00A20A3B" w:rsidRDefault="00A20A3B" w:rsidP="002B3C0A">
      <w:pPr>
        <w:pStyle w:val="ListBullet"/>
      </w:pPr>
      <w:r>
        <w:t xml:space="preserve">For </w:t>
      </w:r>
      <w:r w:rsidR="00823390">
        <w:t xml:space="preserve">the </w:t>
      </w:r>
      <w:r>
        <w:t xml:space="preserve">building envelope, </w:t>
      </w:r>
      <w:r w:rsidR="004C7E14">
        <w:t xml:space="preserve">the </w:t>
      </w:r>
      <w:r>
        <w:t>proposed changes in</w:t>
      </w:r>
      <w:r w:rsidR="004C7E14">
        <w:t xml:space="preserve"> the</w:t>
      </w:r>
      <w:r>
        <w:t xml:space="preserve"> NCC lead to change</w:t>
      </w:r>
      <w:r w:rsidR="004C7E14">
        <w:t>s</w:t>
      </w:r>
      <w:r>
        <w:t xml:space="preserve"> in glazing and wall insulation</w:t>
      </w:r>
      <w:r w:rsidR="004C7E14">
        <w:t>,</w:t>
      </w:r>
      <w:r>
        <w:t xml:space="preserve"> while roof and floor construction </w:t>
      </w:r>
      <w:r w:rsidR="00823390">
        <w:t>would</w:t>
      </w:r>
      <w:r>
        <w:t xml:space="preserve"> not change.</w:t>
      </w:r>
    </w:p>
    <w:p w:rsidR="00A20A3B" w:rsidRDefault="00A20A3B" w:rsidP="002B3C0A">
      <w:pPr>
        <w:pStyle w:val="ListBullet"/>
      </w:pPr>
      <w:r>
        <w:t xml:space="preserve">EA choose from its glazing database the least cost products </w:t>
      </w:r>
      <w:r w:rsidR="00823390">
        <w:t xml:space="preserve">that </w:t>
      </w:r>
      <w:r>
        <w:t>compli</w:t>
      </w:r>
      <w:r w:rsidR="00823390">
        <w:t>es</w:t>
      </w:r>
      <w:r>
        <w:t xml:space="preserve"> </w:t>
      </w:r>
      <w:r w:rsidR="00823390">
        <w:t>with</w:t>
      </w:r>
      <w:r>
        <w:t xml:space="preserve"> </w:t>
      </w:r>
      <w:r w:rsidR="00823390">
        <w:t>the relevant code requirements</w:t>
      </w:r>
      <w:r>
        <w:t xml:space="preserve">. The window pricing information in the database was provided by the </w:t>
      </w:r>
      <w:r w:rsidR="00BC005D">
        <w:t xml:space="preserve">window </w:t>
      </w:r>
      <w:r>
        <w:t>industry.</w:t>
      </w:r>
    </w:p>
    <w:p w:rsidR="00AD7C40" w:rsidRDefault="00A20A3B" w:rsidP="002B3C0A">
      <w:pPr>
        <w:pStyle w:val="ListBullet"/>
      </w:pPr>
      <w:r>
        <w:t xml:space="preserve">For insulation </w:t>
      </w:r>
      <w:r w:rsidR="00E82893">
        <w:t>cost</w:t>
      </w:r>
      <w:r w:rsidR="00823390">
        <w:t>s</w:t>
      </w:r>
      <w:r w:rsidR="00E82893">
        <w:t xml:space="preserve">, </w:t>
      </w:r>
      <w:r>
        <w:t xml:space="preserve">EA </w:t>
      </w:r>
      <w:r w:rsidR="00AD7C40">
        <w:t xml:space="preserve">first </w:t>
      </w:r>
      <w:r>
        <w:t>estimates a</w:t>
      </w:r>
      <w:r w:rsidR="00AD7C40">
        <w:t xml:space="preserve">n equation explaining the unit </w:t>
      </w:r>
      <w:r>
        <w:t>cost</w:t>
      </w:r>
      <w:r w:rsidR="00AD7C40">
        <w:t xml:space="preserve"> per square metre of insulation</w:t>
      </w:r>
      <w:r>
        <w:t xml:space="preserve"> </w:t>
      </w:r>
      <w:r w:rsidR="00AD7C40">
        <w:t xml:space="preserve">with thickness of the insulation material (which is related to the </w:t>
      </w:r>
      <w:r w:rsidR="006F1C6A">
        <w:t>U-Value</w:t>
      </w:r>
      <w:r w:rsidR="00E82893">
        <w:t xml:space="preserve"> requirement</w:t>
      </w:r>
      <w:r w:rsidR="00AD7C40">
        <w:t>) and then apply this relationship to the modelled result of thickness and area to estimate unit costs and total costs.</w:t>
      </w:r>
    </w:p>
    <w:p w:rsidR="00A20A3B" w:rsidRDefault="00AD7C40" w:rsidP="002B3C0A">
      <w:pPr>
        <w:pStyle w:val="ListBullet"/>
      </w:pPr>
      <w:r>
        <w:t xml:space="preserve">A similar approach is used to estimate the costs for each service equipment. The relationship between the unit cost (capital cost per unit of capacity) and the performance indicators is estimated according to available product specification and pricing information in the market. </w:t>
      </w:r>
      <w:r w:rsidR="002D7DB9">
        <w:t>Total costs are then estimated according to the capacity and performance requirement resultant from the energy modelling.</w:t>
      </w:r>
    </w:p>
    <w:p w:rsidR="00E82893" w:rsidRDefault="00E82893" w:rsidP="002B3C0A">
      <w:pPr>
        <w:pStyle w:val="BodyText"/>
      </w:pPr>
      <w:r>
        <w:t xml:space="preserve">More information on costing is provided in the EA modelling report </w:t>
      </w:r>
      <w:r w:rsidR="00BC005D" w:rsidRPr="002B3C0A">
        <w:rPr>
          <w:i/>
        </w:rPr>
        <w:t>Modelling and Sensitivity Analysis</w:t>
      </w:r>
      <w:r w:rsidR="00B12BDF">
        <w:rPr>
          <w:i/>
        </w:rPr>
        <w:t>:</w:t>
      </w:r>
      <w:r w:rsidR="00BC005D" w:rsidRPr="002B3C0A">
        <w:rPr>
          <w:i/>
        </w:rPr>
        <w:t xml:space="preserve"> NCC Section J Revision</w:t>
      </w:r>
      <w:r w:rsidR="00BC005D">
        <w:t xml:space="preserve"> </w:t>
      </w:r>
      <w:r w:rsidR="00A121A7">
        <w:t>(</w:t>
      </w:r>
      <w:r w:rsidR="000A5492">
        <w:t>8</w:t>
      </w:r>
      <w:r w:rsidR="003D32B3">
        <w:t xml:space="preserve"> November</w:t>
      </w:r>
      <w:r w:rsidR="00BC005D">
        <w:t xml:space="preserve"> 2018</w:t>
      </w:r>
      <w:r w:rsidR="00A121A7">
        <w:t xml:space="preserve">) </w:t>
      </w:r>
      <w:r>
        <w:rPr>
          <w:rFonts w:eastAsia="SimSun"/>
          <w:lang w:eastAsia="zh-CN"/>
        </w:rPr>
        <w:t>accomp</w:t>
      </w:r>
      <w:r w:rsidR="00BD0C69">
        <w:rPr>
          <w:rFonts w:eastAsia="SimSun"/>
          <w:lang w:eastAsia="zh-CN"/>
        </w:rPr>
        <w:t>an</w:t>
      </w:r>
      <w:r>
        <w:rPr>
          <w:rFonts w:eastAsia="SimSun"/>
          <w:lang w:eastAsia="zh-CN"/>
        </w:rPr>
        <w:t>ying with this report.</w:t>
      </w:r>
    </w:p>
    <w:p w:rsidR="002D7DB9" w:rsidRPr="00A20A3B" w:rsidRDefault="002D7DB9" w:rsidP="002B3C0A">
      <w:pPr>
        <w:pStyle w:val="BodyText"/>
      </w:pPr>
      <w:r>
        <w:t>The difference in construction and capital costs between NCC 2016 and NCC 2019 compliant building models is then used in this analysis as the bas</w:t>
      </w:r>
      <w:r w:rsidR="004C7E14">
        <w:t>is</w:t>
      </w:r>
      <w:r>
        <w:t xml:space="preserve"> for estimating the compliance costs associated with the proposed changes in the energy efficiency provisions.</w:t>
      </w:r>
    </w:p>
    <w:p w:rsidR="00612FD3" w:rsidRDefault="00612FD3" w:rsidP="00612FD3">
      <w:pPr>
        <w:pStyle w:val="BodyText"/>
        <w:rPr>
          <w:lang w:eastAsia="en-US"/>
        </w:rPr>
      </w:pPr>
      <w:r>
        <w:t xml:space="preserve">The estimated change in construction costs per square metre of floor space, based on </w:t>
      </w:r>
      <w:r w:rsidR="003F28DD">
        <w:t>EA</w:t>
      </w:r>
      <w:r>
        <w:t xml:space="preserve"> modelling is summarised in table</w:t>
      </w:r>
      <w:r w:rsidR="00C07C84">
        <w:t> </w:t>
      </w:r>
      <w:r w:rsidR="005153A6">
        <w:rPr>
          <w:noProof/>
        </w:rPr>
        <w:fldChar w:fldCharType="begin"/>
      </w:r>
      <w:r w:rsidR="005153A6">
        <w:rPr>
          <w:noProof/>
        </w:rPr>
        <w:instrText xml:space="preserve"> REF _Caption0828 </w:instrText>
      </w:r>
      <w:r w:rsidR="005153A6">
        <w:rPr>
          <w:noProof/>
        </w:rPr>
        <w:fldChar w:fldCharType="separate"/>
      </w:r>
      <w:r w:rsidR="006B79B8">
        <w:rPr>
          <w:noProof/>
        </w:rPr>
        <w:t>5</w:t>
      </w:r>
      <w:r w:rsidR="006B79B8" w:rsidRPr="007E7845">
        <w:rPr>
          <w:noProof/>
        </w:rPr>
        <w:t>.</w:t>
      </w:r>
      <w:r w:rsidR="006B79B8">
        <w:rPr>
          <w:noProof/>
        </w:rPr>
        <w:t>1</w:t>
      </w:r>
      <w:r w:rsidR="005153A6">
        <w:rPr>
          <w:noProof/>
        </w:rPr>
        <w:fldChar w:fldCharType="end"/>
      </w:r>
      <w:r>
        <w:t xml:space="preserve"> and discussed in more detail below. </w:t>
      </w:r>
      <w:r>
        <w:rPr>
          <w:lang w:eastAsia="en-US"/>
        </w:rPr>
        <w:t>For consistency throughout the report, cost increases are reported as a negative value and cost savings are reported as a positive value.</w:t>
      </w:r>
    </w:p>
    <w:p w:rsidR="00612FD3" w:rsidRDefault="00612FD3" w:rsidP="00612FD3">
      <w:pPr>
        <w:pStyle w:val="Caption"/>
      </w:pPr>
      <w:r w:rsidRPr="007E7845">
        <w:fldChar w:fldCharType="begin"/>
      </w:r>
      <w:r w:rsidRPr="007E7845">
        <w:instrText xml:space="preserve"> IF 1 = 1 "</w:instrText>
      </w:r>
      <w:r w:rsidRPr="007E7845">
        <w:fldChar w:fldCharType="begin"/>
      </w:r>
      <w:r w:rsidRPr="007E7845">
        <w:instrText xml:space="preserve"> IF </w:instrText>
      </w:r>
      <w:r w:rsidRPr="007E7845">
        <w:rPr>
          <w:noProof/>
        </w:rPr>
        <w:fldChar w:fldCharType="begin"/>
      </w:r>
      <w:r w:rsidRPr="007E7845">
        <w:rPr>
          <w:noProof/>
        </w:rPr>
        <w:instrText xml:space="preserve"> STYLEREF "Heading 6" \l \n </w:instrText>
      </w:r>
      <w:r w:rsidRPr="007E7845">
        <w:rPr>
          <w:noProof/>
        </w:rPr>
        <w:fldChar w:fldCharType="separate"/>
      </w:r>
      <w:r w:rsidR="00B833F1">
        <w:rPr>
          <w:noProof/>
        </w:rPr>
        <w:instrText>0</w:instrText>
      </w:r>
      <w:r w:rsidRPr="007E7845">
        <w:rPr>
          <w:noProof/>
        </w:rPr>
        <w:fldChar w:fldCharType="end"/>
      </w:r>
      <w:r w:rsidRPr="007E7845">
        <w:instrText xml:space="preserve"> = 0 "</w:instrText>
      </w:r>
      <w:r w:rsidRPr="007E7845">
        <w:fldChar w:fldCharType="begin"/>
      </w:r>
      <w:r w:rsidRPr="007E7845">
        <w:instrText xml:space="preserve"> IF </w:instrText>
      </w:r>
      <w:r w:rsidRPr="007E7845">
        <w:rPr>
          <w:noProof/>
        </w:rPr>
        <w:fldChar w:fldCharType="begin"/>
      </w:r>
      <w:r w:rsidRPr="007E7845">
        <w:rPr>
          <w:noProof/>
        </w:rPr>
        <w:instrText xml:space="preserve"> STYLEREF "Heading 1" \l \n </w:instrText>
      </w:r>
      <w:r w:rsidRPr="007E7845">
        <w:rPr>
          <w:noProof/>
        </w:rPr>
        <w:fldChar w:fldCharType="separate"/>
      </w:r>
      <w:r w:rsidR="00B833F1">
        <w:rPr>
          <w:noProof/>
        </w:rPr>
        <w:instrText>5</w:instrText>
      </w:r>
      <w:r w:rsidRPr="007E7845">
        <w:rPr>
          <w:noProof/>
        </w:rPr>
        <w:fldChar w:fldCharType="end"/>
      </w:r>
      <w:r w:rsidRPr="007E7845">
        <w:instrText xml:space="preserve"> = 0 "" "</w:instrText>
      </w:r>
      <w:r w:rsidRPr="007E7845">
        <w:rPr>
          <w:noProof/>
        </w:rPr>
        <w:fldChar w:fldCharType="begin"/>
      </w:r>
      <w:r w:rsidRPr="007E7845">
        <w:rPr>
          <w:noProof/>
        </w:rPr>
        <w:instrText xml:space="preserve"> STYLEREF "Heading 1" \l \n </w:instrText>
      </w:r>
      <w:r w:rsidRPr="007E7845">
        <w:rPr>
          <w:noProof/>
        </w:rPr>
        <w:fldChar w:fldCharType="separate"/>
      </w:r>
      <w:r w:rsidR="00B833F1">
        <w:rPr>
          <w:noProof/>
        </w:rPr>
        <w:instrText>5</w:instrText>
      </w:r>
      <w:r w:rsidRPr="007E7845">
        <w:rPr>
          <w:noProof/>
        </w:rPr>
        <w:fldChar w:fldCharType="end"/>
      </w:r>
      <w:r w:rsidRPr="007E7845">
        <w:instrText xml:space="preserve">." </w:instrText>
      </w:r>
      <w:r w:rsidRPr="007E7845">
        <w:fldChar w:fldCharType="separate"/>
      </w:r>
      <w:r w:rsidR="00B833F1">
        <w:rPr>
          <w:noProof/>
        </w:rPr>
        <w:instrText>5</w:instrText>
      </w:r>
      <w:r w:rsidR="00B833F1" w:rsidRPr="007E7845">
        <w:rPr>
          <w:noProof/>
        </w:rPr>
        <w:instrText>.</w:instrText>
      </w:r>
      <w:r w:rsidRPr="007E7845">
        <w:fldChar w:fldCharType="end"/>
      </w:r>
      <w:r w:rsidRPr="007E7845">
        <w:instrText>" "</w:instrText>
      </w:r>
      <w:r w:rsidR="001F6F43">
        <w:fldChar w:fldCharType="begin"/>
      </w:r>
      <w:r w:rsidR="001F6F43">
        <w:instrText xml:space="preserve"> STYLEREF "Heading 6" \l \n </w:instrText>
      </w:r>
      <w:r w:rsidR="001F6F43">
        <w:fldChar w:fldCharType="separate"/>
      </w:r>
      <w:r w:rsidRPr="007E7845">
        <w:instrText>B</w:instrText>
      </w:r>
      <w:r w:rsidR="001F6F43">
        <w:fldChar w:fldCharType="end"/>
      </w:r>
      <w:r w:rsidRPr="007E7845">
        <w:instrText xml:space="preserve">." </w:instrText>
      </w:r>
      <w:r w:rsidRPr="007E7845">
        <w:fldChar w:fldCharType="separate"/>
      </w:r>
      <w:r w:rsidR="00EA42ED">
        <w:rPr>
          <w:noProof/>
        </w:rPr>
        <w:instrText>5</w:instrText>
      </w:r>
      <w:r w:rsidR="00EA42ED" w:rsidRPr="007E7845">
        <w:rPr>
          <w:noProof/>
        </w:rPr>
        <w:instrText>.</w:instrText>
      </w:r>
      <w:r w:rsidRPr="007E7845">
        <w:fldChar w:fldCharType="end"/>
      </w:r>
      <w:r w:rsidRPr="007E7845">
        <w:fldChar w:fldCharType="begin"/>
      </w:r>
      <w:r w:rsidRPr="007E7845">
        <w:instrText xml:space="preserve"> SEQ Item \* ARABIC \s </w:instrText>
      </w:r>
      <w:r w:rsidRPr="007E7845">
        <w:fldChar w:fldCharType="begin"/>
      </w:r>
      <w:r w:rsidRPr="007E7845">
        <w:instrText xml:space="preserve"> IF </w:instrText>
      </w:r>
      <w:r w:rsidRPr="007E7845">
        <w:rPr>
          <w:noProof/>
        </w:rPr>
        <w:fldChar w:fldCharType="begin"/>
      </w:r>
      <w:r w:rsidRPr="007E7845">
        <w:rPr>
          <w:noProof/>
        </w:rPr>
        <w:instrText xml:space="preserve"> STYLEREF "Heading 6" \l \n </w:instrText>
      </w:r>
      <w:r w:rsidRPr="007E7845">
        <w:rPr>
          <w:noProof/>
        </w:rPr>
        <w:fldChar w:fldCharType="separate"/>
      </w:r>
      <w:r w:rsidR="00B833F1">
        <w:rPr>
          <w:noProof/>
        </w:rPr>
        <w:instrText>0</w:instrText>
      </w:r>
      <w:r w:rsidRPr="007E7845">
        <w:rPr>
          <w:noProof/>
        </w:rPr>
        <w:fldChar w:fldCharType="end"/>
      </w:r>
      <w:r w:rsidRPr="007E7845">
        <w:instrText xml:space="preserve"> = 0 "</w:instrText>
      </w:r>
      <w:r w:rsidRPr="007E7845">
        <w:fldChar w:fldCharType="begin"/>
      </w:r>
      <w:r w:rsidRPr="007E7845">
        <w:instrText xml:space="preserve"> IF </w:instrText>
      </w:r>
      <w:r w:rsidRPr="007E7845">
        <w:rPr>
          <w:noProof/>
        </w:rPr>
        <w:fldChar w:fldCharType="begin"/>
      </w:r>
      <w:r w:rsidRPr="007E7845">
        <w:rPr>
          <w:noProof/>
        </w:rPr>
        <w:instrText xml:space="preserve"> STYLEREF "Heading 1" \l \n </w:instrText>
      </w:r>
      <w:r w:rsidRPr="007E7845">
        <w:rPr>
          <w:noProof/>
        </w:rPr>
        <w:fldChar w:fldCharType="separate"/>
      </w:r>
      <w:r w:rsidR="00B833F1">
        <w:rPr>
          <w:noProof/>
        </w:rPr>
        <w:instrText>5</w:instrText>
      </w:r>
      <w:r w:rsidRPr="007E7845">
        <w:rPr>
          <w:noProof/>
        </w:rPr>
        <w:fldChar w:fldCharType="end"/>
      </w:r>
      <w:r w:rsidRPr="007E7845">
        <w:instrText xml:space="preserve"> = 0 "" "1" </w:instrText>
      </w:r>
      <w:r w:rsidRPr="007E7845">
        <w:fldChar w:fldCharType="separate"/>
      </w:r>
      <w:r w:rsidR="00EA42ED" w:rsidRPr="007E7845">
        <w:rPr>
          <w:noProof/>
        </w:rPr>
        <w:instrText>1</w:instrText>
      </w:r>
      <w:r w:rsidRPr="007E7845">
        <w:fldChar w:fldCharType="end"/>
      </w:r>
      <w:r w:rsidRPr="007E7845">
        <w:instrText xml:space="preserve">" "6" </w:instrText>
      </w:r>
      <w:r w:rsidRPr="007E7845">
        <w:fldChar w:fldCharType="separate"/>
      </w:r>
      <w:r w:rsidR="00EA42ED" w:rsidRPr="007E7845">
        <w:rPr>
          <w:noProof/>
        </w:rPr>
        <w:instrText>1</w:instrText>
      </w:r>
      <w:r w:rsidRPr="007E7845">
        <w:fldChar w:fldCharType="end"/>
      </w:r>
      <w:r w:rsidRPr="007E7845">
        <w:instrText xml:space="preserve"> </w:instrText>
      </w:r>
      <w:r w:rsidRPr="007E7845">
        <w:fldChar w:fldCharType="separate"/>
      </w:r>
      <w:r w:rsidR="00B833F1">
        <w:rPr>
          <w:noProof/>
        </w:rPr>
        <w:instrText>1</w:instrText>
      </w:r>
      <w:r w:rsidRPr="007E7845">
        <w:fldChar w:fldCharType="end"/>
      </w:r>
      <w:r w:rsidRPr="007E7845">
        <w:instrText xml:space="preserve">" "" </w:instrText>
      </w:r>
      <w:r w:rsidRPr="007E7845">
        <w:fldChar w:fldCharType="separate"/>
      </w:r>
      <w:bookmarkStart w:id="1460" w:name="_Caption3486"/>
      <w:bookmarkStart w:id="1461" w:name="_Caption7452"/>
      <w:bookmarkStart w:id="1462" w:name="_Caption6724"/>
      <w:bookmarkStart w:id="1463" w:name="_Caption7849"/>
      <w:bookmarkStart w:id="1464" w:name="_Caption8659"/>
      <w:bookmarkStart w:id="1465" w:name="_Caption1227"/>
      <w:bookmarkStart w:id="1466" w:name="_Caption6661"/>
      <w:bookmarkStart w:id="1467" w:name="_Caption1090"/>
      <w:bookmarkStart w:id="1468" w:name="_Caption7107"/>
      <w:bookmarkStart w:id="1469" w:name="_Caption3589"/>
      <w:bookmarkStart w:id="1470" w:name="_Caption3240"/>
      <w:bookmarkStart w:id="1471" w:name="_Caption9981"/>
      <w:bookmarkStart w:id="1472" w:name="_Caption6174"/>
      <w:bookmarkStart w:id="1473" w:name="_Caption1672"/>
      <w:bookmarkStart w:id="1474" w:name="_Caption4042"/>
      <w:bookmarkStart w:id="1475" w:name="_Caption3426"/>
      <w:bookmarkStart w:id="1476" w:name="_Caption9601"/>
      <w:bookmarkStart w:id="1477" w:name="_Caption7416"/>
      <w:bookmarkStart w:id="1478" w:name="_Caption8984"/>
      <w:bookmarkStart w:id="1479" w:name="_Caption5885"/>
      <w:bookmarkStart w:id="1480" w:name="_Caption6366"/>
      <w:bookmarkStart w:id="1481" w:name="_Caption9293"/>
      <w:bookmarkStart w:id="1482" w:name="_Caption3990"/>
      <w:bookmarkStart w:id="1483" w:name="_Caption5525"/>
      <w:bookmarkStart w:id="1484" w:name="_Caption7003"/>
      <w:bookmarkStart w:id="1485" w:name="_Caption5322"/>
      <w:bookmarkStart w:id="1486" w:name="_Caption5159"/>
      <w:bookmarkStart w:id="1487" w:name="_Caption6855"/>
      <w:bookmarkStart w:id="1488" w:name="_Caption6381"/>
      <w:bookmarkStart w:id="1489" w:name="_Caption8853"/>
      <w:bookmarkStart w:id="1490" w:name="_Caption4872"/>
      <w:bookmarkStart w:id="1491" w:name="_Caption0828"/>
      <w:bookmarkStart w:id="1492" w:name="_Caption7898"/>
      <w:bookmarkStart w:id="1493" w:name="_Caption1258"/>
      <w:bookmarkStart w:id="1494" w:name="_Caption5483"/>
      <w:bookmarkStart w:id="1495" w:name="_Caption0747"/>
      <w:bookmarkStart w:id="1496" w:name="_Caption2601"/>
      <w:bookmarkStart w:id="1497" w:name="_Caption1006"/>
      <w:bookmarkStart w:id="1498" w:name="_Caption1207"/>
      <w:bookmarkStart w:id="1499" w:name="_Caption2874"/>
      <w:bookmarkStart w:id="1500" w:name="_Caption7181"/>
      <w:bookmarkStart w:id="1501" w:name="_Caption8418"/>
      <w:bookmarkStart w:id="1502" w:name="_Caption6017"/>
      <w:bookmarkStart w:id="1503" w:name="_Caption9471"/>
      <w:bookmarkStart w:id="1504" w:name="_Caption0507"/>
      <w:bookmarkStart w:id="1505" w:name="_Caption4647"/>
      <w:bookmarkStart w:id="1506" w:name="_Caption3586"/>
      <w:bookmarkStart w:id="1507" w:name="_Caption2742"/>
      <w:bookmarkStart w:id="1508" w:name="_Caption8679"/>
      <w:bookmarkStart w:id="1509" w:name="_Caption9553"/>
      <w:bookmarkStart w:id="1510" w:name="_Caption5392"/>
      <w:bookmarkStart w:id="1511" w:name="_Caption5814"/>
      <w:bookmarkStart w:id="1512" w:name="_Caption7127"/>
      <w:bookmarkStart w:id="1513" w:name="_Caption6377"/>
      <w:bookmarkStart w:id="1514" w:name="_Caption5328"/>
      <w:bookmarkStart w:id="1515" w:name="_Caption9985"/>
      <w:bookmarkStart w:id="1516" w:name="_Caption7824"/>
      <w:bookmarkStart w:id="1517" w:name="_Caption4770"/>
      <w:bookmarkStart w:id="1518" w:name="_Caption9055"/>
      <w:bookmarkStart w:id="1519" w:name="_Caption9412"/>
      <w:bookmarkStart w:id="1520" w:name="_Caption5374"/>
      <w:bookmarkStart w:id="1521" w:name="_Caption6715"/>
      <w:bookmarkStart w:id="1522" w:name="_Caption9745"/>
      <w:bookmarkStart w:id="1523" w:name="_Caption6385"/>
      <w:bookmarkStart w:id="1524" w:name="_Caption8464"/>
      <w:bookmarkStart w:id="1525" w:name="_Caption2613"/>
      <w:bookmarkStart w:id="1526" w:name="_Caption2621"/>
      <w:bookmarkStart w:id="1527" w:name="_Toc529869909"/>
      <w:bookmarkStart w:id="1528" w:name="_Toc530748405"/>
      <w:r w:rsidR="00EA42ED">
        <w:rPr>
          <w:noProof/>
        </w:rPr>
        <w:t>5</w:t>
      </w:r>
      <w:r w:rsidR="00EA42ED" w:rsidRPr="007E7845">
        <w:rPr>
          <w:noProof/>
        </w:rPr>
        <w:t>.</w:t>
      </w:r>
      <w:r w:rsidR="00EA42ED">
        <w:rPr>
          <w:noProof/>
        </w:rPr>
        <w:t>1</w:t>
      </w:r>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r w:rsidRPr="007E7845">
        <w:fldChar w:fldCharType="end"/>
      </w:r>
      <w:r w:rsidRPr="007E7845">
        <w:tab/>
        <w:t>Cost change per square metre of floor space</w:t>
      </w:r>
      <w:bookmarkEnd w:id="1527"/>
      <w:bookmarkEnd w:id="1528"/>
    </w:p>
    <w:tbl>
      <w:tblPr>
        <w:tblW w:w="7940" w:type="dxa"/>
        <w:tblLayout w:type="fixed"/>
        <w:tblLook w:val="0000" w:firstRow="0" w:lastRow="0" w:firstColumn="0" w:lastColumn="0" w:noHBand="0" w:noVBand="0"/>
        <w:tblCaption w:val="Table 5.1: Cost change per square metre of floor space"/>
        <w:tblDescription w:val="This table identifies the cost chage per square metre of floor space in each type of building. The analysis finds that in most climate zones for most building types there is a reduction in construction costs. "/>
      </w:tblPr>
      <w:tblGrid>
        <w:gridCol w:w="2172"/>
        <w:gridCol w:w="824"/>
        <w:gridCol w:w="824"/>
        <w:gridCol w:w="824"/>
        <w:gridCol w:w="824"/>
        <w:gridCol w:w="824"/>
        <w:gridCol w:w="824"/>
        <w:gridCol w:w="824"/>
      </w:tblGrid>
      <w:tr w:rsidR="00612FD3" w:rsidTr="002B3C0A">
        <w:trPr>
          <w:trHeight w:val="230"/>
          <w:tblHeader/>
        </w:trPr>
        <w:tc>
          <w:tcPr>
            <w:tcW w:w="2172" w:type="dxa"/>
            <w:shd w:val="clear" w:color="auto" w:fill="6F6652"/>
            <w:tcMar>
              <w:left w:w="57" w:type="dxa"/>
              <w:right w:w="57" w:type="dxa"/>
            </w:tcMar>
          </w:tcPr>
          <w:p w:rsidR="00612FD3" w:rsidRDefault="00612FD3" w:rsidP="00301B6D">
            <w:pPr>
              <w:pStyle w:val="TableDataColumnHeading"/>
              <w:jc w:val="left"/>
              <w:rPr>
                <w:lang w:val="en-GB"/>
              </w:rPr>
            </w:pPr>
          </w:p>
        </w:tc>
        <w:tc>
          <w:tcPr>
            <w:tcW w:w="824" w:type="dxa"/>
            <w:shd w:val="clear" w:color="auto" w:fill="6F6652"/>
            <w:tcMar>
              <w:left w:w="57" w:type="dxa"/>
              <w:right w:w="57" w:type="dxa"/>
            </w:tcMar>
          </w:tcPr>
          <w:p w:rsidR="00612FD3" w:rsidRDefault="00E31EE8" w:rsidP="00301B6D">
            <w:pPr>
              <w:pStyle w:val="TableDataColumnHeading"/>
              <w:rPr>
                <w:lang w:val="en-GB"/>
              </w:rPr>
            </w:pPr>
            <w:r>
              <w:rPr>
                <w:lang w:val="en-GB"/>
              </w:rPr>
              <w:t>Climate Zone</w:t>
            </w:r>
            <w:r w:rsidR="00612FD3">
              <w:rPr>
                <w:lang w:val="en-GB"/>
              </w:rPr>
              <w:t xml:space="preserve"> 1 </w:t>
            </w:r>
          </w:p>
        </w:tc>
        <w:tc>
          <w:tcPr>
            <w:tcW w:w="824" w:type="dxa"/>
            <w:shd w:val="clear" w:color="auto" w:fill="6F6652"/>
            <w:tcMar>
              <w:left w:w="57" w:type="dxa"/>
              <w:right w:w="57" w:type="dxa"/>
            </w:tcMar>
          </w:tcPr>
          <w:p w:rsidR="00612FD3" w:rsidRDefault="00E31EE8" w:rsidP="00301B6D">
            <w:pPr>
              <w:pStyle w:val="TableDataColumnHeading"/>
              <w:rPr>
                <w:lang w:val="en-GB"/>
              </w:rPr>
            </w:pPr>
            <w:r>
              <w:rPr>
                <w:lang w:val="en-GB"/>
              </w:rPr>
              <w:t>Climate Zone</w:t>
            </w:r>
            <w:r w:rsidR="00612FD3">
              <w:rPr>
                <w:lang w:val="en-GB"/>
              </w:rPr>
              <w:t xml:space="preserve"> 2</w:t>
            </w:r>
          </w:p>
        </w:tc>
        <w:tc>
          <w:tcPr>
            <w:tcW w:w="824" w:type="dxa"/>
            <w:shd w:val="clear" w:color="auto" w:fill="6F6652"/>
            <w:tcMar>
              <w:left w:w="57" w:type="dxa"/>
              <w:right w:w="57" w:type="dxa"/>
            </w:tcMar>
          </w:tcPr>
          <w:p w:rsidR="00612FD3" w:rsidRDefault="00E31EE8" w:rsidP="00301B6D">
            <w:pPr>
              <w:pStyle w:val="TableDataColumnHeading"/>
              <w:rPr>
                <w:lang w:val="en-GB"/>
              </w:rPr>
            </w:pPr>
            <w:r>
              <w:rPr>
                <w:lang w:val="en-GB"/>
              </w:rPr>
              <w:t>Climate Zone</w:t>
            </w:r>
            <w:r w:rsidR="00612FD3">
              <w:rPr>
                <w:lang w:val="en-GB"/>
              </w:rPr>
              <w:t xml:space="preserve"> 3</w:t>
            </w:r>
          </w:p>
        </w:tc>
        <w:tc>
          <w:tcPr>
            <w:tcW w:w="824" w:type="dxa"/>
            <w:shd w:val="clear" w:color="auto" w:fill="6F6652"/>
            <w:tcMar>
              <w:left w:w="57" w:type="dxa"/>
              <w:right w:w="57" w:type="dxa"/>
            </w:tcMar>
          </w:tcPr>
          <w:p w:rsidR="00612FD3" w:rsidRDefault="00E31EE8" w:rsidP="00301B6D">
            <w:pPr>
              <w:pStyle w:val="TableDataColumnHeading"/>
              <w:rPr>
                <w:lang w:val="en-GB"/>
              </w:rPr>
            </w:pPr>
            <w:r>
              <w:rPr>
                <w:lang w:val="en-GB"/>
              </w:rPr>
              <w:t>Climate Zone</w:t>
            </w:r>
            <w:r w:rsidR="00612FD3">
              <w:rPr>
                <w:lang w:val="en-GB"/>
              </w:rPr>
              <w:t xml:space="preserve"> 4</w:t>
            </w:r>
          </w:p>
        </w:tc>
        <w:tc>
          <w:tcPr>
            <w:tcW w:w="824" w:type="dxa"/>
            <w:shd w:val="clear" w:color="auto" w:fill="6F6652"/>
            <w:tcMar>
              <w:left w:w="57" w:type="dxa"/>
              <w:right w:w="57" w:type="dxa"/>
            </w:tcMar>
          </w:tcPr>
          <w:p w:rsidR="00612FD3" w:rsidRDefault="00E31EE8" w:rsidP="00301B6D">
            <w:pPr>
              <w:pStyle w:val="TableDataColumnHeading"/>
              <w:rPr>
                <w:lang w:val="en-GB"/>
              </w:rPr>
            </w:pPr>
            <w:r>
              <w:rPr>
                <w:lang w:val="en-GB"/>
              </w:rPr>
              <w:t>Climate Zone</w:t>
            </w:r>
            <w:r w:rsidR="00612FD3">
              <w:rPr>
                <w:lang w:val="en-GB"/>
              </w:rPr>
              <w:t xml:space="preserve"> 5</w:t>
            </w:r>
          </w:p>
        </w:tc>
        <w:tc>
          <w:tcPr>
            <w:tcW w:w="824" w:type="dxa"/>
            <w:shd w:val="clear" w:color="auto" w:fill="6F6652"/>
            <w:tcMar>
              <w:left w:w="57" w:type="dxa"/>
              <w:right w:w="57" w:type="dxa"/>
            </w:tcMar>
          </w:tcPr>
          <w:p w:rsidR="00612FD3" w:rsidRDefault="00E31EE8" w:rsidP="00301B6D">
            <w:pPr>
              <w:pStyle w:val="TableDataColumnHeading"/>
              <w:rPr>
                <w:lang w:val="en-GB"/>
              </w:rPr>
            </w:pPr>
            <w:r>
              <w:rPr>
                <w:lang w:val="en-GB"/>
              </w:rPr>
              <w:t>Climate Zone</w:t>
            </w:r>
            <w:r w:rsidR="00612FD3">
              <w:rPr>
                <w:lang w:val="en-GB"/>
              </w:rPr>
              <w:t xml:space="preserve"> 6</w:t>
            </w:r>
          </w:p>
        </w:tc>
        <w:tc>
          <w:tcPr>
            <w:tcW w:w="824" w:type="dxa"/>
            <w:shd w:val="clear" w:color="auto" w:fill="6F6652"/>
            <w:tcMar>
              <w:left w:w="57" w:type="dxa"/>
              <w:right w:w="57" w:type="dxa"/>
            </w:tcMar>
          </w:tcPr>
          <w:p w:rsidR="00612FD3" w:rsidRDefault="00E31EE8" w:rsidP="00301B6D">
            <w:pPr>
              <w:pStyle w:val="TableDataColumnHeading"/>
              <w:rPr>
                <w:lang w:val="en-GB"/>
              </w:rPr>
            </w:pPr>
            <w:r>
              <w:rPr>
                <w:lang w:val="en-GB"/>
              </w:rPr>
              <w:t>Climate Zone</w:t>
            </w:r>
            <w:r w:rsidR="00612FD3">
              <w:rPr>
                <w:lang w:val="en-GB"/>
              </w:rPr>
              <w:t xml:space="preserve"> 7</w:t>
            </w:r>
          </w:p>
        </w:tc>
      </w:tr>
      <w:tr w:rsidR="00612FD3" w:rsidTr="002B3C0A">
        <w:trPr>
          <w:trHeight w:val="230"/>
          <w:tblHeader/>
        </w:trPr>
        <w:tc>
          <w:tcPr>
            <w:tcW w:w="2172"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jc w:val="left"/>
              <w:rPr>
                <w:lang w:val="en-GB"/>
              </w:rPr>
            </w:pPr>
          </w:p>
        </w:tc>
        <w:tc>
          <w:tcPr>
            <w:tcW w:w="824"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BD7900">
              <w:rPr>
                <w:vertAlign w:val="superscript"/>
                <w:lang w:val="en-GB"/>
              </w:rPr>
              <w:t>2</w:t>
            </w:r>
          </w:p>
        </w:tc>
        <w:tc>
          <w:tcPr>
            <w:tcW w:w="824"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BD7900">
              <w:rPr>
                <w:vertAlign w:val="superscript"/>
                <w:lang w:val="en-GB"/>
              </w:rPr>
              <w:t>2</w:t>
            </w:r>
          </w:p>
        </w:tc>
        <w:tc>
          <w:tcPr>
            <w:tcW w:w="824"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BD7900">
              <w:rPr>
                <w:vertAlign w:val="superscript"/>
                <w:lang w:val="en-GB"/>
              </w:rPr>
              <w:t>2</w:t>
            </w:r>
          </w:p>
        </w:tc>
        <w:tc>
          <w:tcPr>
            <w:tcW w:w="824"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BD7900">
              <w:rPr>
                <w:vertAlign w:val="superscript"/>
                <w:lang w:val="en-GB"/>
              </w:rPr>
              <w:t>2</w:t>
            </w:r>
          </w:p>
        </w:tc>
        <w:tc>
          <w:tcPr>
            <w:tcW w:w="824"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BD7900">
              <w:rPr>
                <w:vertAlign w:val="superscript"/>
                <w:lang w:val="en-GB"/>
              </w:rPr>
              <w:t>2</w:t>
            </w:r>
          </w:p>
        </w:tc>
        <w:tc>
          <w:tcPr>
            <w:tcW w:w="824"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BD7900">
              <w:rPr>
                <w:vertAlign w:val="superscript"/>
                <w:lang w:val="en-GB"/>
              </w:rPr>
              <w:t>2</w:t>
            </w:r>
          </w:p>
        </w:tc>
        <w:tc>
          <w:tcPr>
            <w:tcW w:w="824"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BD7900">
              <w:rPr>
                <w:vertAlign w:val="superscript"/>
                <w:lang w:val="en-GB"/>
              </w:rPr>
              <w:t>2</w:t>
            </w:r>
          </w:p>
        </w:tc>
      </w:tr>
      <w:tr w:rsidR="007E7845" w:rsidTr="00A57430">
        <w:trPr>
          <w:trHeight w:val="230"/>
        </w:trPr>
        <w:tc>
          <w:tcPr>
            <w:tcW w:w="217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7E7845" w:rsidRDefault="007E7845" w:rsidP="007E7845">
            <w:pPr>
              <w:pStyle w:val="TableDataEntries"/>
              <w:jc w:val="left"/>
              <w:rPr>
                <w:lang w:val="en-GB"/>
              </w:rPr>
            </w:pPr>
            <w:r>
              <w:rPr>
                <w:lang w:val="en-GB"/>
              </w:rPr>
              <w:t>Hotel</w:t>
            </w:r>
          </w:p>
        </w:tc>
        <w:tc>
          <w:tcPr>
            <w:tcW w:w="8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7E7845" w:rsidRPr="007E7845" w:rsidRDefault="007E7845" w:rsidP="007E7845">
            <w:pPr>
              <w:pStyle w:val="TableDataEntries"/>
            </w:pPr>
            <w:r w:rsidRPr="007E7845">
              <w:t xml:space="preserve"> 10.26</w:t>
            </w:r>
          </w:p>
        </w:tc>
        <w:tc>
          <w:tcPr>
            <w:tcW w:w="8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7E7845" w:rsidRPr="007E7845" w:rsidRDefault="007E7845" w:rsidP="007E7845">
            <w:pPr>
              <w:pStyle w:val="TableDataEntries"/>
            </w:pPr>
            <w:r w:rsidRPr="007E7845">
              <w:t>- 1.77</w:t>
            </w:r>
          </w:p>
        </w:tc>
        <w:tc>
          <w:tcPr>
            <w:tcW w:w="8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7E7845" w:rsidRPr="007E7845" w:rsidRDefault="007E7845" w:rsidP="007E7845">
            <w:pPr>
              <w:pStyle w:val="TableDataEntries"/>
            </w:pPr>
            <w:r w:rsidRPr="007E7845">
              <w:t xml:space="preserve"> 0.97</w:t>
            </w:r>
          </w:p>
        </w:tc>
        <w:tc>
          <w:tcPr>
            <w:tcW w:w="8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7E7845" w:rsidRPr="007E7845" w:rsidRDefault="007E7845" w:rsidP="007E7845">
            <w:pPr>
              <w:pStyle w:val="TableDataEntries"/>
            </w:pPr>
            <w:r w:rsidRPr="007E7845">
              <w:t xml:space="preserve"> 1.10</w:t>
            </w:r>
          </w:p>
        </w:tc>
        <w:tc>
          <w:tcPr>
            <w:tcW w:w="8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7E7845" w:rsidRPr="007E7845" w:rsidRDefault="007E7845" w:rsidP="007E7845">
            <w:pPr>
              <w:pStyle w:val="TableDataEntries"/>
            </w:pPr>
            <w:r w:rsidRPr="007E7845">
              <w:t>- 4.98</w:t>
            </w:r>
          </w:p>
        </w:tc>
        <w:tc>
          <w:tcPr>
            <w:tcW w:w="8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7E7845" w:rsidRPr="007E7845" w:rsidRDefault="007E7845" w:rsidP="007E7845">
            <w:pPr>
              <w:pStyle w:val="TableDataEntries"/>
            </w:pPr>
            <w:r w:rsidRPr="007E7845">
              <w:t xml:space="preserve"> 0.77</w:t>
            </w:r>
          </w:p>
        </w:tc>
        <w:tc>
          <w:tcPr>
            <w:tcW w:w="8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7E7845" w:rsidRPr="007E7845" w:rsidRDefault="007E7845" w:rsidP="007E7845">
            <w:pPr>
              <w:pStyle w:val="TableDataEntries"/>
            </w:pPr>
            <w:r w:rsidRPr="007E7845">
              <w:t xml:space="preserve"> 12.65</w:t>
            </w:r>
          </w:p>
        </w:tc>
      </w:tr>
      <w:tr w:rsidR="007E7845" w:rsidTr="00A57430">
        <w:trPr>
          <w:trHeight w:val="230"/>
        </w:trPr>
        <w:tc>
          <w:tcPr>
            <w:tcW w:w="217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7E7845" w:rsidRDefault="007E7845" w:rsidP="007E7845">
            <w:pPr>
              <w:pStyle w:val="TableDataEntries"/>
              <w:jc w:val="left"/>
              <w:rPr>
                <w:lang w:val="en-GB"/>
              </w:rPr>
            </w:pPr>
            <w:r>
              <w:rPr>
                <w:lang w:val="en-GB"/>
              </w:rPr>
              <w:t>Office building (40% WWR)</w:t>
            </w:r>
          </w:p>
        </w:tc>
        <w:tc>
          <w:tcPr>
            <w:tcW w:w="8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7E7845" w:rsidRPr="007E7845" w:rsidRDefault="007E7845" w:rsidP="007E7845">
            <w:pPr>
              <w:pStyle w:val="TableDataEntries"/>
            </w:pPr>
            <w:r w:rsidRPr="007E7845">
              <w:t>- 9.71</w:t>
            </w:r>
          </w:p>
        </w:tc>
        <w:tc>
          <w:tcPr>
            <w:tcW w:w="8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7E7845" w:rsidRPr="007E7845" w:rsidRDefault="007E7845" w:rsidP="007E7845">
            <w:pPr>
              <w:pStyle w:val="TableDataEntries"/>
            </w:pPr>
            <w:r w:rsidRPr="007E7845">
              <w:t>- 2.61</w:t>
            </w:r>
          </w:p>
        </w:tc>
        <w:tc>
          <w:tcPr>
            <w:tcW w:w="8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7E7845" w:rsidRPr="007E7845" w:rsidRDefault="007E7845" w:rsidP="007E7845">
            <w:pPr>
              <w:pStyle w:val="TableDataEntries"/>
            </w:pPr>
            <w:r w:rsidRPr="007E7845">
              <w:t>- 12.43</w:t>
            </w:r>
          </w:p>
        </w:tc>
        <w:tc>
          <w:tcPr>
            <w:tcW w:w="8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7E7845" w:rsidRPr="007E7845" w:rsidRDefault="007E7845" w:rsidP="007E7845">
            <w:pPr>
              <w:pStyle w:val="TableDataEntries"/>
            </w:pPr>
            <w:r w:rsidRPr="007E7845">
              <w:t>- 7.12</w:t>
            </w:r>
          </w:p>
        </w:tc>
        <w:tc>
          <w:tcPr>
            <w:tcW w:w="8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7E7845" w:rsidRPr="007E7845" w:rsidRDefault="007E7845" w:rsidP="007E7845">
            <w:pPr>
              <w:pStyle w:val="TableDataEntries"/>
            </w:pPr>
            <w:r w:rsidRPr="007E7845">
              <w:t>- 11.05</w:t>
            </w:r>
          </w:p>
        </w:tc>
        <w:tc>
          <w:tcPr>
            <w:tcW w:w="8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7E7845" w:rsidRPr="007E7845" w:rsidRDefault="007E7845" w:rsidP="007E7845">
            <w:pPr>
              <w:pStyle w:val="TableDataEntries"/>
            </w:pPr>
            <w:r w:rsidRPr="007E7845">
              <w:t>- 5.29</w:t>
            </w:r>
          </w:p>
        </w:tc>
        <w:tc>
          <w:tcPr>
            <w:tcW w:w="8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7E7845" w:rsidRPr="007E7845" w:rsidRDefault="007E7845" w:rsidP="007E7845">
            <w:pPr>
              <w:pStyle w:val="TableDataEntries"/>
            </w:pPr>
            <w:r w:rsidRPr="007E7845">
              <w:t>- 1.72</w:t>
            </w:r>
          </w:p>
        </w:tc>
      </w:tr>
      <w:tr w:rsidR="007E7845" w:rsidTr="00A57430">
        <w:trPr>
          <w:trHeight w:val="230"/>
        </w:trPr>
        <w:tc>
          <w:tcPr>
            <w:tcW w:w="217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7E7845" w:rsidRDefault="007E7845" w:rsidP="007E7845">
            <w:pPr>
              <w:pStyle w:val="TableDataEntries"/>
              <w:jc w:val="left"/>
              <w:rPr>
                <w:lang w:val="en-GB"/>
              </w:rPr>
            </w:pPr>
            <w:r>
              <w:rPr>
                <w:lang w:val="en-GB"/>
              </w:rPr>
              <w:t>Office building (56% WWR)</w:t>
            </w:r>
          </w:p>
        </w:tc>
        <w:tc>
          <w:tcPr>
            <w:tcW w:w="8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7E7845" w:rsidRPr="007E7845" w:rsidRDefault="007E7845" w:rsidP="007E7845">
            <w:pPr>
              <w:pStyle w:val="TableDataEntries"/>
            </w:pPr>
            <w:r w:rsidRPr="007E7845">
              <w:t xml:space="preserve"> 12.33</w:t>
            </w:r>
          </w:p>
        </w:tc>
        <w:tc>
          <w:tcPr>
            <w:tcW w:w="8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7E7845" w:rsidRPr="007E7845" w:rsidRDefault="007E7845" w:rsidP="007E7845">
            <w:pPr>
              <w:pStyle w:val="TableDataEntries"/>
            </w:pPr>
            <w:r w:rsidRPr="007E7845">
              <w:t>- 5.23</w:t>
            </w:r>
          </w:p>
        </w:tc>
        <w:tc>
          <w:tcPr>
            <w:tcW w:w="8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7E7845" w:rsidRPr="007E7845" w:rsidRDefault="007E7845" w:rsidP="007E7845">
            <w:pPr>
              <w:pStyle w:val="TableDataEntries"/>
            </w:pPr>
            <w:r w:rsidRPr="007E7845">
              <w:t>- 58.11</w:t>
            </w:r>
          </w:p>
        </w:tc>
        <w:tc>
          <w:tcPr>
            <w:tcW w:w="8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7E7845" w:rsidRPr="007E7845" w:rsidRDefault="007E7845" w:rsidP="007E7845">
            <w:pPr>
              <w:pStyle w:val="TableDataEntries"/>
            </w:pPr>
            <w:r w:rsidRPr="007E7845">
              <w:t xml:space="preserve"> 4.55</w:t>
            </w:r>
          </w:p>
        </w:tc>
        <w:tc>
          <w:tcPr>
            <w:tcW w:w="8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7E7845" w:rsidRPr="007E7845" w:rsidRDefault="007E7845" w:rsidP="007E7845">
            <w:pPr>
              <w:pStyle w:val="TableDataEntries"/>
            </w:pPr>
            <w:r w:rsidRPr="007E7845">
              <w:t>- 10.69</w:t>
            </w:r>
          </w:p>
        </w:tc>
        <w:tc>
          <w:tcPr>
            <w:tcW w:w="8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7E7845" w:rsidRPr="007E7845" w:rsidRDefault="007E7845" w:rsidP="007E7845">
            <w:pPr>
              <w:pStyle w:val="TableDataEntries"/>
            </w:pPr>
            <w:r w:rsidRPr="007E7845">
              <w:t xml:space="preserve"> 22.15</w:t>
            </w:r>
          </w:p>
        </w:tc>
        <w:tc>
          <w:tcPr>
            <w:tcW w:w="8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7E7845" w:rsidRPr="007E7845" w:rsidRDefault="007E7845" w:rsidP="007E7845">
            <w:pPr>
              <w:pStyle w:val="TableDataEntries"/>
            </w:pPr>
            <w:r w:rsidRPr="007E7845">
              <w:t xml:space="preserve"> 12.30</w:t>
            </w:r>
          </w:p>
        </w:tc>
      </w:tr>
      <w:tr w:rsidR="007E7845" w:rsidTr="00A57430">
        <w:trPr>
          <w:trHeight w:val="230"/>
        </w:trPr>
        <w:tc>
          <w:tcPr>
            <w:tcW w:w="217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7E7845" w:rsidRDefault="007E7845" w:rsidP="007E7845">
            <w:pPr>
              <w:pStyle w:val="TableDataEntries"/>
              <w:jc w:val="left"/>
              <w:rPr>
                <w:lang w:val="en-GB"/>
              </w:rPr>
            </w:pPr>
            <w:r>
              <w:rPr>
                <w:lang w:val="en-GB"/>
              </w:rPr>
              <w:t>Retail</w:t>
            </w:r>
          </w:p>
        </w:tc>
        <w:tc>
          <w:tcPr>
            <w:tcW w:w="8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7E7845" w:rsidRPr="007E7845" w:rsidRDefault="007E7845" w:rsidP="007E7845">
            <w:pPr>
              <w:pStyle w:val="TableDataEntries"/>
            </w:pPr>
            <w:r w:rsidRPr="007E7845">
              <w:t>- 0.45</w:t>
            </w:r>
          </w:p>
        </w:tc>
        <w:tc>
          <w:tcPr>
            <w:tcW w:w="8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7E7845" w:rsidRPr="007E7845" w:rsidRDefault="007E7845" w:rsidP="007E7845">
            <w:pPr>
              <w:pStyle w:val="TableDataEntries"/>
            </w:pPr>
            <w:r w:rsidRPr="007E7845">
              <w:t>- 4.39</w:t>
            </w:r>
          </w:p>
        </w:tc>
        <w:tc>
          <w:tcPr>
            <w:tcW w:w="8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7E7845" w:rsidRPr="007E7845" w:rsidRDefault="007E7845" w:rsidP="007E7845">
            <w:pPr>
              <w:pStyle w:val="TableDataEntries"/>
            </w:pPr>
            <w:r w:rsidRPr="007E7845">
              <w:t>- 14.17</w:t>
            </w:r>
          </w:p>
        </w:tc>
        <w:tc>
          <w:tcPr>
            <w:tcW w:w="8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7E7845" w:rsidRPr="007E7845" w:rsidRDefault="007E7845" w:rsidP="007E7845">
            <w:pPr>
              <w:pStyle w:val="TableDataEntries"/>
            </w:pPr>
            <w:r w:rsidRPr="007E7845">
              <w:t>- 18.60</w:t>
            </w:r>
          </w:p>
        </w:tc>
        <w:tc>
          <w:tcPr>
            <w:tcW w:w="8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7E7845" w:rsidRPr="007E7845" w:rsidRDefault="007E7845" w:rsidP="007E7845">
            <w:pPr>
              <w:pStyle w:val="TableDataEntries"/>
            </w:pPr>
            <w:r w:rsidRPr="007E7845">
              <w:t>- 7.22</w:t>
            </w:r>
          </w:p>
        </w:tc>
        <w:tc>
          <w:tcPr>
            <w:tcW w:w="8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7E7845" w:rsidRPr="007E7845" w:rsidRDefault="007E7845" w:rsidP="007E7845">
            <w:pPr>
              <w:pStyle w:val="TableDataEntries"/>
            </w:pPr>
            <w:r w:rsidRPr="007E7845">
              <w:t>- 10.36</w:t>
            </w:r>
          </w:p>
        </w:tc>
        <w:tc>
          <w:tcPr>
            <w:tcW w:w="8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7E7845" w:rsidRPr="007E7845" w:rsidRDefault="007E7845" w:rsidP="007E7845">
            <w:pPr>
              <w:pStyle w:val="TableDataEntries"/>
            </w:pPr>
            <w:r w:rsidRPr="007E7845">
              <w:t>- 16.62</w:t>
            </w:r>
          </w:p>
        </w:tc>
      </w:tr>
      <w:tr w:rsidR="007E7845" w:rsidTr="00A57430">
        <w:trPr>
          <w:trHeight w:val="230"/>
        </w:trPr>
        <w:tc>
          <w:tcPr>
            <w:tcW w:w="217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7E7845" w:rsidRDefault="007257CE" w:rsidP="007E7845">
            <w:pPr>
              <w:pStyle w:val="TableDataEntries"/>
              <w:jc w:val="left"/>
              <w:rPr>
                <w:lang w:val="en-GB"/>
              </w:rPr>
            </w:pPr>
            <w:r>
              <w:rPr>
                <w:lang w:val="en-GB"/>
              </w:rPr>
              <w:t xml:space="preserve">Health </w:t>
            </w:r>
            <w:r w:rsidR="007E7845">
              <w:rPr>
                <w:lang w:val="en-GB"/>
              </w:rPr>
              <w:t>care facility</w:t>
            </w:r>
          </w:p>
        </w:tc>
        <w:tc>
          <w:tcPr>
            <w:tcW w:w="8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7E7845" w:rsidRPr="007E7845" w:rsidRDefault="007E7845" w:rsidP="007E7845">
            <w:pPr>
              <w:pStyle w:val="TableDataEntries"/>
            </w:pPr>
            <w:r w:rsidRPr="007E7845">
              <w:t>- 14.62</w:t>
            </w:r>
          </w:p>
        </w:tc>
        <w:tc>
          <w:tcPr>
            <w:tcW w:w="8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7E7845" w:rsidRPr="007E7845" w:rsidRDefault="007E7845" w:rsidP="007E7845">
            <w:pPr>
              <w:pStyle w:val="TableDataEntries"/>
            </w:pPr>
            <w:r w:rsidRPr="007E7845">
              <w:t>- 9.62</w:t>
            </w:r>
          </w:p>
        </w:tc>
        <w:tc>
          <w:tcPr>
            <w:tcW w:w="8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7E7845" w:rsidRPr="007E7845" w:rsidRDefault="007E7845" w:rsidP="007E7845">
            <w:pPr>
              <w:pStyle w:val="TableDataEntries"/>
            </w:pPr>
            <w:r w:rsidRPr="007E7845">
              <w:t>- 15.98</w:t>
            </w:r>
          </w:p>
        </w:tc>
        <w:tc>
          <w:tcPr>
            <w:tcW w:w="8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7E7845" w:rsidRPr="007E7845" w:rsidRDefault="007E7845" w:rsidP="007E7845">
            <w:pPr>
              <w:pStyle w:val="TableDataEntries"/>
            </w:pPr>
            <w:r w:rsidRPr="007E7845">
              <w:t>- 17.49</w:t>
            </w:r>
          </w:p>
        </w:tc>
        <w:tc>
          <w:tcPr>
            <w:tcW w:w="8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7E7845" w:rsidRPr="007E7845" w:rsidRDefault="007E7845" w:rsidP="007E7845">
            <w:pPr>
              <w:pStyle w:val="TableDataEntries"/>
            </w:pPr>
            <w:r w:rsidRPr="007E7845">
              <w:t>- 16.23</w:t>
            </w:r>
          </w:p>
        </w:tc>
        <w:tc>
          <w:tcPr>
            <w:tcW w:w="8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7E7845" w:rsidRPr="007E7845" w:rsidRDefault="007E7845" w:rsidP="007E7845">
            <w:pPr>
              <w:pStyle w:val="TableDataEntries"/>
            </w:pPr>
            <w:r w:rsidRPr="007E7845">
              <w:t>- 26.49</w:t>
            </w:r>
          </w:p>
        </w:tc>
        <w:tc>
          <w:tcPr>
            <w:tcW w:w="8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7E7845" w:rsidRPr="007E7845" w:rsidRDefault="007E7845" w:rsidP="007E7845">
            <w:pPr>
              <w:pStyle w:val="TableDataEntries"/>
            </w:pPr>
            <w:r w:rsidRPr="007E7845">
              <w:t>- 28.34</w:t>
            </w:r>
          </w:p>
        </w:tc>
      </w:tr>
      <w:tr w:rsidR="007E7845" w:rsidTr="00A57430">
        <w:trPr>
          <w:trHeight w:val="230"/>
        </w:trPr>
        <w:tc>
          <w:tcPr>
            <w:tcW w:w="2172" w:type="dxa"/>
            <w:tcBorders>
              <w:top w:val="single" w:sz="8" w:space="0" w:color="FFFFFF" w:themeColor="background1"/>
              <w:bottom w:val="single" w:sz="6" w:space="0" w:color="6F6652"/>
            </w:tcBorders>
            <w:shd w:val="clear" w:color="auto" w:fill="E9E8E5" w:themeFill="background2"/>
            <w:tcMar>
              <w:left w:w="57" w:type="dxa"/>
              <w:right w:w="57" w:type="dxa"/>
            </w:tcMar>
          </w:tcPr>
          <w:p w:rsidR="007E7845" w:rsidRDefault="007E7845" w:rsidP="007E7845">
            <w:pPr>
              <w:pStyle w:val="TableDataEntries"/>
              <w:jc w:val="left"/>
              <w:rPr>
                <w:lang w:val="en-GB"/>
              </w:rPr>
            </w:pPr>
            <w:r>
              <w:rPr>
                <w:lang w:val="en-GB"/>
              </w:rPr>
              <w:t>School</w:t>
            </w:r>
          </w:p>
        </w:tc>
        <w:tc>
          <w:tcPr>
            <w:tcW w:w="824"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rsidR="007E7845" w:rsidRPr="007E7845" w:rsidRDefault="007E7845" w:rsidP="007E7845">
            <w:pPr>
              <w:pStyle w:val="TableDataEntries"/>
            </w:pPr>
            <w:r w:rsidRPr="007E7845">
              <w:t>- 5.61</w:t>
            </w:r>
          </w:p>
        </w:tc>
        <w:tc>
          <w:tcPr>
            <w:tcW w:w="824"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rsidR="007E7845" w:rsidRPr="007E7845" w:rsidRDefault="007E7845" w:rsidP="007E7845">
            <w:pPr>
              <w:pStyle w:val="TableDataEntries"/>
            </w:pPr>
            <w:r w:rsidRPr="007E7845">
              <w:t>- 19.48</w:t>
            </w:r>
          </w:p>
        </w:tc>
        <w:tc>
          <w:tcPr>
            <w:tcW w:w="824"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rsidR="007E7845" w:rsidRPr="007E7845" w:rsidRDefault="007E7845" w:rsidP="007E7845">
            <w:pPr>
              <w:pStyle w:val="TableDataEntries"/>
            </w:pPr>
            <w:r w:rsidRPr="007E7845">
              <w:t>- 12.16</w:t>
            </w:r>
          </w:p>
        </w:tc>
        <w:tc>
          <w:tcPr>
            <w:tcW w:w="824"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rsidR="007E7845" w:rsidRPr="007E7845" w:rsidRDefault="007E7845" w:rsidP="007E7845">
            <w:pPr>
              <w:pStyle w:val="TableDataEntries"/>
            </w:pPr>
            <w:r w:rsidRPr="007E7845">
              <w:t>- 17.65</w:t>
            </w:r>
          </w:p>
        </w:tc>
        <w:tc>
          <w:tcPr>
            <w:tcW w:w="824"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rsidR="007E7845" w:rsidRPr="007E7845" w:rsidRDefault="007E7845" w:rsidP="007E7845">
            <w:pPr>
              <w:pStyle w:val="TableDataEntries"/>
            </w:pPr>
            <w:r w:rsidRPr="007E7845">
              <w:t>- 18.10</w:t>
            </w:r>
          </w:p>
        </w:tc>
        <w:tc>
          <w:tcPr>
            <w:tcW w:w="824"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rsidR="007E7845" w:rsidRPr="007E7845" w:rsidRDefault="007E7845" w:rsidP="007E7845">
            <w:pPr>
              <w:pStyle w:val="TableDataEntries"/>
            </w:pPr>
            <w:r w:rsidRPr="007E7845">
              <w:t>- 7.71</w:t>
            </w:r>
          </w:p>
        </w:tc>
        <w:tc>
          <w:tcPr>
            <w:tcW w:w="824"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rsidR="007E7845" w:rsidRPr="007E7845" w:rsidRDefault="007E7845" w:rsidP="007E7845">
            <w:pPr>
              <w:pStyle w:val="TableDataEntries"/>
            </w:pPr>
            <w:r w:rsidRPr="007E7845">
              <w:t>- 8.72</w:t>
            </w:r>
          </w:p>
        </w:tc>
      </w:tr>
    </w:tbl>
    <w:p w:rsidR="00612FD3" w:rsidRDefault="00612FD3" w:rsidP="00612FD3">
      <w:pPr>
        <w:pStyle w:val="Note"/>
        <w:rPr>
          <w:lang w:bidi="fa-IR"/>
        </w:rPr>
      </w:pPr>
      <w:r w:rsidRPr="007D1B4F">
        <w:rPr>
          <w:i/>
        </w:rPr>
        <w:t>Note:</w:t>
      </w:r>
      <w:r w:rsidRPr="00E879B8">
        <w:t xml:space="preserve"> </w:t>
      </w:r>
      <w:r>
        <w:t>A negative value indicates that costs have increased.</w:t>
      </w:r>
    </w:p>
    <w:p w:rsidR="00612FD3" w:rsidRDefault="00612FD3" w:rsidP="00612FD3">
      <w:pPr>
        <w:pStyle w:val="Source"/>
        <w:rPr>
          <w:lang w:bidi="fa-IR"/>
        </w:rPr>
      </w:pPr>
      <w:r w:rsidRPr="00BD7900">
        <w:rPr>
          <w:i/>
          <w:lang w:bidi="fa-IR"/>
        </w:rPr>
        <w:t>Source:</w:t>
      </w:r>
      <w:r>
        <w:rPr>
          <w:lang w:bidi="fa-IR"/>
        </w:rPr>
        <w:t xml:space="preserve"> </w:t>
      </w:r>
      <w:r w:rsidR="003F28DD">
        <w:rPr>
          <w:lang w:bidi="fa-IR"/>
        </w:rPr>
        <w:t>EA</w:t>
      </w:r>
      <w:r>
        <w:rPr>
          <w:lang w:bidi="fa-IR"/>
        </w:rPr>
        <w:t xml:space="preserve"> modelling.</w:t>
      </w:r>
    </w:p>
    <w:p w:rsidR="00612FD3" w:rsidRDefault="00164C8C" w:rsidP="00612FD3">
      <w:pPr>
        <w:pStyle w:val="BodyText"/>
        <w:rPr>
          <w:lang w:eastAsia="en-US"/>
        </w:rPr>
      </w:pPr>
      <w:r>
        <w:rPr>
          <w:lang w:eastAsia="en-US"/>
        </w:rPr>
        <w:t>As shown in the table, in most cases there is a small increase in construction costs as a result of the proposed changes.</w:t>
      </w:r>
    </w:p>
    <w:p w:rsidR="00612FD3" w:rsidRDefault="00612FD3" w:rsidP="00592C11">
      <w:pPr>
        <w:pStyle w:val="Heading3"/>
        <w:rPr>
          <w:lang w:eastAsia="en-US"/>
        </w:rPr>
      </w:pPr>
      <w:r>
        <w:rPr>
          <w:lang w:eastAsia="en-US"/>
        </w:rPr>
        <w:t>Hotel (3A)</w:t>
      </w:r>
    </w:p>
    <w:p w:rsidR="00612FD3" w:rsidRDefault="003F28DD" w:rsidP="00612FD3">
      <w:pPr>
        <w:pStyle w:val="BodyText"/>
        <w:rPr>
          <w:lang w:eastAsia="en-US"/>
        </w:rPr>
      </w:pPr>
      <w:r>
        <w:rPr>
          <w:lang w:eastAsia="en-US"/>
        </w:rPr>
        <w:t>EA</w:t>
      </w:r>
      <w:r w:rsidR="00612FD3">
        <w:rPr>
          <w:lang w:eastAsia="en-US"/>
        </w:rPr>
        <w:t xml:space="preserve">’s modelling suggests that cost changes vary significantly across </w:t>
      </w:r>
      <w:r w:rsidR="00E31EE8">
        <w:rPr>
          <w:lang w:eastAsia="en-US"/>
        </w:rPr>
        <w:t>Climate Zone</w:t>
      </w:r>
      <w:r w:rsidR="00612FD3">
        <w:rPr>
          <w:lang w:eastAsia="en-US"/>
        </w:rPr>
        <w:t>s (table </w:t>
      </w:r>
      <w:r w:rsidR="00C07C84">
        <w:rPr>
          <w:lang w:eastAsia="en-US"/>
        </w:rPr>
        <w:fldChar w:fldCharType="begin"/>
      </w:r>
      <w:r w:rsidR="00C07C84">
        <w:rPr>
          <w:lang w:eastAsia="en-US"/>
        </w:rPr>
        <w:instrText xml:space="preserve"> REF _Caption4932 </w:instrText>
      </w:r>
      <w:r w:rsidR="00C07C84">
        <w:rPr>
          <w:lang w:eastAsia="en-US"/>
        </w:rPr>
        <w:fldChar w:fldCharType="separate"/>
      </w:r>
      <w:r w:rsidR="006B79B8">
        <w:rPr>
          <w:noProof/>
        </w:rPr>
        <w:t>5</w:t>
      </w:r>
      <w:r w:rsidR="006B79B8" w:rsidRPr="000135FA">
        <w:rPr>
          <w:noProof/>
        </w:rPr>
        <w:t>.</w:t>
      </w:r>
      <w:r w:rsidR="006B79B8">
        <w:rPr>
          <w:noProof/>
        </w:rPr>
        <w:t>2</w:t>
      </w:r>
      <w:r w:rsidR="00C07C84">
        <w:rPr>
          <w:lang w:eastAsia="en-US"/>
        </w:rPr>
        <w:fldChar w:fldCharType="end"/>
      </w:r>
      <w:r w:rsidR="00612FD3">
        <w:rPr>
          <w:lang w:eastAsia="en-US"/>
        </w:rPr>
        <w:t>).</w:t>
      </w:r>
    </w:p>
    <w:p w:rsidR="00612FD3" w:rsidRDefault="00612FD3" w:rsidP="00612FD3">
      <w:pPr>
        <w:pStyle w:val="ListBullet"/>
        <w:numPr>
          <w:ilvl w:val="0"/>
          <w:numId w:val="36"/>
        </w:numPr>
        <w:rPr>
          <w:lang w:eastAsia="en-US"/>
        </w:rPr>
      </w:pPr>
      <w:r>
        <w:rPr>
          <w:lang w:eastAsia="en-US"/>
        </w:rPr>
        <w:t xml:space="preserve">Cost changes are relatively modest in </w:t>
      </w:r>
      <w:r w:rsidR="00E31EE8">
        <w:rPr>
          <w:lang w:eastAsia="en-US"/>
        </w:rPr>
        <w:t>Climate Zone</w:t>
      </w:r>
      <w:r>
        <w:rPr>
          <w:lang w:eastAsia="en-US"/>
        </w:rPr>
        <w:t>s 2</w:t>
      </w:r>
      <w:r>
        <w:rPr>
          <w:lang w:eastAsia="en-US"/>
        </w:rPr>
        <w:noBreakHyphen/>
        <w:t>6.</w:t>
      </w:r>
    </w:p>
    <w:p w:rsidR="00612FD3" w:rsidRDefault="00612FD3" w:rsidP="00612FD3">
      <w:pPr>
        <w:pStyle w:val="ListBullet2"/>
        <w:numPr>
          <w:ilvl w:val="1"/>
          <w:numId w:val="36"/>
        </w:numPr>
        <w:rPr>
          <w:lang w:eastAsia="en-US"/>
        </w:rPr>
      </w:pPr>
      <w:r>
        <w:rPr>
          <w:lang w:eastAsia="en-US"/>
        </w:rPr>
        <w:t xml:space="preserve">In </w:t>
      </w:r>
      <w:r w:rsidR="00E31EE8">
        <w:rPr>
          <w:lang w:eastAsia="en-US"/>
        </w:rPr>
        <w:t>Climate Zone</w:t>
      </w:r>
      <w:r>
        <w:rPr>
          <w:lang w:eastAsia="en-US"/>
        </w:rPr>
        <w:t xml:space="preserve"> 2, the revised code requires the use of more expensive (and higher performance) glazing on all facades (the revised code requires the use of low performance double glazing, while single glazing is permitted under the existing code). However, this cost increase is offset by savings on wall insulation costs and some services as lower capacity is needed due to the more efficient facade.</w:t>
      </w:r>
    </w:p>
    <w:p w:rsidR="00612FD3" w:rsidRDefault="00612FD3" w:rsidP="00612FD3">
      <w:pPr>
        <w:pStyle w:val="ListBullet2"/>
        <w:numPr>
          <w:ilvl w:val="1"/>
          <w:numId w:val="36"/>
        </w:numPr>
        <w:rPr>
          <w:lang w:eastAsia="en-US"/>
        </w:rPr>
      </w:pPr>
      <w:r>
        <w:rPr>
          <w:lang w:eastAsia="en-US"/>
        </w:rPr>
        <w:t xml:space="preserve">In </w:t>
      </w:r>
      <w:r w:rsidR="00E31EE8">
        <w:rPr>
          <w:lang w:eastAsia="en-US"/>
        </w:rPr>
        <w:t>Climate Zone</w:t>
      </w:r>
      <w:r>
        <w:rPr>
          <w:lang w:eastAsia="en-US"/>
        </w:rPr>
        <w:t>s 3</w:t>
      </w:r>
      <w:r>
        <w:rPr>
          <w:lang w:eastAsia="en-US"/>
        </w:rPr>
        <w:noBreakHyphen/>
        <w:t>6, the revised code would require the use of higher performance glazing on the south façade only. This cost increase is largely offset by savings on wall insulation and changes in service costs.</w:t>
      </w:r>
    </w:p>
    <w:p w:rsidR="00612FD3" w:rsidRDefault="00612FD3" w:rsidP="00612FD3">
      <w:pPr>
        <w:pStyle w:val="ListBullet"/>
        <w:numPr>
          <w:ilvl w:val="0"/>
          <w:numId w:val="36"/>
        </w:numPr>
        <w:rPr>
          <w:lang w:eastAsia="en-US"/>
        </w:rPr>
      </w:pPr>
      <w:r>
        <w:rPr>
          <w:lang w:eastAsia="en-US"/>
        </w:rPr>
        <w:t xml:space="preserve">In </w:t>
      </w:r>
      <w:r w:rsidR="00E31EE8">
        <w:rPr>
          <w:lang w:eastAsia="en-US"/>
        </w:rPr>
        <w:t>Climate Zone</w:t>
      </w:r>
      <w:r>
        <w:rPr>
          <w:lang w:eastAsia="en-US"/>
        </w:rPr>
        <w:t xml:space="preserve">s 1 and 7, the cost of complying with the revised code is estimated to be significantly lower than the existing code. This is largely because the revised code permits the use of cheaper glazing on some facades. </w:t>
      </w:r>
      <w:r w:rsidR="00EE351B">
        <w:rPr>
          <w:lang w:eastAsia="en-US"/>
        </w:rPr>
        <w:t>This is only partly offset by cost increases for services.</w:t>
      </w:r>
    </w:p>
    <w:p w:rsidR="00612FD3" w:rsidRDefault="00612FD3" w:rsidP="00612FD3">
      <w:pPr>
        <w:pStyle w:val="Caption"/>
      </w:pPr>
      <w:r w:rsidRPr="000135FA">
        <w:fldChar w:fldCharType="begin"/>
      </w:r>
      <w:r w:rsidRPr="000135FA">
        <w:instrText xml:space="preserve"> IF 1 = 1 "</w:instrText>
      </w:r>
      <w:r w:rsidRPr="000135FA">
        <w:fldChar w:fldCharType="begin"/>
      </w:r>
      <w:r w:rsidRPr="000135FA">
        <w:instrText xml:space="preserve"> IF </w:instrText>
      </w:r>
      <w:r w:rsidRPr="000135FA">
        <w:rPr>
          <w:noProof/>
        </w:rPr>
        <w:fldChar w:fldCharType="begin"/>
      </w:r>
      <w:r w:rsidRPr="000135FA">
        <w:rPr>
          <w:noProof/>
        </w:rPr>
        <w:instrText xml:space="preserve"> STYLEREF "Heading 6" \l \n </w:instrText>
      </w:r>
      <w:r w:rsidRPr="000135FA">
        <w:rPr>
          <w:noProof/>
        </w:rPr>
        <w:fldChar w:fldCharType="separate"/>
      </w:r>
      <w:r w:rsidR="00B833F1">
        <w:rPr>
          <w:noProof/>
        </w:rPr>
        <w:instrText>0</w:instrText>
      </w:r>
      <w:r w:rsidRPr="000135FA">
        <w:rPr>
          <w:noProof/>
        </w:rPr>
        <w:fldChar w:fldCharType="end"/>
      </w:r>
      <w:r w:rsidRPr="000135FA">
        <w:instrText xml:space="preserve"> = 0 "</w:instrText>
      </w:r>
      <w:r w:rsidRPr="000135FA">
        <w:fldChar w:fldCharType="begin"/>
      </w:r>
      <w:r w:rsidRPr="000135FA">
        <w:instrText xml:space="preserve"> IF </w:instrText>
      </w:r>
      <w:r w:rsidRPr="000135FA">
        <w:rPr>
          <w:noProof/>
        </w:rPr>
        <w:fldChar w:fldCharType="begin"/>
      </w:r>
      <w:r w:rsidRPr="000135FA">
        <w:rPr>
          <w:noProof/>
        </w:rPr>
        <w:instrText xml:space="preserve"> STYLEREF "Heading 1" \l \n </w:instrText>
      </w:r>
      <w:r w:rsidRPr="000135FA">
        <w:rPr>
          <w:noProof/>
        </w:rPr>
        <w:fldChar w:fldCharType="separate"/>
      </w:r>
      <w:r w:rsidR="00B833F1">
        <w:rPr>
          <w:noProof/>
        </w:rPr>
        <w:instrText>5</w:instrText>
      </w:r>
      <w:r w:rsidRPr="000135FA">
        <w:rPr>
          <w:noProof/>
        </w:rPr>
        <w:fldChar w:fldCharType="end"/>
      </w:r>
      <w:r w:rsidRPr="000135FA">
        <w:instrText xml:space="preserve"> = 0 "" "</w:instrText>
      </w:r>
      <w:r w:rsidRPr="000135FA">
        <w:rPr>
          <w:noProof/>
        </w:rPr>
        <w:fldChar w:fldCharType="begin"/>
      </w:r>
      <w:r w:rsidRPr="000135FA">
        <w:rPr>
          <w:noProof/>
        </w:rPr>
        <w:instrText xml:space="preserve"> STYLEREF "Heading 1" \l \n </w:instrText>
      </w:r>
      <w:r w:rsidRPr="000135FA">
        <w:rPr>
          <w:noProof/>
        </w:rPr>
        <w:fldChar w:fldCharType="separate"/>
      </w:r>
      <w:r w:rsidR="00B833F1">
        <w:rPr>
          <w:noProof/>
        </w:rPr>
        <w:instrText>5</w:instrText>
      </w:r>
      <w:r w:rsidRPr="000135FA">
        <w:rPr>
          <w:noProof/>
        </w:rPr>
        <w:fldChar w:fldCharType="end"/>
      </w:r>
      <w:r w:rsidRPr="000135FA">
        <w:instrText xml:space="preserve">." </w:instrText>
      </w:r>
      <w:r w:rsidRPr="000135FA">
        <w:fldChar w:fldCharType="separate"/>
      </w:r>
      <w:r w:rsidR="00B833F1">
        <w:rPr>
          <w:noProof/>
        </w:rPr>
        <w:instrText>5</w:instrText>
      </w:r>
      <w:r w:rsidR="00B833F1" w:rsidRPr="000135FA">
        <w:rPr>
          <w:noProof/>
        </w:rPr>
        <w:instrText>.</w:instrText>
      </w:r>
      <w:r w:rsidRPr="000135FA">
        <w:fldChar w:fldCharType="end"/>
      </w:r>
      <w:r w:rsidRPr="000135FA">
        <w:instrText>" "</w:instrText>
      </w:r>
      <w:r w:rsidR="001F6F43">
        <w:fldChar w:fldCharType="begin"/>
      </w:r>
      <w:r w:rsidR="001F6F43">
        <w:instrText xml:space="preserve"> STYLEREF "Heading 6" \l \n </w:instrText>
      </w:r>
      <w:r w:rsidR="001F6F43">
        <w:fldChar w:fldCharType="separate"/>
      </w:r>
      <w:r w:rsidRPr="000135FA">
        <w:instrText>B</w:instrText>
      </w:r>
      <w:r w:rsidR="001F6F43">
        <w:fldChar w:fldCharType="end"/>
      </w:r>
      <w:r w:rsidRPr="000135FA">
        <w:instrText xml:space="preserve">." </w:instrText>
      </w:r>
      <w:r w:rsidRPr="000135FA">
        <w:fldChar w:fldCharType="separate"/>
      </w:r>
      <w:r w:rsidR="00EA42ED">
        <w:rPr>
          <w:noProof/>
        </w:rPr>
        <w:instrText>5</w:instrText>
      </w:r>
      <w:r w:rsidR="00EA42ED" w:rsidRPr="000135FA">
        <w:rPr>
          <w:noProof/>
        </w:rPr>
        <w:instrText>.</w:instrText>
      </w:r>
      <w:r w:rsidRPr="000135FA">
        <w:fldChar w:fldCharType="end"/>
      </w:r>
      <w:r w:rsidRPr="000135FA">
        <w:fldChar w:fldCharType="begin"/>
      </w:r>
      <w:r w:rsidRPr="000135FA">
        <w:instrText xml:space="preserve"> SEQ Item \* ARABIC \s </w:instrText>
      </w:r>
      <w:r w:rsidRPr="000135FA">
        <w:fldChar w:fldCharType="begin"/>
      </w:r>
      <w:r w:rsidRPr="000135FA">
        <w:instrText xml:space="preserve"> IF </w:instrText>
      </w:r>
      <w:r w:rsidRPr="000135FA">
        <w:rPr>
          <w:noProof/>
        </w:rPr>
        <w:fldChar w:fldCharType="begin"/>
      </w:r>
      <w:r w:rsidRPr="000135FA">
        <w:rPr>
          <w:noProof/>
        </w:rPr>
        <w:instrText xml:space="preserve"> STYLEREF "Heading 6" \l \n </w:instrText>
      </w:r>
      <w:r w:rsidRPr="000135FA">
        <w:rPr>
          <w:noProof/>
        </w:rPr>
        <w:fldChar w:fldCharType="separate"/>
      </w:r>
      <w:r w:rsidR="00B833F1">
        <w:rPr>
          <w:noProof/>
        </w:rPr>
        <w:instrText>0</w:instrText>
      </w:r>
      <w:r w:rsidRPr="000135FA">
        <w:rPr>
          <w:noProof/>
        </w:rPr>
        <w:fldChar w:fldCharType="end"/>
      </w:r>
      <w:r w:rsidRPr="000135FA">
        <w:instrText xml:space="preserve"> = 0 "</w:instrText>
      </w:r>
      <w:r w:rsidRPr="000135FA">
        <w:fldChar w:fldCharType="begin"/>
      </w:r>
      <w:r w:rsidRPr="000135FA">
        <w:instrText xml:space="preserve"> IF </w:instrText>
      </w:r>
      <w:r w:rsidRPr="000135FA">
        <w:rPr>
          <w:noProof/>
        </w:rPr>
        <w:fldChar w:fldCharType="begin"/>
      </w:r>
      <w:r w:rsidRPr="000135FA">
        <w:rPr>
          <w:noProof/>
        </w:rPr>
        <w:instrText xml:space="preserve"> STYLEREF "Heading 1" \l \n </w:instrText>
      </w:r>
      <w:r w:rsidRPr="000135FA">
        <w:rPr>
          <w:noProof/>
        </w:rPr>
        <w:fldChar w:fldCharType="separate"/>
      </w:r>
      <w:r w:rsidR="00B833F1">
        <w:rPr>
          <w:noProof/>
        </w:rPr>
        <w:instrText>5</w:instrText>
      </w:r>
      <w:r w:rsidRPr="000135FA">
        <w:rPr>
          <w:noProof/>
        </w:rPr>
        <w:fldChar w:fldCharType="end"/>
      </w:r>
      <w:r w:rsidRPr="000135FA">
        <w:instrText xml:space="preserve"> = 0 "" "1" </w:instrText>
      </w:r>
      <w:r w:rsidRPr="000135FA">
        <w:fldChar w:fldCharType="separate"/>
      </w:r>
      <w:r w:rsidR="00EA42ED" w:rsidRPr="000135FA">
        <w:rPr>
          <w:noProof/>
        </w:rPr>
        <w:instrText>1</w:instrText>
      </w:r>
      <w:r w:rsidRPr="000135FA">
        <w:fldChar w:fldCharType="end"/>
      </w:r>
      <w:r w:rsidRPr="000135FA">
        <w:instrText xml:space="preserve">" "6" </w:instrText>
      </w:r>
      <w:r w:rsidRPr="000135FA">
        <w:fldChar w:fldCharType="separate"/>
      </w:r>
      <w:r w:rsidR="00EA42ED" w:rsidRPr="000135FA">
        <w:rPr>
          <w:noProof/>
        </w:rPr>
        <w:instrText>1</w:instrText>
      </w:r>
      <w:r w:rsidRPr="000135FA">
        <w:fldChar w:fldCharType="end"/>
      </w:r>
      <w:r w:rsidRPr="000135FA">
        <w:instrText xml:space="preserve"> </w:instrText>
      </w:r>
      <w:r w:rsidRPr="000135FA">
        <w:fldChar w:fldCharType="separate"/>
      </w:r>
      <w:r w:rsidR="00B833F1">
        <w:rPr>
          <w:noProof/>
        </w:rPr>
        <w:instrText>2</w:instrText>
      </w:r>
      <w:r w:rsidRPr="000135FA">
        <w:fldChar w:fldCharType="end"/>
      </w:r>
      <w:r w:rsidRPr="000135FA">
        <w:instrText xml:space="preserve">" "" </w:instrText>
      </w:r>
      <w:r w:rsidRPr="000135FA">
        <w:fldChar w:fldCharType="separate"/>
      </w:r>
      <w:bookmarkStart w:id="1529" w:name="_Caption0137"/>
      <w:bookmarkStart w:id="1530" w:name="_Caption4605"/>
      <w:bookmarkStart w:id="1531" w:name="_Caption0325"/>
      <w:bookmarkStart w:id="1532" w:name="_Caption3962"/>
      <w:bookmarkStart w:id="1533" w:name="_Caption8794"/>
      <w:bookmarkStart w:id="1534" w:name="_Caption0722"/>
      <w:bookmarkStart w:id="1535" w:name="_Caption9600"/>
      <w:bookmarkStart w:id="1536" w:name="_Caption0637"/>
      <w:bookmarkStart w:id="1537" w:name="_Caption1538"/>
      <w:bookmarkStart w:id="1538" w:name="_Caption4562"/>
      <w:bookmarkStart w:id="1539" w:name="_Caption1303"/>
      <w:bookmarkStart w:id="1540" w:name="_Caption1133"/>
      <w:bookmarkStart w:id="1541" w:name="_Caption2603"/>
      <w:bookmarkStart w:id="1542" w:name="_Caption9308"/>
      <w:bookmarkStart w:id="1543" w:name="_Caption9154"/>
      <w:bookmarkStart w:id="1544" w:name="_Caption4722"/>
      <w:bookmarkStart w:id="1545" w:name="_Caption3391"/>
      <w:bookmarkStart w:id="1546" w:name="_Caption7964"/>
      <w:bookmarkStart w:id="1547" w:name="_Caption4059"/>
      <w:bookmarkStart w:id="1548" w:name="_Caption3795"/>
      <w:bookmarkStart w:id="1549" w:name="_Caption7766"/>
      <w:bookmarkStart w:id="1550" w:name="_Caption9643"/>
      <w:bookmarkStart w:id="1551" w:name="_Caption5032"/>
      <w:bookmarkStart w:id="1552" w:name="_Caption8496"/>
      <w:bookmarkStart w:id="1553" w:name="_Caption7271"/>
      <w:bookmarkStart w:id="1554" w:name="_Caption4828"/>
      <w:bookmarkStart w:id="1555" w:name="_Caption2610"/>
      <w:bookmarkStart w:id="1556" w:name="_Caption7551"/>
      <w:bookmarkStart w:id="1557" w:name="_Caption1696"/>
      <w:bookmarkStart w:id="1558" w:name="_Caption0114"/>
      <w:bookmarkStart w:id="1559" w:name="_Caption4932"/>
      <w:bookmarkStart w:id="1560" w:name="_Caption5161"/>
      <w:bookmarkStart w:id="1561" w:name="_Caption0303"/>
      <w:bookmarkStart w:id="1562" w:name="_Caption8930"/>
      <w:bookmarkStart w:id="1563" w:name="_Caption4967"/>
      <w:bookmarkStart w:id="1564" w:name="_Caption9630"/>
      <w:bookmarkStart w:id="1565" w:name="_Caption3794"/>
      <w:bookmarkStart w:id="1566" w:name="_Caption0815"/>
      <w:bookmarkStart w:id="1567" w:name="_Caption4135"/>
      <w:bookmarkStart w:id="1568" w:name="_Caption3327"/>
      <w:bookmarkStart w:id="1569" w:name="_Caption4341"/>
      <w:bookmarkStart w:id="1570" w:name="_Caption3349"/>
      <w:bookmarkStart w:id="1571" w:name="_Caption2138"/>
      <w:bookmarkStart w:id="1572" w:name="_Caption4886"/>
      <w:bookmarkStart w:id="1573" w:name="_Caption9783"/>
      <w:bookmarkStart w:id="1574" w:name="_Caption4922"/>
      <w:bookmarkStart w:id="1575" w:name="_Caption3095"/>
      <w:bookmarkStart w:id="1576" w:name="_Caption5874"/>
      <w:bookmarkStart w:id="1577" w:name="_Caption5117"/>
      <w:bookmarkStart w:id="1578" w:name="_Caption9952"/>
      <w:bookmarkStart w:id="1579" w:name="_Caption8143"/>
      <w:bookmarkStart w:id="1580" w:name="_Caption0886"/>
      <w:bookmarkStart w:id="1581" w:name="_Caption7815"/>
      <w:bookmarkStart w:id="1582" w:name="_Caption1957"/>
      <w:bookmarkStart w:id="1583" w:name="_Caption2525"/>
      <w:bookmarkStart w:id="1584" w:name="_Caption8943"/>
      <w:bookmarkStart w:id="1585" w:name="_Caption7171"/>
      <w:bookmarkStart w:id="1586" w:name="_Caption1390"/>
      <w:bookmarkStart w:id="1587" w:name="_Caption3677"/>
      <w:bookmarkStart w:id="1588" w:name="_Caption4937"/>
      <w:bookmarkStart w:id="1589" w:name="_Caption7570"/>
      <w:bookmarkStart w:id="1590" w:name="_Caption2370"/>
      <w:bookmarkStart w:id="1591" w:name="_Caption9480"/>
      <w:bookmarkStart w:id="1592" w:name="_Caption4442"/>
      <w:bookmarkStart w:id="1593" w:name="_Caption4968"/>
      <w:bookmarkStart w:id="1594" w:name="_Caption4903"/>
      <w:bookmarkStart w:id="1595" w:name="_Caption4934"/>
      <w:bookmarkStart w:id="1596" w:name="_Toc529869910"/>
      <w:bookmarkStart w:id="1597" w:name="_Toc530748406"/>
      <w:r w:rsidR="00EA42ED">
        <w:rPr>
          <w:noProof/>
        </w:rPr>
        <w:t>5</w:t>
      </w:r>
      <w:r w:rsidR="00EA42ED" w:rsidRPr="000135FA">
        <w:rPr>
          <w:noProof/>
        </w:rPr>
        <w:t>.</w:t>
      </w:r>
      <w:r w:rsidR="00EA42ED">
        <w:rPr>
          <w:noProof/>
        </w:rPr>
        <w:t>2</w:t>
      </w:r>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r w:rsidRPr="000135FA">
        <w:fldChar w:fldCharType="end"/>
      </w:r>
      <w:r w:rsidRPr="000135FA">
        <w:tab/>
        <w:t>Change in construction costs — hotel (3A)</w:t>
      </w:r>
      <w:bookmarkEnd w:id="1596"/>
      <w:bookmarkEnd w:id="1597"/>
    </w:p>
    <w:tbl>
      <w:tblPr>
        <w:tblW w:w="7939" w:type="dxa"/>
        <w:tblLayout w:type="fixed"/>
        <w:tblLook w:val="0000" w:firstRow="0" w:lastRow="0" w:firstColumn="0" w:lastColumn="0" w:noHBand="0" w:noVBand="0"/>
        <w:tblCaption w:val="Table 5.2: Change in construction costs - hotel "/>
        <w:tblDescription w:val="This table identifies the change in construction costs based on building element for hotel buildings. It finds that there is considerable savings in glazing partially offset by the increase cost in services. "/>
      </w:tblPr>
      <w:tblGrid>
        <w:gridCol w:w="2177"/>
        <w:gridCol w:w="823"/>
        <w:gridCol w:w="823"/>
        <w:gridCol w:w="823"/>
        <w:gridCol w:w="824"/>
        <w:gridCol w:w="823"/>
        <w:gridCol w:w="823"/>
        <w:gridCol w:w="823"/>
      </w:tblGrid>
      <w:tr w:rsidR="00612FD3" w:rsidTr="00301B6D">
        <w:trPr>
          <w:trHeight w:val="230"/>
          <w:tblHeader/>
        </w:trPr>
        <w:tc>
          <w:tcPr>
            <w:tcW w:w="2177" w:type="dxa"/>
            <w:shd w:val="clear" w:color="auto" w:fill="6F6652"/>
            <w:tcMar>
              <w:left w:w="57" w:type="dxa"/>
              <w:right w:w="57" w:type="dxa"/>
            </w:tcMar>
          </w:tcPr>
          <w:p w:rsidR="00612FD3" w:rsidRDefault="00612FD3" w:rsidP="00301B6D">
            <w:pPr>
              <w:pStyle w:val="TableDataColumnHeading"/>
              <w:jc w:val="left"/>
              <w:rPr>
                <w:lang w:val="en-GB"/>
              </w:rPr>
            </w:pPr>
          </w:p>
        </w:tc>
        <w:tc>
          <w:tcPr>
            <w:tcW w:w="823" w:type="dxa"/>
            <w:shd w:val="clear" w:color="auto" w:fill="6F6652"/>
            <w:tcMar>
              <w:left w:w="57" w:type="dxa"/>
              <w:right w:w="57" w:type="dxa"/>
            </w:tcMar>
          </w:tcPr>
          <w:p w:rsidR="00612FD3" w:rsidRDefault="00E31EE8" w:rsidP="00301B6D">
            <w:pPr>
              <w:pStyle w:val="TableDataColumnHeading"/>
              <w:rPr>
                <w:lang w:val="en-GB"/>
              </w:rPr>
            </w:pPr>
            <w:r>
              <w:rPr>
                <w:lang w:val="en-GB"/>
              </w:rPr>
              <w:t>Climate Zone</w:t>
            </w:r>
            <w:r w:rsidR="00612FD3">
              <w:rPr>
                <w:lang w:val="en-GB"/>
              </w:rPr>
              <w:t xml:space="preserve"> 1</w:t>
            </w:r>
          </w:p>
        </w:tc>
        <w:tc>
          <w:tcPr>
            <w:tcW w:w="823" w:type="dxa"/>
            <w:shd w:val="clear" w:color="auto" w:fill="6F6652"/>
            <w:tcMar>
              <w:left w:w="57" w:type="dxa"/>
              <w:right w:w="57" w:type="dxa"/>
            </w:tcMar>
          </w:tcPr>
          <w:p w:rsidR="00612FD3" w:rsidRDefault="00E31EE8" w:rsidP="00301B6D">
            <w:pPr>
              <w:pStyle w:val="TableDataColumnHeading"/>
              <w:rPr>
                <w:lang w:val="en-GB"/>
              </w:rPr>
            </w:pPr>
            <w:r>
              <w:rPr>
                <w:lang w:val="en-GB"/>
              </w:rPr>
              <w:t>Climate Zone</w:t>
            </w:r>
            <w:r w:rsidR="00612FD3">
              <w:rPr>
                <w:lang w:val="en-GB"/>
              </w:rPr>
              <w:t xml:space="preserve"> 2</w:t>
            </w:r>
          </w:p>
        </w:tc>
        <w:tc>
          <w:tcPr>
            <w:tcW w:w="823" w:type="dxa"/>
            <w:shd w:val="clear" w:color="auto" w:fill="6F6652"/>
            <w:tcMar>
              <w:left w:w="57" w:type="dxa"/>
              <w:right w:w="57" w:type="dxa"/>
            </w:tcMar>
          </w:tcPr>
          <w:p w:rsidR="00612FD3" w:rsidRDefault="00E31EE8" w:rsidP="00301B6D">
            <w:pPr>
              <w:pStyle w:val="TableDataColumnHeading"/>
              <w:rPr>
                <w:lang w:val="en-GB"/>
              </w:rPr>
            </w:pPr>
            <w:r>
              <w:rPr>
                <w:lang w:val="en-GB"/>
              </w:rPr>
              <w:t>Climate Zone</w:t>
            </w:r>
            <w:r w:rsidR="00612FD3">
              <w:rPr>
                <w:lang w:val="en-GB"/>
              </w:rPr>
              <w:t xml:space="preserve"> 3</w:t>
            </w:r>
          </w:p>
        </w:tc>
        <w:tc>
          <w:tcPr>
            <w:tcW w:w="824" w:type="dxa"/>
            <w:shd w:val="clear" w:color="auto" w:fill="6F6652"/>
            <w:tcMar>
              <w:left w:w="57" w:type="dxa"/>
              <w:right w:w="57" w:type="dxa"/>
            </w:tcMar>
          </w:tcPr>
          <w:p w:rsidR="00612FD3" w:rsidRDefault="00E31EE8" w:rsidP="00301B6D">
            <w:pPr>
              <w:pStyle w:val="TableDataColumnHeading"/>
              <w:rPr>
                <w:lang w:val="en-GB"/>
              </w:rPr>
            </w:pPr>
            <w:r>
              <w:rPr>
                <w:lang w:val="en-GB"/>
              </w:rPr>
              <w:t>Climate Zone</w:t>
            </w:r>
            <w:r w:rsidR="00612FD3">
              <w:rPr>
                <w:lang w:val="en-GB"/>
              </w:rPr>
              <w:t xml:space="preserve"> 4</w:t>
            </w:r>
          </w:p>
        </w:tc>
        <w:tc>
          <w:tcPr>
            <w:tcW w:w="823" w:type="dxa"/>
            <w:shd w:val="clear" w:color="auto" w:fill="6F6652"/>
            <w:tcMar>
              <w:left w:w="57" w:type="dxa"/>
              <w:right w:w="57" w:type="dxa"/>
            </w:tcMar>
          </w:tcPr>
          <w:p w:rsidR="00612FD3" w:rsidRDefault="00E31EE8" w:rsidP="00301B6D">
            <w:pPr>
              <w:pStyle w:val="TableDataColumnHeading"/>
              <w:rPr>
                <w:lang w:val="en-GB"/>
              </w:rPr>
            </w:pPr>
            <w:r>
              <w:rPr>
                <w:lang w:val="en-GB"/>
              </w:rPr>
              <w:t>Climate Zone</w:t>
            </w:r>
            <w:r w:rsidR="00612FD3">
              <w:rPr>
                <w:lang w:val="en-GB"/>
              </w:rPr>
              <w:t xml:space="preserve"> 5</w:t>
            </w:r>
          </w:p>
        </w:tc>
        <w:tc>
          <w:tcPr>
            <w:tcW w:w="823" w:type="dxa"/>
            <w:shd w:val="clear" w:color="auto" w:fill="6F6652"/>
            <w:tcMar>
              <w:left w:w="57" w:type="dxa"/>
              <w:right w:w="57" w:type="dxa"/>
            </w:tcMar>
          </w:tcPr>
          <w:p w:rsidR="00612FD3" w:rsidRDefault="00E31EE8" w:rsidP="00301B6D">
            <w:pPr>
              <w:pStyle w:val="TableDataColumnHeading"/>
              <w:rPr>
                <w:lang w:val="en-GB"/>
              </w:rPr>
            </w:pPr>
            <w:r>
              <w:rPr>
                <w:lang w:val="en-GB"/>
              </w:rPr>
              <w:t>Climate Zone</w:t>
            </w:r>
            <w:r w:rsidR="00612FD3">
              <w:rPr>
                <w:lang w:val="en-GB"/>
              </w:rPr>
              <w:t xml:space="preserve"> 6</w:t>
            </w:r>
          </w:p>
        </w:tc>
        <w:tc>
          <w:tcPr>
            <w:tcW w:w="823" w:type="dxa"/>
            <w:shd w:val="clear" w:color="auto" w:fill="6F6652"/>
            <w:tcMar>
              <w:left w:w="57" w:type="dxa"/>
              <w:right w:w="57" w:type="dxa"/>
            </w:tcMar>
          </w:tcPr>
          <w:p w:rsidR="00612FD3" w:rsidRDefault="00E31EE8" w:rsidP="00301B6D">
            <w:pPr>
              <w:pStyle w:val="TableDataColumnHeading"/>
              <w:rPr>
                <w:lang w:val="en-GB"/>
              </w:rPr>
            </w:pPr>
            <w:r>
              <w:rPr>
                <w:lang w:val="en-GB"/>
              </w:rPr>
              <w:t>Climate Zone</w:t>
            </w:r>
            <w:r w:rsidR="00612FD3">
              <w:rPr>
                <w:lang w:val="en-GB"/>
              </w:rPr>
              <w:t xml:space="preserve"> 7</w:t>
            </w:r>
          </w:p>
        </w:tc>
      </w:tr>
      <w:tr w:rsidR="00612FD3" w:rsidTr="00301B6D">
        <w:trPr>
          <w:trHeight w:val="230"/>
          <w:tblHeader/>
        </w:trPr>
        <w:tc>
          <w:tcPr>
            <w:tcW w:w="2177"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jc w:val="left"/>
              <w:rPr>
                <w:lang w:val="en-GB"/>
              </w:rPr>
            </w:pPr>
          </w:p>
        </w:tc>
        <w:tc>
          <w:tcPr>
            <w:tcW w:w="82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$'000</w:t>
            </w:r>
          </w:p>
        </w:tc>
        <w:tc>
          <w:tcPr>
            <w:tcW w:w="82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$'000</w:t>
            </w:r>
          </w:p>
        </w:tc>
        <w:tc>
          <w:tcPr>
            <w:tcW w:w="82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$'000</w:t>
            </w:r>
          </w:p>
        </w:tc>
        <w:tc>
          <w:tcPr>
            <w:tcW w:w="824"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$'000</w:t>
            </w:r>
          </w:p>
        </w:tc>
        <w:tc>
          <w:tcPr>
            <w:tcW w:w="82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$'000</w:t>
            </w:r>
          </w:p>
        </w:tc>
        <w:tc>
          <w:tcPr>
            <w:tcW w:w="82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$'000</w:t>
            </w:r>
          </w:p>
        </w:tc>
        <w:tc>
          <w:tcPr>
            <w:tcW w:w="82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$'000</w:t>
            </w:r>
          </w:p>
        </w:tc>
      </w:tr>
      <w:tr w:rsidR="00612FD3" w:rsidTr="00301B6D">
        <w:trPr>
          <w:trHeight w:val="230"/>
        </w:trPr>
        <w:tc>
          <w:tcPr>
            <w:tcW w:w="2177"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r>
              <w:rPr>
                <w:lang w:val="en-GB"/>
              </w:rPr>
              <w:t>Façade</w:t>
            </w:r>
          </w:p>
        </w:tc>
        <w:tc>
          <w:tcPr>
            <w:tcW w:w="82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82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82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824"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82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82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82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r>
      <w:tr w:rsidR="000135FA" w:rsidTr="00301B6D">
        <w:trPr>
          <w:trHeight w:val="230"/>
        </w:trPr>
        <w:tc>
          <w:tcPr>
            <w:tcW w:w="217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0135FA" w:rsidRDefault="000135FA" w:rsidP="000135FA">
            <w:pPr>
              <w:pStyle w:val="TableDataEntries"/>
              <w:jc w:val="left"/>
              <w:rPr>
                <w:lang w:val="en-GB"/>
              </w:rPr>
            </w:pPr>
            <w:r>
              <w:rPr>
                <w:lang w:val="en-GB"/>
              </w:rPr>
              <w:t>Roof</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xml:space="preserve"> 0.0</w:t>
            </w:r>
          </w:p>
        </w:tc>
        <w:tc>
          <w:tcPr>
            <w:tcW w:w="8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xml:space="preserve"> 0.0</w:t>
            </w:r>
          </w:p>
        </w:tc>
      </w:tr>
      <w:tr w:rsidR="000135FA" w:rsidTr="00301B6D">
        <w:trPr>
          <w:trHeight w:val="230"/>
        </w:trPr>
        <w:tc>
          <w:tcPr>
            <w:tcW w:w="217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0135FA" w:rsidRDefault="000135FA" w:rsidP="000135FA">
            <w:pPr>
              <w:pStyle w:val="TableDataEntries"/>
              <w:jc w:val="left"/>
              <w:rPr>
                <w:lang w:val="en-GB"/>
              </w:rPr>
            </w:pPr>
            <w:r>
              <w:rPr>
                <w:lang w:val="en-GB"/>
              </w:rPr>
              <w:t>Floor</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xml:space="preserve"> 0.0</w:t>
            </w:r>
          </w:p>
        </w:tc>
        <w:tc>
          <w:tcPr>
            <w:tcW w:w="8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xml:space="preserve"> 0.0</w:t>
            </w:r>
          </w:p>
        </w:tc>
      </w:tr>
      <w:tr w:rsidR="000135FA" w:rsidTr="0045144D">
        <w:trPr>
          <w:trHeight w:val="230"/>
        </w:trPr>
        <w:tc>
          <w:tcPr>
            <w:tcW w:w="217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0135FA" w:rsidRDefault="000135FA" w:rsidP="000135FA">
            <w:pPr>
              <w:pStyle w:val="TableDataEntries"/>
              <w:jc w:val="left"/>
              <w:rPr>
                <w:lang w:val="en-GB"/>
              </w:rPr>
            </w:pPr>
            <w:r>
              <w:rPr>
                <w:lang w:val="en-GB"/>
              </w:rPr>
              <w:t>Walls</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xml:space="preserve"> 21.6</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xml:space="preserve"> 27.2</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xml:space="preserve"> 21.6</w:t>
            </w:r>
          </w:p>
        </w:tc>
        <w:tc>
          <w:tcPr>
            <w:tcW w:w="8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xml:space="preserve"> 13.1</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xml:space="preserve"> 18.6</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xml:space="preserve"> 13.1</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xml:space="preserve"> 13.1</w:t>
            </w:r>
          </w:p>
        </w:tc>
      </w:tr>
      <w:tr w:rsidR="000135FA" w:rsidTr="0045144D">
        <w:trPr>
          <w:trHeight w:val="230"/>
        </w:trPr>
        <w:tc>
          <w:tcPr>
            <w:tcW w:w="217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0135FA" w:rsidRDefault="000135FA" w:rsidP="000135FA">
            <w:pPr>
              <w:pStyle w:val="TableDataEntries"/>
              <w:jc w:val="left"/>
              <w:rPr>
                <w:lang w:val="en-GB"/>
              </w:rPr>
            </w:pPr>
            <w:r>
              <w:rPr>
                <w:lang w:val="en-GB"/>
              </w:rPr>
              <w:t>Glazing</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xml:space="preserve"> 119.2</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- 118.9</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- 25.9</w:t>
            </w:r>
          </w:p>
        </w:tc>
        <w:tc>
          <w:tcPr>
            <w:tcW w:w="8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- 9.7</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- 25.9</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- 9.7</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xml:space="preserve"> 111.6</w:t>
            </w:r>
          </w:p>
        </w:tc>
      </w:tr>
      <w:tr w:rsidR="000135FA" w:rsidRPr="000135FA" w:rsidTr="0045144D">
        <w:trPr>
          <w:trHeight w:val="230"/>
        </w:trPr>
        <w:tc>
          <w:tcPr>
            <w:tcW w:w="217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0135FA" w:rsidRPr="000135FA" w:rsidRDefault="000135FA" w:rsidP="000135FA">
            <w:pPr>
              <w:pStyle w:val="TableDataEntries"/>
              <w:jc w:val="left"/>
              <w:rPr>
                <w:rFonts w:ascii="Franklin Gothic Demi" w:hAnsi="Franklin Gothic Demi"/>
                <w:lang w:val="en-GB"/>
              </w:rPr>
            </w:pPr>
            <w:r w:rsidRPr="000135FA">
              <w:rPr>
                <w:rFonts w:ascii="Franklin Gothic Demi" w:hAnsi="Franklin Gothic Demi"/>
                <w:lang w:val="en-GB"/>
              </w:rPr>
              <w:t>Façade total</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Pr="000135FA" w:rsidRDefault="000135FA" w:rsidP="000135FA">
            <w:pPr>
              <w:pStyle w:val="TableDataEntries"/>
              <w:rPr>
                <w:rFonts w:ascii="Franklin Gothic Demi" w:hAnsi="Franklin Gothic Demi"/>
                <w:lang w:val="en-GB"/>
              </w:rPr>
            </w:pPr>
            <w:r w:rsidRPr="000135FA">
              <w:rPr>
                <w:rFonts w:ascii="Franklin Gothic Demi" w:hAnsi="Franklin Gothic Demi"/>
              </w:rPr>
              <w:t xml:space="preserve"> 140.8</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Pr="000135FA" w:rsidRDefault="000135FA" w:rsidP="000135FA">
            <w:pPr>
              <w:pStyle w:val="TableDataEntries"/>
              <w:rPr>
                <w:rFonts w:ascii="Franklin Gothic Demi" w:hAnsi="Franklin Gothic Demi"/>
                <w:lang w:val="en-GB"/>
              </w:rPr>
            </w:pPr>
            <w:r w:rsidRPr="000135FA">
              <w:rPr>
                <w:rFonts w:ascii="Franklin Gothic Demi" w:hAnsi="Franklin Gothic Demi"/>
              </w:rPr>
              <w:t>- 91.7</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Pr="000135FA" w:rsidRDefault="000135FA" w:rsidP="000135FA">
            <w:pPr>
              <w:pStyle w:val="TableDataEntries"/>
              <w:rPr>
                <w:rFonts w:ascii="Franklin Gothic Demi" w:hAnsi="Franklin Gothic Demi"/>
                <w:lang w:val="en-GB"/>
              </w:rPr>
            </w:pPr>
            <w:r w:rsidRPr="000135FA">
              <w:rPr>
                <w:rFonts w:ascii="Franklin Gothic Demi" w:hAnsi="Franklin Gothic Demi"/>
              </w:rPr>
              <w:t>- 4.3</w:t>
            </w:r>
          </w:p>
        </w:tc>
        <w:tc>
          <w:tcPr>
            <w:tcW w:w="8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Pr="000135FA" w:rsidRDefault="000135FA" w:rsidP="000135FA">
            <w:pPr>
              <w:pStyle w:val="TableDataEntries"/>
              <w:rPr>
                <w:rFonts w:ascii="Franklin Gothic Demi" w:hAnsi="Franklin Gothic Demi"/>
                <w:lang w:val="en-GB"/>
              </w:rPr>
            </w:pPr>
            <w:r w:rsidRPr="000135FA">
              <w:rPr>
                <w:rFonts w:ascii="Franklin Gothic Demi" w:hAnsi="Franklin Gothic Demi"/>
              </w:rPr>
              <w:t xml:space="preserve"> 3.4</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Pr="000135FA" w:rsidRDefault="000135FA" w:rsidP="000135FA">
            <w:pPr>
              <w:pStyle w:val="TableDataEntries"/>
              <w:rPr>
                <w:rFonts w:ascii="Franklin Gothic Demi" w:hAnsi="Franklin Gothic Demi"/>
                <w:lang w:val="en-GB"/>
              </w:rPr>
            </w:pPr>
            <w:r w:rsidRPr="000135FA">
              <w:rPr>
                <w:rFonts w:ascii="Franklin Gothic Demi" w:hAnsi="Franklin Gothic Demi"/>
              </w:rPr>
              <w:t>- 7.3</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Pr="000135FA" w:rsidRDefault="000135FA" w:rsidP="000135FA">
            <w:pPr>
              <w:pStyle w:val="TableDataEntries"/>
              <w:rPr>
                <w:rFonts w:ascii="Franklin Gothic Demi" w:hAnsi="Franklin Gothic Demi"/>
                <w:lang w:val="en-GB"/>
              </w:rPr>
            </w:pPr>
            <w:r w:rsidRPr="000135FA">
              <w:rPr>
                <w:rFonts w:ascii="Franklin Gothic Demi" w:hAnsi="Franklin Gothic Demi"/>
              </w:rPr>
              <w:t xml:space="preserve"> 3.4</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Pr="000135FA" w:rsidRDefault="000135FA" w:rsidP="000135FA">
            <w:pPr>
              <w:pStyle w:val="TableDataEntries"/>
              <w:rPr>
                <w:rFonts w:ascii="Franklin Gothic Demi" w:hAnsi="Franklin Gothic Demi"/>
                <w:lang w:val="en-GB"/>
              </w:rPr>
            </w:pPr>
            <w:r w:rsidRPr="000135FA">
              <w:rPr>
                <w:rFonts w:ascii="Franklin Gothic Demi" w:hAnsi="Franklin Gothic Demi"/>
              </w:rPr>
              <w:t xml:space="preserve"> 124.7</w:t>
            </w:r>
          </w:p>
        </w:tc>
      </w:tr>
      <w:tr w:rsidR="000135FA" w:rsidTr="00301B6D">
        <w:trPr>
          <w:trHeight w:val="230"/>
        </w:trPr>
        <w:tc>
          <w:tcPr>
            <w:tcW w:w="2177"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0135FA" w:rsidRDefault="000135FA" w:rsidP="000135FA">
            <w:pPr>
              <w:pStyle w:val="TableHeading1"/>
              <w:rPr>
                <w:lang w:val="en-GB"/>
              </w:rPr>
            </w:pPr>
            <w:r>
              <w:rPr>
                <w:lang w:val="en-GB"/>
              </w:rPr>
              <w:t>Services</w:t>
            </w:r>
          </w:p>
        </w:tc>
        <w:tc>
          <w:tcPr>
            <w:tcW w:w="82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0135FA" w:rsidRDefault="000135FA" w:rsidP="000135FA">
            <w:pPr>
              <w:pStyle w:val="TableDataEntries"/>
              <w:rPr>
                <w:lang w:val="en-GB"/>
              </w:rPr>
            </w:pPr>
          </w:p>
        </w:tc>
        <w:tc>
          <w:tcPr>
            <w:tcW w:w="82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0135FA" w:rsidRDefault="000135FA" w:rsidP="000135FA">
            <w:pPr>
              <w:pStyle w:val="TableDataEntries"/>
              <w:rPr>
                <w:lang w:val="en-GB"/>
              </w:rPr>
            </w:pPr>
          </w:p>
        </w:tc>
        <w:tc>
          <w:tcPr>
            <w:tcW w:w="82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0135FA" w:rsidRDefault="000135FA" w:rsidP="000135FA">
            <w:pPr>
              <w:pStyle w:val="TableDataEntries"/>
              <w:rPr>
                <w:lang w:val="en-GB"/>
              </w:rPr>
            </w:pPr>
          </w:p>
        </w:tc>
        <w:tc>
          <w:tcPr>
            <w:tcW w:w="824"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0135FA" w:rsidRDefault="000135FA" w:rsidP="000135FA">
            <w:pPr>
              <w:pStyle w:val="TableDataEntries"/>
              <w:rPr>
                <w:lang w:val="en-GB"/>
              </w:rPr>
            </w:pPr>
          </w:p>
        </w:tc>
        <w:tc>
          <w:tcPr>
            <w:tcW w:w="82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0135FA" w:rsidRDefault="000135FA" w:rsidP="000135FA">
            <w:pPr>
              <w:pStyle w:val="TableDataEntries"/>
              <w:rPr>
                <w:lang w:val="en-GB"/>
              </w:rPr>
            </w:pPr>
          </w:p>
        </w:tc>
        <w:tc>
          <w:tcPr>
            <w:tcW w:w="82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0135FA" w:rsidRDefault="000135FA" w:rsidP="000135FA">
            <w:pPr>
              <w:pStyle w:val="TableDataEntries"/>
              <w:rPr>
                <w:lang w:val="en-GB"/>
              </w:rPr>
            </w:pPr>
          </w:p>
        </w:tc>
        <w:tc>
          <w:tcPr>
            <w:tcW w:w="82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0135FA" w:rsidRDefault="000135FA" w:rsidP="000135FA">
            <w:pPr>
              <w:pStyle w:val="TableDataEntries"/>
              <w:rPr>
                <w:lang w:val="en-GB"/>
              </w:rPr>
            </w:pPr>
          </w:p>
        </w:tc>
      </w:tr>
      <w:tr w:rsidR="000135FA" w:rsidTr="00301B6D">
        <w:trPr>
          <w:trHeight w:val="230"/>
        </w:trPr>
        <w:tc>
          <w:tcPr>
            <w:tcW w:w="217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0135FA" w:rsidRDefault="000135FA" w:rsidP="000135FA">
            <w:pPr>
              <w:pStyle w:val="TableDataEntries"/>
              <w:jc w:val="left"/>
              <w:rPr>
                <w:lang w:val="en-GB"/>
              </w:rPr>
            </w:pPr>
            <w:r>
              <w:rPr>
                <w:lang w:val="en-GB"/>
              </w:rPr>
              <w:t>FCU</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- 19.9</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xml:space="preserve"> 68.2</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xml:space="preserve"> 18.2</w:t>
            </w:r>
          </w:p>
        </w:tc>
        <w:tc>
          <w:tcPr>
            <w:tcW w:w="8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xml:space="preserve"> 24.1</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- 9.9</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xml:space="preserve"> 20.5</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xml:space="preserve"> 11.1</w:t>
            </w:r>
          </w:p>
        </w:tc>
      </w:tr>
      <w:tr w:rsidR="000135FA" w:rsidTr="00301B6D">
        <w:trPr>
          <w:trHeight w:val="230"/>
        </w:trPr>
        <w:tc>
          <w:tcPr>
            <w:tcW w:w="217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0135FA" w:rsidRDefault="000135FA" w:rsidP="000135FA">
            <w:pPr>
              <w:pStyle w:val="TableDataEntries"/>
              <w:jc w:val="left"/>
              <w:rPr>
                <w:lang w:val="en-GB"/>
              </w:rPr>
            </w:pPr>
            <w:r>
              <w:rPr>
                <w:lang w:val="en-GB"/>
              </w:rPr>
              <w:t>Cooling Tower</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- 5.6</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xml:space="preserve"> 7.7</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xml:space="preserve"> 1.1</w:t>
            </w:r>
          </w:p>
        </w:tc>
        <w:tc>
          <w:tcPr>
            <w:tcW w:w="8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- 0.2</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- 4.6</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- 0.5</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- 1.5</w:t>
            </w:r>
          </w:p>
        </w:tc>
      </w:tr>
      <w:tr w:rsidR="000135FA" w:rsidTr="00301B6D">
        <w:trPr>
          <w:trHeight w:val="230"/>
        </w:trPr>
        <w:tc>
          <w:tcPr>
            <w:tcW w:w="217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0135FA" w:rsidRDefault="000135FA" w:rsidP="000135FA">
            <w:pPr>
              <w:pStyle w:val="TableDataEntries"/>
              <w:jc w:val="left"/>
              <w:rPr>
                <w:lang w:val="en-GB"/>
              </w:rPr>
            </w:pPr>
            <w:r>
              <w:rPr>
                <w:lang w:val="en-GB"/>
              </w:rPr>
              <w:t>Chiller</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- 3.2</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- 6.0</w:t>
            </w:r>
          </w:p>
        </w:tc>
        <w:tc>
          <w:tcPr>
            <w:tcW w:w="8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- 0.9</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- 3.3</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- 0.1</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- 3.0</w:t>
            </w:r>
          </w:p>
        </w:tc>
      </w:tr>
      <w:tr w:rsidR="000135FA" w:rsidTr="00301B6D">
        <w:trPr>
          <w:trHeight w:val="230"/>
        </w:trPr>
        <w:tc>
          <w:tcPr>
            <w:tcW w:w="217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0135FA" w:rsidRDefault="000135FA" w:rsidP="000135FA">
            <w:pPr>
              <w:pStyle w:val="TableDataEntries"/>
              <w:jc w:val="left"/>
              <w:rPr>
                <w:lang w:val="en-GB"/>
              </w:rPr>
            </w:pPr>
            <w:r>
              <w:rPr>
                <w:lang w:val="en-GB"/>
              </w:rPr>
              <w:t>Boiler</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- 2.6</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xml:space="preserve"> 3.1</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- 0.2</w:t>
            </w:r>
          </w:p>
        </w:tc>
        <w:tc>
          <w:tcPr>
            <w:tcW w:w="8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xml:space="preserve"> 1.1</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- 2.2</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xml:space="preserve"> 1.2</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xml:space="preserve"> 0.2</w:t>
            </w:r>
          </w:p>
        </w:tc>
      </w:tr>
      <w:tr w:rsidR="000135FA" w:rsidTr="00301B6D">
        <w:trPr>
          <w:trHeight w:val="230"/>
        </w:trPr>
        <w:tc>
          <w:tcPr>
            <w:tcW w:w="217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0135FA" w:rsidRDefault="000135FA" w:rsidP="000135FA">
            <w:pPr>
              <w:pStyle w:val="TableDataEntries"/>
              <w:jc w:val="left"/>
              <w:rPr>
                <w:lang w:val="en-GB"/>
              </w:rPr>
            </w:pPr>
            <w:r>
              <w:rPr>
                <w:lang w:val="en-GB"/>
              </w:rPr>
              <w:t>Economy Cycle</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xml:space="preserve"> 0.0</w:t>
            </w:r>
          </w:p>
        </w:tc>
        <w:tc>
          <w:tcPr>
            <w:tcW w:w="8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xml:space="preserve"> 0.0</w:t>
            </w:r>
          </w:p>
        </w:tc>
      </w:tr>
      <w:tr w:rsidR="000135FA" w:rsidTr="00301B6D">
        <w:trPr>
          <w:trHeight w:val="230"/>
        </w:trPr>
        <w:tc>
          <w:tcPr>
            <w:tcW w:w="217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0135FA" w:rsidRDefault="000135FA" w:rsidP="000135FA">
            <w:pPr>
              <w:pStyle w:val="TableDataEntries"/>
              <w:jc w:val="left"/>
              <w:rPr>
                <w:lang w:val="en-GB"/>
              </w:rPr>
            </w:pPr>
            <w:r>
              <w:rPr>
                <w:lang w:val="en-GB"/>
              </w:rPr>
              <w:t>CO</w:t>
            </w:r>
            <w:r w:rsidRPr="001A033F">
              <w:rPr>
                <w:vertAlign w:val="subscript"/>
                <w:lang w:val="en-GB"/>
              </w:rPr>
              <w:t>2</w:t>
            </w:r>
            <w:r>
              <w:rPr>
                <w:lang w:val="en-GB"/>
              </w:rPr>
              <w:t xml:space="preserve"> Sensor/Heat Exchanger</w:t>
            </w:r>
            <w:r w:rsidRPr="001A033F">
              <w:rPr>
                <w:rStyle w:val="NoteLabel"/>
              </w:rPr>
              <w:t xml:space="preserve"> a</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- 20.4</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xml:space="preserve"> 0.0</w:t>
            </w:r>
          </w:p>
        </w:tc>
        <w:tc>
          <w:tcPr>
            <w:tcW w:w="8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- 17.6</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- 17.6</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- 17.6</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- 17.6</w:t>
            </w:r>
          </w:p>
        </w:tc>
      </w:tr>
      <w:tr w:rsidR="000135FA" w:rsidTr="0045144D">
        <w:trPr>
          <w:trHeight w:val="230"/>
        </w:trPr>
        <w:tc>
          <w:tcPr>
            <w:tcW w:w="217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0135FA" w:rsidRDefault="000135FA" w:rsidP="000135FA">
            <w:pPr>
              <w:pStyle w:val="TableDataEntries"/>
              <w:jc w:val="left"/>
              <w:rPr>
                <w:lang w:val="en-GB"/>
              </w:rPr>
            </w:pPr>
            <w:r>
              <w:rPr>
                <w:lang w:val="en-GB"/>
              </w:rPr>
              <w:t>Lighting</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xml:space="preserve"> 0.0</w:t>
            </w:r>
          </w:p>
        </w:tc>
        <w:tc>
          <w:tcPr>
            <w:tcW w:w="8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xml:space="preserve"> 0.0</w:t>
            </w:r>
          </w:p>
        </w:tc>
      </w:tr>
      <w:tr w:rsidR="000135FA" w:rsidTr="0045144D">
        <w:trPr>
          <w:trHeight w:val="230"/>
        </w:trPr>
        <w:tc>
          <w:tcPr>
            <w:tcW w:w="217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0135FA" w:rsidRDefault="000135FA" w:rsidP="000135FA">
            <w:pPr>
              <w:pStyle w:val="TableDataEntries"/>
              <w:jc w:val="left"/>
              <w:rPr>
                <w:lang w:val="en-GB"/>
              </w:rPr>
            </w:pPr>
            <w:r>
              <w:rPr>
                <w:lang w:val="en-GB"/>
              </w:rPr>
              <w:t>Lifts</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xml:space="preserve"> 0.0</w:t>
            </w:r>
          </w:p>
        </w:tc>
        <w:tc>
          <w:tcPr>
            <w:tcW w:w="8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xml:space="preserve"> 0.0</w:t>
            </w:r>
          </w:p>
        </w:tc>
      </w:tr>
      <w:tr w:rsidR="000135FA" w:rsidRPr="000135FA" w:rsidTr="000135FA">
        <w:trPr>
          <w:trHeight w:val="230"/>
        </w:trPr>
        <w:tc>
          <w:tcPr>
            <w:tcW w:w="217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0135FA" w:rsidRPr="000135FA" w:rsidRDefault="000135FA" w:rsidP="000135FA">
            <w:pPr>
              <w:pStyle w:val="TableDataEntries"/>
              <w:jc w:val="left"/>
              <w:rPr>
                <w:rFonts w:ascii="Franklin Gothic Demi" w:hAnsi="Franklin Gothic Demi"/>
                <w:lang w:val="en-GB"/>
              </w:rPr>
            </w:pPr>
            <w:r w:rsidRPr="000135FA">
              <w:rPr>
                <w:rFonts w:ascii="Franklin Gothic Demi" w:hAnsi="Franklin Gothic Demi"/>
                <w:lang w:val="en-GB"/>
              </w:rPr>
              <w:t>Services total</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Pr="000135FA" w:rsidRDefault="000135FA" w:rsidP="000135FA">
            <w:pPr>
              <w:pStyle w:val="TableDataEntries"/>
              <w:rPr>
                <w:rFonts w:ascii="Franklin Gothic Demi" w:hAnsi="Franklin Gothic Demi"/>
                <w:lang w:val="en-GB"/>
              </w:rPr>
            </w:pPr>
            <w:r w:rsidRPr="000135FA">
              <w:rPr>
                <w:rFonts w:ascii="Franklin Gothic Demi" w:hAnsi="Franklin Gothic Demi"/>
              </w:rPr>
              <w:t>- 48.5</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Pr="000135FA" w:rsidRDefault="000135FA" w:rsidP="000135FA">
            <w:pPr>
              <w:pStyle w:val="TableDataEntries"/>
              <w:rPr>
                <w:rFonts w:ascii="Franklin Gothic Demi" w:hAnsi="Franklin Gothic Demi"/>
                <w:lang w:val="en-GB"/>
              </w:rPr>
            </w:pPr>
            <w:r w:rsidRPr="000135FA">
              <w:rPr>
                <w:rFonts w:ascii="Franklin Gothic Demi" w:hAnsi="Franklin Gothic Demi"/>
              </w:rPr>
              <w:t xml:space="preserve"> 75.8</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Pr="000135FA" w:rsidRDefault="000135FA" w:rsidP="000135FA">
            <w:pPr>
              <w:pStyle w:val="TableDataEntries"/>
              <w:rPr>
                <w:rFonts w:ascii="Franklin Gothic Demi" w:hAnsi="Franklin Gothic Demi"/>
                <w:lang w:val="en-GB"/>
              </w:rPr>
            </w:pPr>
            <w:r w:rsidRPr="000135FA">
              <w:rPr>
                <w:rFonts w:ascii="Franklin Gothic Demi" w:hAnsi="Franklin Gothic Demi"/>
              </w:rPr>
              <w:t xml:space="preserve"> 13.1</w:t>
            </w:r>
          </w:p>
        </w:tc>
        <w:tc>
          <w:tcPr>
            <w:tcW w:w="8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Pr="000135FA" w:rsidRDefault="000135FA" w:rsidP="000135FA">
            <w:pPr>
              <w:pStyle w:val="TableDataEntries"/>
              <w:rPr>
                <w:rFonts w:ascii="Franklin Gothic Demi" w:hAnsi="Franklin Gothic Demi"/>
                <w:lang w:val="en-GB"/>
              </w:rPr>
            </w:pPr>
            <w:r w:rsidRPr="000135FA">
              <w:rPr>
                <w:rFonts w:ascii="Franklin Gothic Demi" w:hAnsi="Franklin Gothic Demi"/>
              </w:rPr>
              <w:t xml:space="preserve"> 6.5</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Pr="000135FA" w:rsidRDefault="000135FA" w:rsidP="000135FA">
            <w:pPr>
              <w:pStyle w:val="TableDataEntries"/>
              <w:rPr>
                <w:rFonts w:ascii="Franklin Gothic Demi" w:hAnsi="Franklin Gothic Demi"/>
                <w:lang w:val="en-GB"/>
              </w:rPr>
            </w:pPr>
            <w:r w:rsidRPr="000135FA">
              <w:rPr>
                <w:rFonts w:ascii="Franklin Gothic Demi" w:hAnsi="Franklin Gothic Demi"/>
              </w:rPr>
              <w:t>- 37.5</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Pr="000135FA" w:rsidRDefault="000135FA" w:rsidP="000135FA">
            <w:pPr>
              <w:pStyle w:val="TableDataEntries"/>
              <w:rPr>
                <w:rFonts w:ascii="Franklin Gothic Demi" w:hAnsi="Franklin Gothic Demi"/>
                <w:lang w:val="en-GB"/>
              </w:rPr>
            </w:pPr>
            <w:r w:rsidRPr="000135FA">
              <w:rPr>
                <w:rFonts w:ascii="Franklin Gothic Demi" w:hAnsi="Franklin Gothic Demi"/>
              </w:rPr>
              <w:t xml:space="preserve"> 3.5</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Pr="000135FA" w:rsidRDefault="000135FA" w:rsidP="000135FA">
            <w:pPr>
              <w:pStyle w:val="TableDataEntries"/>
              <w:rPr>
                <w:rFonts w:ascii="Franklin Gothic Demi" w:hAnsi="Franklin Gothic Demi"/>
                <w:lang w:val="en-GB"/>
              </w:rPr>
            </w:pPr>
            <w:r w:rsidRPr="000135FA">
              <w:rPr>
                <w:rFonts w:ascii="Franklin Gothic Demi" w:hAnsi="Franklin Gothic Demi"/>
              </w:rPr>
              <w:t>- 10.8</w:t>
            </w:r>
          </w:p>
        </w:tc>
      </w:tr>
      <w:tr w:rsidR="000135FA" w:rsidRPr="000135FA" w:rsidTr="00301B6D">
        <w:trPr>
          <w:trHeight w:val="230"/>
        </w:trPr>
        <w:tc>
          <w:tcPr>
            <w:tcW w:w="2177"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rsidR="000135FA" w:rsidRPr="000135FA" w:rsidRDefault="000135FA" w:rsidP="000135FA">
            <w:pPr>
              <w:pStyle w:val="TableDataEntries"/>
              <w:jc w:val="left"/>
              <w:rPr>
                <w:rFonts w:ascii="Franklin Gothic Demi" w:hAnsi="Franklin Gothic Demi"/>
                <w:lang w:val="en-GB"/>
              </w:rPr>
            </w:pPr>
            <w:r w:rsidRPr="000135FA">
              <w:rPr>
                <w:rFonts w:ascii="Franklin Gothic Demi" w:hAnsi="Franklin Gothic Demi"/>
                <w:lang w:val="en-GB"/>
              </w:rPr>
              <w:t>Total</w:t>
            </w:r>
          </w:p>
        </w:tc>
        <w:tc>
          <w:tcPr>
            <w:tcW w:w="82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0135FA" w:rsidRPr="000135FA" w:rsidRDefault="000135FA" w:rsidP="000135FA">
            <w:pPr>
              <w:pStyle w:val="TableDataEntries"/>
              <w:rPr>
                <w:rFonts w:ascii="Franklin Gothic Demi" w:hAnsi="Franklin Gothic Demi"/>
                <w:lang w:val="en-GB"/>
              </w:rPr>
            </w:pPr>
            <w:r w:rsidRPr="000135FA">
              <w:rPr>
                <w:rFonts w:ascii="Franklin Gothic Demi" w:hAnsi="Franklin Gothic Demi"/>
              </w:rPr>
              <w:t xml:space="preserve"> 92.3</w:t>
            </w:r>
          </w:p>
        </w:tc>
        <w:tc>
          <w:tcPr>
            <w:tcW w:w="82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0135FA" w:rsidRPr="000135FA" w:rsidRDefault="000135FA" w:rsidP="000135FA">
            <w:pPr>
              <w:pStyle w:val="TableDataEntries"/>
              <w:rPr>
                <w:rFonts w:ascii="Franklin Gothic Demi" w:hAnsi="Franklin Gothic Demi"/>
                <w:lang w:val="en-GB"/>
              </w:rPr>
            </w:pPr>
            <w:r w:rsidRPr="000135FA">
              <w:rPr>
                <w:rFonts w:ascii="Franklin Gothic Demi" w:hAnsi="Franklin Gothic Demi"/>
              </w:rPr>
              <w:t>- 15.9</w:t>
            </w:r>
          </w:p>
        </w:tc>
        <w:tc>
          <w:tcPr>
            <w:tcW w:w="82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0135FA" w:rsidRPr="000135FA" w:rsidRDefault="000135FA" w:rsidP="000135FA">
            <w:pPr>
              <w:pStyle w:val="TableDataEntries"/>
              <w:rPr>
                <w:rFonts w:ascii="Franklin Gothic Demi" w:hAnsi="Franklin Gothic Demi"/>
                <w:lang w:val="en-GB"/>
              </w:rPr>
            </w:pPr>
            <w:r w:rsidRPr="000135FA">
              <w:rPr>
                <w:rFonts w:ascii="Franklin Gothic Demi" w:hAnsi="Franklin Gothic Demi"/>
              </w:rPr>
              <w:t xml:space="preserve"> 8.7</w:t>
            </w:r>
          </w:p>
        </w:tc>
        <w:tc>
          <w:tcPr>
            <w:tcW w:w="824"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0135FA" w:rsidRPr="000135FA" w:rsidRDefault="000135FA" w:rsidP="000135FA">
            <w:pPr>
              <w:pStyle w:val="TableDataEntries"/>
              <w:rPr>
                <w:rFonts w:ascii="Franklin Gothic Demi" w:hAnsi="Franklin Gothic Demi"/>
                <w:lang w:val="en-GB"/>
              </w:rPr>
            </w:pPr>
            <w:r w:rsidRPr="000135FA">
              <w:rPr>
                <w:rFonts w:ascii="Franklin Gothic Demi" w:hAnsi="Franklin Gothic Demi"/>
              </w:rPr>
              <w:t xml:space="preserve"> 9.9</w:t>
            </w:r>
          </w:p>
        </w:tc>
        <w:tc>
          <w:tcPr>
            <w:tcW w:w="82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0135FA" w:rsidRPr="000135FA" w:rsidRDefault="000135FA" w:rsidP="000135FA">
            <w:pPr>
              <w:pStyle w:val="TableDataEntries"/>
              <w:rPr>
                <w:rFonts w:ascii="Franklin Gothic Demi" w:hAnsi="Franklin Gothic Demi"/>
                <w:lang w:val="en-GB"/>
              </w:rPr>
            </w:pPr>
            <w:r w:rsidRPr="000135FA">
              <w:rPr>
                <w:rFonts w:ascii="Franklin Gothic Demi" w:hAnsi="Franklin Gothic Demi"/>
              </w:rPr>
              <w:t>- 44.8</w:t>
            </w:r>
          </w:p>
        </w:tc>
        <w:tc>
          <w:tcPr>
            <w:tcW w:w="82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0135FA" w:rsidRPr="000135FA" w:rsidRDefault="000135FA" w:rsidP="000135FA">
            <w:pPr>
              <w:pStyle w:val="TableDataEntries"/>
              <w:rPr>
                <w:rFonts w:ascii="Franklin Gothic Demi" w:hAnsi="Franklin Gothic Demi"/>
                <w:lang w:val="en-GB"/>
              </w:rPr>
            </w:pPr>
            <w:r w:rsidRPr="000135FA">
              <w:rPr>
                <w:rFonts w:ascii="Franklin Gothic Demi" w:hAnsi="Franklin Gothic Demi"/>
              </w:rPr>
              <w:t xml:space="preserve"> 6.9</w:t>
            </w:r>
          </w:p>
        </w:tc>
        <w:tc>
          <w:tcPr>
            <w:tcW w:w="82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0135FA" w:rsidRPr="000135FA" w:rsidRDefault="000135FA" w:rsidP="000135FA">
            <w:pPr>
              <w:pStyle w:val="TableDataEntries"/>
              <w:rPr>
                <w:rFonts w:ascii="Franklin Gothic Demi" w:hAnsi="Franklin Gothic Demi"/>
                <w:lang w:val="en-GB"/>
              </w:rPr>
            </w:pPr>
            <w:r w:rsidRPr="000135FA">
              <w:rPr>
                <w:rFonts w:ascii="Franklin Gothic Demi" w:hAnsi="Franklin Gothic Demi"/>
              </w:rPr>
              <w:t xml:space="preserve"> 113.9</w:t>
            </w:r>
          </w:p>
        </w:tc>
      </w:tr>
    </w:tbl>
    <w:p w:rsidR="00612FD3" w:rsidRPr="00E4232C" w:rsidRDefault="00612FD3" w:rsidP="00612FD3">
      <w:pPr>
        <w:pStyle w:val="Note"/>
      </w:pPr>
      <w:r w:rsidRPr="00E4232C">
        <w:rPr>
          <w:rStyle w:val="NoteLabel"/>
        </w:rPr>
        <w:t>a</w:t>
      </w:r>
      <w:r>
        <w:t xml:space="preserve"> Cost increases relate to a heat exchanger in </w:t>
      </w:r>
      <w:r w:rsidR="00E31EE8">
        <w:t>Climate Zone</w:t>
      </w:r>
      <w:r>
        <w:t xml:space="preserve"> 1 and a CO</w:t>
      </w:r>
      <w:r w:rsidRPr="001A033F">
        <w:rPr>
          <w:vertAlign w:val="subscript"/>
        </w:rPr>
        <w:t>2</w:t>
      </w:r>
      <w:r>
        <w:t xml:space="preserve"> sensor in the remaining </w:t>
      </w:r>
      <w:r w:rsidR="00E31EE8">
        <w:t>Climate Zone</w:t>
      </w:r>
      <w:r>
        <w:t>s.</w:t>
      </w:r>
    </w:p>
    <w:p w:rsidR="00612FD3" w:rsidRDefault="00612FD3" w:rsidP="00612FD3">
      <w:pPr>
        <w:pStyle w:val="Note"/>
        <w:rPr>
          <w:lang w:bidi="fa-IR"/>
        </w:rPr>
      </w:pPr>
      <w:r w:rsidRPr="007D1B4F">
        <w:rPr>
          <w:i/>
        </w:rPr>
        <w:t>Note:</w:t>
      </w:r>
      <w:r w:rsidRPr="00E879B8">
        <w:t xml:space="preserve"> </w:t>
      </w:r>
      <w:r w:rsidR="00C50E98">
        <w:t>Cost increases are reported as a negative value and cost savings are reported as a positive value</w:t>
      </w:r>
      <w:r>
        <w:t>.</w:t>
      </w:r>
    </w:p>
    <w:p w:rsidR="00612FD3" w:rsidRDefault="00612FD3" w:rsidP="00612FD3">
      <w:pPr>
        <w:pStyle w:val="Source"/>
        <w:rPr>
          <w:lang w:bidi="fa-IR"/>
        </w:rPr>
      </w:pPr>
      <w:r w:rsidRPr="00593EDD">
        <w:rPr>
          <w:i/>
          <w:lang w:bidi="fa-IR"/>
        </w:rPr>
        <w:t>Source:</w:t>
      </w:r>
      <w:r>
        <w:rPr>
          <w:lang w:bidi="fa-IR"/>
        </w:rPr>
        <w:t xml:space="preserve"> </w:t>
      </w:r>
      <w:r w:rsidR="003F28DD">
        <w:rPr>
          <w:lang w:bidi="fa-IR"/>
        </w:rPr>
        <w:t>EA</w:t>
      </w:r>
      <w:r>
        <w:rPr>
          <w:lang w:bidi="fa-IR"/>
        </w:rPr>
        <w:t xml:space="preserve"> modelling.</w:t>
      </w:r>
    </w:p>
    <w:p w:rsidR="00612FD3" w:rsidRDefault="00612FD3" w:rsidP="00592C11">
      <w:pPr>
        <w:pStyle w:val="Heading3"/>
        <w:rPr>
          <w:lang w:eastAsia="en-US"/>
        </w:rPr>
      </w:pPr>
      <w:r>
        <w:rPr>
          <w:lang w:eastAsia="en-US"/>
        </w:rPr>
        <w:t>Office building</w:t>
      </w:r>
    </w:p>
    <w:p w:rsidR="00612FD3" w:rsidRDefault="00612FD3" w:rsidP="00612FD3">
      <w:pPr>
        <w:pStyle w:val="BodyText"/>
        <w:rPr>
          <w:lang w:eastAsia="en-US"/>
        </w:rPr>
      </w:pPr>
      <w:r>
        <w:rPr>
          <w:lang w:eastAsia="en-US"/>
        </w:rPr>
        <w:t xml:space="preserve">For the office building with a WWR of 40 per cent, </w:t>
      </w:r>
      <w:r w:rsidR="003F28DD">
        <w:rPr>
          <w:lang w:eastAsia="en-US"/>
        </w:rPr>
        <w:t>EA</w:t>
      </w:r>
      <w:r>
        <w:rPr>
          <w:lang w:eastAsia="en-US"/>
        </w:rPr>
        <w:t xml:space="preserve"> modelling suggests that the cost of complying with the revised code will be higher across all </w:t>
      </w:r>
      <w:r w:rsidR="00E31EE8">
        <w:rPr>
          <w:lang w:eastAsia="en-US"/>
        </w:rPr>
        <w:t>Climate Zone</w:t>
      </w:r>
      <w:r>
        <w:rPr>
          <w:lang w:eastAsia="en-US"/>
        </w:rPr>
        <w:t>s, although the magnitude of the cost change varies significantly</w:t>
      </w:r>
      <w:r w:rsidR="00C07C84">
        <w:rPr>
          <w:lang w:eastAsia="en-US"/>
        </w:rPr>
        <w:t xml:space="preserve"> (table </w:t>
      </w:r>
      <w:r w:rsidR="00C07C84">
        <w:rPr>
          <w:lang w:eastAsia="en-US"/>
        </w:rPr>
        <w:fldChar w:fldCharType="begin"/>
      </w:r>
      <w:r w:rsidR="00C07C84">
        <w:rPr>
          <w:lang w:eastAsia="en-US"/>
        </w:rPr>
        <w:instrText xml:space="preserve"> REF _Caption0758 </w:instrText>
      </w:r>
      <w:r w:rsidR="00C07C84">
        <w:rPr>
          <w:lang w:eastAsia="en-US"/>
        </w:rPr>
        <w:fldChar w:fldCharType="separate"/>
      </w:r>
      <w:r w:rsidR="006B79B8">
        <w:rPr>
          <w:noProof/>
        </w:rPr>
        <w:t>5</w:t>
      </w:r>
      <w:r w:rsidR="006B79B8" w:rsidRPr="000135FA">
        <w:rPr>
          <w:noProof/>
        </w:rPr>
        <w:t>.</w:t>
      </w:r>
      <w:r w:rsidR="006B79B8">
        <w:rPr>
          <w:noProof/>
        </w:rPr>
        <w:t>3</w:t>
      </w:r>
      <w:r w:rsidR="00C07C84">
        <w:rPr>
          <w:lang w:eastAsia="en-US"/>
        </w:rPr>
        <w:fldChar w:fldCharType="end"/>
      </w:r>
      <w:r w:rsidR="00C07C84">
        <w:rPr>
          <w:lang w:eastAsia="en-US"/>
        </w:rPr>
        <w:t>)</w:t>
      </w:r>
      <w:r>
        <w:rPr>
          <w:lang w:eastAsia="en-US"/>
        </w:rPr>
        <w:t>.</w:t>
      </w:r>
    </w:p>
    <w:p w:rsidR="00612FD3" w:rsidRDefault="00612FD3" w:rsidP="00612FD3">
      <w:pPr>
        <w:pStyle w:val="ListBullet"/>
        <w:numPr>
          <w:ilvl w:val="0"/>
          <w:numId w:val="36"/>
        </w:numPr>
        <w:rPr>
          <w:lang w:eastAsia="en-US"/>
        </w:rPr>
      </w:pPr>
      <w:r>
        <w:rPr>
          <w:lang w:eastAsia="en-US"/>
        </w:rPr>
        <w:t xml:space="preserve">The revised code would generally require more expensive (higher performance) glazing in most </w:t>
      </w:r>
      <w:r w:rsidR="00E31EE8">
        <w:rPr>
          <w:lang w:eastAsia="en-US"/>
        </w:rPr>
        <w:t>Climate Zone</w:t>
      </w:r>
      <w:r>
        <w:rPr>
          <w:lang w:eastAsia="en-US"/>
        </w:rPr>
        <w:t xml:space="preserve">s. The exception is </w:t>
      </w:r>
      <w:r w:rsidR="00E31EE8">
        <w:rPr>
          <w:lang w:eastAsia="en-US"/>
        </w:rPr>
        <w:t>Climate Zone</w:t>
      </w:r>
      <w:r>
        <w:rPr>
          <w:lang w:eastAsia="en-US"/>
        </w:rPr>
        <w:t xml:space="preserve"> 7, where the modelling suggests there may be cost savings, largely driven by lower glazing stringency requirements on the south façade (lower performance double glazing would be permitted on the south façade under the revised code, whereas under the existing code high performance double glazing is required).</w:t>
      </w:r>
    </w:p>
    <w:p w:rsidR="00612FD3" w:rsidRDefault="00612FD3" w:rsidP="00612FD3">
      <w:pPr>
        <w:pStyle w:val="ListBullet"/>
        <w:numPr>
          <w:ilvl w:val="0"/>
          <w:numId w:val="36"/>
        </w:numPr>
        <w:rPr>
          <w:lang w:eastAsia="en-US"/>
        </w:rPr>
      </w:pPr>
      <w:r>
        <w:rPr>
          <w:lang w:eastAsia="en-US"/>
        </w:rPr>
        <w:t xml:space="preserve">The relaxation of wall insulation requirements is estimated to result in cost savings across all </w:t>
      </w:r>
      <w:r w:rsidR="00E31EE8">
        <w:rPr>
          <w:lang w:eastAsia="en-US"/>
        </w:rPr>
        <w:t>Climate Zone</w:t>
      </w:r>
      <w:r>
        <w:rPr>
          <w:lang w:eastAsia="en-US"/>
        </w:rPr>
        <w:t>s.</w:t>
      </w:r>
    </w:p>
    <w:p w:rsidR="00612FD3" w:rsidRDefault="00612FD3" w:rsidP="00612FD3">
      <w:pPr>
        <w:pStyle w:val="ListBullet"/>
        <w:numPr>
          <w:ilvl w:val="0"/>
          <w:numId w:val="36"/>
        </w:numPr>
        <w:rPr>
          <w:lang w:eastAsia="en-US"/>
        </w:rPr>
      </w:pPr>
      <w:r>
        <w:rPr>
          <w:lang w:eastAsia="en-US"/>
        </w:rPr>
        <w:t xml:space="preserve">The cost of services is estimated to be higher in all </w:t>
      </w:r>
      <w:r w:rsidR="00E31EE8">
        <w:rPr>
          <w:lang w:eastAsia="en-US"/>
        </w:rPr>
        <w:t>Climate Zone</w:t>
      </w:r>
      <w:r>
        <w:rPr>
          <w:lang w:eastAsia="en-US"/>
        </w:rPr>
        <w:t xml:space="preserve">s, except </w:t>
      </w:r>
      <w:r w:rsidR="00E31EE8">
        <w:rPr>
          <w:lang w:eastAsia="en-US"/>
        </w:rPr>
        <w:t>Climate Zone</w:t>
      </w:r>
      <w:r w:rsidR="00BB30D0">
        <w:rPr>
          <w:lang w:eastAsia="en-US"/>
        </w:rPr>
        <w:t>s 2</w:t>
      </w:r>
      <w:r w:rsidR="00EE351B">
        <w:rPr>
          <w:lang w:eastAsia="en-US"/>
        </w:rPr>
        <w:t xml:space="preserve"> and 5</w:t>
      </w:r>
      <w:r>
        <w:rPr>
          <w:lang w:eastAsia="en-US"/>
        </w:rPr>
        <w:t xml:space="preserve">. </w:t>
      </w:r>
    </w:p>
    <w:p w:rsidR="00612FD3" w:rsidRDefault="00612FD3" w:rsidP="00612FD3">
      <w:pPr>
        <w:pStyle w:val="ListBullet2"/>
        <w:numPr>
          <w:ilvl w:val="1"/>
          <w:numId w:val="36"/>
        </w:numPr>
        <w:rPr>
          <w:lang w:eastAsia="en-US"/>
        </w:rPr>
      </w:pPr>
      <w:r>
        <w:rPr>
          <w:lang w:eastAsia="en-US"/>
        </w:rPr>
        <w:t>This is mainly driven by higher costs for fan coil units (FCUs) and CO</w:t>
      </w:r>
      <w:r w:rsidRPr="00E71244">
        <w:rPr>
          <w:vertAlign w:val="subscript"/>
          <w:lang w:eastAsia="en-US"/>
        </w:rPr>
        <w:t>2</w:t>
      </w:r>
      <w:r>
        <w:rPr>
          <w:lang w:eastAsia="en-US"/>
        </w:rPr>
        <w:t xml:space="preserve"> sensors under the revised code.</w:t>
      </w:r>
    </w:p>
    <w:p w:rsidR="00612FD3" w:rsidRDefault="00612FD3" w:rsidP="00612FD3">
      <w:pPr>
        <w:pStyle w:val="ListBullet2"/>
        <w:numPr>
          <w:ilvl w:val="1"/>
          <w:numId w:val="36"/>
        </w:numPr>
        <w:rPr>
          <w:lang w:eastAsia="en-US"/>
        </w:rPr>
      </w:pPr>
      <w:r>
        <w:rPr>
          <w:lang w:eastAsia="en-US"/>
        </w:rPr>
        <w:t xml:space="preserve">In </w:t>
      </w:r>
      <w:r w:rsidR="00E31EE8">
        <w:rPr>
          <w:lang w:eastAsia="en-US"/>
        </w:rPr>
        <w:t>Climate Zone</w:t>
      </w:r>
      <w:r w:rsidR="00EE351B">
        <w:rPr>
          <w:lang w:eastAsia="en-US"/>
        </w:rPr>
        <w:t>s</w:t>
      </w:r>
      <w:r>
        <w:rPr>
          <w:lang w:eastAsia="en-US"/>
        </w:rPr>
        <w:t xml:space="preserve"> 2</w:t>
      </w:r>
      <w:r w:rsidR="00EE351B">
        <w:rPr>
          <w:lang w:eastAsia="en-US"/>
        </w:rPr>
        <w:t xml:space="preserve"> and 5</w:t>
      </w:r>
      <w:r>
        <w:rPr>
          <w:lang w:eastAsia="en-US"/>
        </w:rPr>
        <w:t>, the main cost savings relate to FCUs and Economy Cycle.</w:t>
      </w:r>
    </w:p>
    <w:p w:rsidR="0032647A" w:rsidRDefault="0032647A" w:rsidP="00612FD3">
      <w:pPr>
        <w:pStyle w:val="Caption"/>
      </w:pPr>
      <w:r>
        <w:br w:type="page"/>
      </w:r>
    </w:p>
    <w:p w:rsidR="00612FD3" w:rsidRDefault="00612FD3" w:rsidP="00612FD3">
      <w:pPr>
        <w:pStyle w:val="Caption"/>
      </w:pPr>
      <w:r w:rsidRPr="000135FA">
        <w:fldChar w:fldCharType="begin"/>
      </w:r>
      <w:r w:rsidRPr="000135FA">
        <w:instrText xml:space="preserve"> IF 1 = 1 "</w:instrText>
      </w:r>
      <w:r w:rsidRPr="000135FA">
        <w:fldChar w:fldCharType="begin"/>
      </w:r>
      <w:r w:rsidRPr="000135FA">
        <w:instrText xml:space="preserve"> IF </w:instrText>
      </w:r>
      <w:r w:rsidRPr="000135FA">
        <w:rPr>
          <w:noProof/>
        </w:rPr>
        <w:fldChar w:fldCharType="begin"/>
      </w:r>
      <w:r w:rsidRPr="000135FA">
        <w:rPr>
          <w:noProof/>
        </w:rPr>
        <w:instrText xml:space="preserve"> STYLEREF "Heading 6" \l \n </w:instrText>
      </w:r>
      <w:r w:rsidRPr="000135FA">
        <w:rPr>
          <w:noProof/>
        </w:rPr>
        <w:fldChar w:fldCharType="separate"/>
      </w:r>
      <w:r w:rsidR="00B833F1">
        <w:rPr>
          <w:noProof/>
        </w:rPr>
        <w:instrText>0</w:instrText>
      </w:r>
      <w:r w:rsidRPr="000135FA">
        <w:rPr>
          <w:noProof/>
        </w:rPr>
        <w:fldChar w:fldCharType="end"/>
      </w:r>
      <w:r w:rsidRPr="000135FA">
        <w:instrText xml:space="preserve"> = 0 "</w:instrText>
      </w:r>
      <w:r w:rsidRPr="000135FA">
        <w:fldChar w:fldCharType="begin"/>
      </w:r>
      <w:r w:rsidRPr="000135FA">
        <w:instrText xml:space="preserve"> IF </w:instrText>
      </w:r>
      <w:r w:rsidRPr="000135FA">
        <w:rPr>
          <w:noProof/>
        </w:rPr>
        <w:fldChar w:fldCharType="begin"/>
      </w:r>
      <w:r w:rsidRPr="000135FA">
        <w:rPr>
          <w:noProof/>
        </w:rPr>
        <w:instrText xml:space="preserve"> STYLEREF "Heading 1" \l \n </w:instrText>
      </w:r>
      <w:r w:rsidRPr="000135FA">
        <w:rPr>
          <w:noProof/>
        </w:rPr>
        <w:fldChar w:fldCharType="separate"/>
      </w:r>
      <w:r w:rsidR="00B833F1">
        <w:rPr>
          <w:noProof/>
        </w:rPr>
        <w:instrText>5</w:instrText>
      </w:r>
      <w:r w:rsidRPr="000135FA">
        <w:rPr>
          <w:noProof/>
        </w:rPr>
        <w:fldChar w:fldCharType="end"/>
      </w:r>
      <w:r w:rsidRPr="000135FA">
        <w:instrText xml:space="preserve"> = 0 "" "</w:instrText>
      </w:r>
      <w:r w:rsidRPr="000135FA">
        <w:rPr>
          <w:noProof/>
        </w:rPr>
        <w:fldChar w:fldCharType="begin"/>
      </w:r>
      <w:r w:rsidRPr="000135FA">
        <w:rPr>
          <w:noProof/>
        </w:rPr>
        <w:instrText xml:space="preserve"> STYLEREF "Heading 1" \l \n </w:instrText>
      </w:r>
      <w:r w:rsidRPr="000135FA">
        <w:rPr>
          <w:noProof/>
        </w:rPr>
        <w:fldChar w:fldCharType="separate"/>
      </w:r>
      <w:r w:rsidR="00B833F1">
        <w:rPr>
          <w:noProof/>
        </w:rPr>
        <w:instrText>5</w:instrText>
      </w:r>
      <w:r w:rsidRPr="000135FA">
        <w:rPr>
          <w:noProof/>
        </w:rPr>
        <w:fldChar w:fldCharType="end"/>
      </w:r>
      <w:r w:rsidRPr="000135FA">
        <w:instrText xml:space="preserve">." </w:instrText>
      </w:r>
      <w:r w:rsidRPr="000135FA">
        <w:fldChar w:fldCharType="separate"/>
      </w:r>
      <w:r w:rsidR="00B833F1">
        <w:rPr>
          <w:noProof/>
        </w:rPr>
        <w:instrText>5</w:instrText>
      </w:r>
      <w:r w:rsidR="00B833F1" w:rsidRPr="000135FA">
        <w:rPr>
          <w:noProof/>
        </w:rPr>
        <w:instrText>.</w:instrText>
      </w:r>
      <w:r w:rsidRPr="000135FA">
        <w:fldChar w:fldCharType="end"/>
      </w:r>
      <w:r w:rsidRPr="000135FA">
        <w:instrText>" "</w:instrText>
      </w:r>
      <w:r w:rsidR="001F6F43">
        <w:fldChar w:fldCharType="begin"/>
      </w:r>
      <w:r w:rsidR="001F6F43">
        <w:instrText xml:space="preserve"> STYLEREF "Heading 6" \l \n </w:instrText>
      </w:r>
      <w:r w:rsidR="001F6F43">
        <w:fldChar w:fldCharType="separate"/>
      </w:r>
      <w:r w:rsidRPr="000135FA">
        <w:instrText>B</w:instrText>
      </w:r>
      <w:r w:rsidR="001F6F43">
        <w:fldChar w:fldCharType="end"/>
      </w:r>
      <w:r w:rsidRPr="000135FA">
        <w:instrText xml:space="preserve">." </w:instrText>
      </w:r>
      <w:r w:rsidRPr="000135FA">
        <w:fldChar w:fldCharType="separate"/>
      </w:r>
      <w:r w:rsidR="00EA42ED">
        <w:rPr>
          <w:noProof/>
        </w:rPr>
        <w:instrText>5</w:instrText>
      </w:r>
      <w:r w:rsidR="00EA42ED" w:rsidRPr="000135FA">
        <w:rPr>
          <w:noProof/>
        </w:rPr>
        <w:instrText>.</w:instrText>
      </w:r>
      <w:r w:rsidRPr="000135FA">
        <w:fldChar w:fldCharType="end"/>
      </w:r>
      <w:r w:rsidRPr="000135FA">
        <w:fldChar w:fldCharType="begin"/>
      </w:r>
      <w:r w:rsidRPr="000135FA">
        <w:instrText xml:space="preserve"> SEQ Item \* ARABIC \s </w:instrText>
      </w:r>
      <w:r w:rsidRPr="000135FA">
        <w:fldChar w:fldCharType="begin"/>
      </w:r>
      <w:r w:rsidRPr="000135FA">
        <w:instrText xml:space="preserve"> IF </w:instrText>
      </w:r>
      <w:r w:rsidRPr="000135FA">
        <w:rPr>
          <w:noProof/>
        </w:rPr>
        <w:fldChar w:fldCharType="begin"/>
      </w:r>
      <w:r w:rsidRPr="000135FA">
        <w:rPr>
          <w:noProof/>
        </w:rPr>
        <w:instrText xml:space="preserve"> STYLEREF "Heading 6" \l \n </w:instrText>
      </w:r>
      <w:r w:rsidRPr="000135FA">
        <w:rPr>
          <w:noProof/>
        </w:rPr>
        <w:fldChar w:fldCharType="separate"/>
      </w:r>
      <w:r w:rsidR="00B833F1">
        <w:rPr>
          <w:noProof/>
        </w:rPr>
        <w:instrText>0</w:instrText>
      </w:r>
      <w:r w:rsidRPr="000135FA">
        <w:rPr>
          <w:noProof/>
        </w:rPr>
        <w:fldChar w:fldCharType="end"/>
      </w:r>
      <w:r w:rsidRPr="000135FA">
        <w:instrText xml:space="preserve"> = 0 "</w:instrText>
      </w:r>
      <w:r w:rsidRPr="000135FA">
        <w:fldChar w:fldCharType="begin"/>
      </w:r>
      <w:r w:rsidRPr="000135FA">
        <w:instrText xml:space="preserve"> IF </w:instrText>
      </w:r>
      <w:r w:rsidRPr="000135FA">
        <w:rPr>
          <w:noProof/>
        </w:rPr>
        <w:fldChar w:fldCharType="begin"/>
      </w:r>
      <w:r w:rsidRPr="000135FA">
        <w:rPr>
          <w:noProof/>
        </w:rPr>
        <w:instrText xml:space="preserve"> STYLEREF "Heading 1" \l \n </w:instrText>
      </w:r>
      <w:r w:rsidRPr="000135FA">
        <w:rPr>
          <w:noProof/>
        </w:rPr>
        <w:fldChar w:fldCharType="separate"/>
      </w:r>
      <w:r w:rsidR="00B833F1">
        <w:rPr>
          <w:noProof/>
        </w:rPr>
        <w:instrText>5</w:instrText>
      </w:r>
      <w:r w:rsidRPr="000135FA">
        <w:rPr>
          <w:noProof/>
        </w:rPr>
        <w:fldChar w:fldCharType="end"/>
      </w:r>
      <w:r w:rsidRPr="000135FA">
        <w:instrText xml:space="preserve"> = 0 "" "1" </w:instrText>
      </w:r>
      <w:r w:rsidRPr="000135FA">
        <w:fldChar w:fldCharType="separate"/>
      </w:r>
      <w:r w:rsidR="00EA42ED" w:rsidRPr="000135FA">
        <w:rPr>
          <w:noProof/>
        </w:rPr>
        <w:instrText>1</w:instrText>
      </w:r>
      <w:r w:rsidRPr="000135FA">
        <w:fldChar w:fldCharType="end"/>
      </w:r>
      <w:r w:rsidRPr="000135FA">
        <w:instrText xml:space="preserve">" "6" </w:instrText>
      </w:r>
      <w:r w:rsidRPr="000135FA">
        <w:fldChar w:fldCharType="separate"/>
      </w:r>
      <w:r w:rsidR="00EA42ED" w:rsidRPr="000135FA">
        <w:rPr>
          <w:noProof/>
        </w:rPr>
        <w:instrText>1</w:instrText>
      </w:r>
      <w:r w:rsidRPr="000135FA">
        <w:fldChar w:fldCharType="end"/>
      </w:r>
      <w:r w:rsidRPr="000135FA">
        <w:instrText xml:space="preserve"> </w:instrText>
      </w:r>
      <w:r w:rsidRPr="000135FA">
        <w:fldChar w:fldCharType="separate"/>
      </w:r>
      <w:r w:rsidR="00B833F1">
        <w:rPr>
          <w:noProof/>
        </w:rPr>
        <w:instrText>3</w:instrText>
      </w:r>
      <w:r w:rsidRPr="000135FA">
        <w:fldChar w:fldCharType="end"/>
      </w:r>
      <w:r w:rsidRPr="000135FA">
        <w:instrText xml:space="preserve">" "" </w:instrText>
      </w:r>
      <w:r w:rsidRPr="000135FA">
        <w:fldChar w:fldCharType="separate"/>
      </w:r>
      <w:bookmarkStart w:id="1598" w:name="_Caption4586"/>
      <w:bookmarkStart w:id="1599" w:name="_Caption5344"/>
      <w:bookmarkStart w:id="1600" w:name="_Caption2337"/>
      <w:bookmarkStart w:id="1601" w:name="_Caption8146"/>
      <w:bookmarkStart w:id="1602" w:name="_Caption7958"/>
      <w:bookmarkStart w:id="1603" w:name="_Caption6925"/>
      <w:bookmarkStart w:id="1604" w:name="_Caption7874"/>
      <w:bookmarkStart w:id="1605" w:name="_Caption2419"/>
      <w:bookmarkStart w:id="1606" w:name="_Caption3951"/>
      <w:bookmarkStart w:id="1607" w:name="_Caption1409"/>
      <w:bookmarkStart w:id="1608" w:name="_Caption6346"/>
      <w:bookmarkStart w:id="1609" w:name="_Caption2923"/>
      <w:bookmarkStart w:id="1610" w:name="_Caption9895"/>
      <w:bookmarkStart w:id="1611" w:name="_Caption0999"/>
      <w:bookmarkStart w:id="1612" w:name="_Caption0717"/>
      <w:bookmarkStart w:id="1613" w:name="_Caption7783"/>
      <w:bookmarkStart w:id="1614" w:name="_Caption2127"/>
      <w:bookmarkStart w:id="1615" w:name="_Caption0861"/>
      <w:bookmarkStart w:id="1616" w:name="_Caption0359"/>
      <w:bookmarkStart w:id="1617" w:name="_Caption1341"/>
      <w:bookmarkStart w:id="1618" w:name="_Caption7255"/>
      <w:bookmarkStart w:id="1619" w:name="_Caption5704"/>
      <w:bookmarkStart w:id="1620" w:name="_Caption6597"/>
      <w:bookmarkStart w:id="1621" w:name="_Caption0522"/>
      <w:bookmarkStart w:id="1622" w:name="_Caption3408"/>
      <w:bookmarkStart w:id="1623" w:name="_Caption2816"/>
      <w:bookmarkStart w:id="1624" w:name="_Caption1544"/>
      <w:bookmarkStart w:id="1625" w:name="_Caption3922"/>
      <w:bookmarkStart w:id="1626" w:name="_Caption0249"/>
      <w:bookmarkStart w:id="1627" w:name="_Caption0758"/>
      <w:bookmarkStart w:id="1628" w:name="_Caption6404"/>
      <w:bookmarkStart w:id="1629" w:name="_Caption8826"/>
      <w:bookmarkStart w:id="1630" w:name="_Caption8880"/>
      <w:bookmarkStart w:id="1631" w:name="_Caption6938"/>
      <w:bookmarkStart w:id="1632" w:name="_Caption0854"/>
      <w:bookmarkStart w:id="1633" w:name="_Caption0111"/>
      <w:bookmarkStart w:id="1634" w:name="_Caption8131"/>
      <w:bookmarkStart w:id="1635" w:name="_Caption5684"/>
      <w:bookmarkStart w:id="1636" w:name="_Caption8747"/>
      <w:bookmarkStart w:id="1637" w:name="_Caption2372"/>
      <w:bookmarkStart w:id="1638" w:name="_Caption8256"/>
      <w:bookmarkStart w:id="1639" w:name="_Caption9180"/>
      <w:bookmarkStart w:id="1640" w:name="_Caption9938"/>
      <w:bookmarkStart w:id="1641" w:name="_Caption1623"/>
      <w:bookmarkStart w:id="1642" w:name="_Caption4848"/>
      <w:bookmarkStart w:id="1643" w:name="_Caption3693"/>
      <w:bookmarkStart w:id="1644" w:name="_Caption5982"/>
      <w:bookmarkStart w:id="1645" w:name="_Caption2052"/>
      <w:bookmarkStart w:id="1646" w:name="_Caption1107"/>
      <w:bookmarkStart w:id="1647" w:name="_Caption5813"/>
      <w:bookmarkStart w:id="1648" w:name="_Caption1299"/>
      <w:bookmarkStart w:id="1649" w:name="_Caption6916"/>
      <w:bookmarkStart w:id="1650" w:name="_Caption5384"/>
      <w:bookmarkStart w:id="1651" w:name="_Caption2783"/>
      <w:bookmarkStart w:id="1652" w:name="_Caption6906"/>
      <w:bookmarkStart w:id="1653" w:name="_Caption1056"/>
      <w:bookmarkStart w:id="1654" w:name="_Caption1649"/>
      <w:bookmarkStart w:id="1655" w:name="_Caption5324"/>
      <w:bookmarkStart w:id="1656" w:name="_Caption7499"/>
      <w:bookmarkStart w:id="1657" w:name="_Caption8537"/>
      <w:bookmarkStart w:id="1658" w:name="_Caption1467"/>
      <w:bookmarkStart w:id="1659" w:name="_Caption7546"/>
      <w:bookmarkStart w:id="1660" w:name="_Caption7326"/>
      <w:bookmarkStart w:id="1661" w:name="_Caption4704"/>
      <w:bookmarkStart w:id="1662" w:name="_Caption5245"/>
      <w:bookmarkStart w:id="1663" w:name="_Caption2516"/>
      <w:bookmarkStart w:id="1664" w:name="_Caption9158"/>
      <w:bookmarkStart w:id="1665" w:name="_Toc529869911"/>
      <w:bookmarkStart w:id="1666" w:name="_Toc530748407"/>
      <w:r w:rsidR="00EA42ED">
        <w:rPr>
          <w:noProof/>
        </w:rPr>
        <w:t>5</w:t>
      </w:r>
      <w:r w:rsidR="00EA42ED" w:rsidRPr="000135FA">
        <w:rPr>
          <w:noProof/>
        </w:rPr>
        <w:t>.</w:t>
      </w:r>
      <w:r w:rsidR="00EA42ED">
        <w:rPr>
          <w:noProof/>
        </w:rPr>
        <w:t>3</w:t>
      </w:r>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r w:rsidRPr="000135FA">
        <w:fldChar w:fldCharType="end"/>
      </w:r>
      <w:r w:rsidRPr="000135FA">
        <w:tab/>
        <w:t>Change in construction costs — office building (5A) with 40 per cent WWR</w:t>
      </w:r>
      <w:bookmarkEnd w:id="1665"/>
      <w:bookmarkEnd w:id="1666"/>
    </w:p>
    <w:tbl>
      <w:tblPr>
        <w:tblW w:w="7939" w:type="dxa"/>
        <w:tblLayout w:type="fixed"/>
        <w:tblLook w:val="0000" w:firstRow="0" w:lastRow="0" w:firstColumn="0" w:lastColumn="0" w:noHBand="0" w:noVBand="0"/>
        <w:tblCaption w:val="Table 5.3: Change in construction costs - office buildings"/>
        <w:tblDescription w:val="This table identifies the change in construction costs based on building element for office buildings. It finds that there is considerable savings in glazing in addition to savings in services (mostly)."/>
      </w:tblPr>
      <w:tblGrid>
        <w:gridCol w:w="2177"/>
        <w:gridCol w:w="823"/>
        <w:gridCol w:w="823"/>
        <w:gridCol w:w="823"/>
        <w:gridCol w:w="824"/>
        <w:gridCol w:w="823"/>
        <w:gridCol w:w="823"/>
        <w:gridCol w:w="823"/>
      </w:tblGrid>
      <w:tr w:rsidR="00612FD3" w:rsidTr="0045144D">
        <w:trPr>
          <w:trHeight w:val="230"/>
          <w:tblHeader/>
        </w:trPr>
        <w:tc>
          <w:tcPr>
            <w:tcW w:w="2177" w:type="dxa"/>
            <w:shd w:val="clear" w:color="auto" w:fill="6F6652"/>
            <w:tcMar>
              <w:left w:w="57" w:type="dxa"/>
              <w:right w:w="57" w:type="dxa"/>
            </w:tcMar>
          </w:tcPr>
          <w:p w:rsidR="00612FD3" w:rsidRDefault="00612FD3" w:rsidP="00301B6D">
            <w:pPr>
              <w:pStyle w:val="TableDataColumnHeading"/>
              <w:jc w:val="left"/>
              <w:rPr>
                <w:lang w:val="en-GB"/>
              </w:rPr>
            </w:pPr>
          </w:p>
        </w:tc>
        <w:tc>
          <w:tcPr>
            <w:tcW w:w="823" w:type="dxa"/>
            <w:shd w:val="clear" w:color="auto" w:fill="6F6652"/>
            <w:tcMar>
              <w:left w:w="57" w:type="dxa"/>
              <w:right w:w="57" w:type="dxa"/>
            </w:tcMar>
          </w:tcPr>
          <w:p w:rsidR="00612FD3" w:rsidRDefault="00E31EE8" w:rsidP="00301B6D">
            <w:pPr>
              <w:pStyle w:val="TableDataColumnHeading"/>
              <w:rPr>
                <w:lang w:val="en-GB"/>
              </w:rPr>
            </w:pPr>
            <w:r>
              <w:rPr>
                <w:lang w:val="en-GB"/>
              </w:rPr>
              <w:t>Climate Zone</w:t>
            </w:r>
            <w:r w:rsidR="00612FD3">
              <w:rPr>
                <w:lang w:val="en-GB"/>
              </w:rPr>
              <w:t xml:space="preserve"> 1</w:t>
            </w:r>
          </w:p>
        </w:tc>
        <w:tc>
          <w:tcPr>
            <w:tcW w:w="823" w:type="dxa"/>
            <w:shd w:val="clear" w:color="auto" w:fill="6F6652"/>
            <w:tcMar>
              <w:left w:w="57" w:type="dxa"/>
              <w:right w:w="57" w:type="dxa"/>
            </w:tcMar>
          </w:tcPr>
          <w:p w:rsidR="00612FD3" w:rsidRDefault="00E31EE8" w:rsidP="00301B6D">
            <w:pPr>
              <w:pStyle w:val="TableDataColumnHeading"/>
              <w:rPr>
                <w:lang w:val="en-GB"/>
              </w:rPr>
            </w:pPr>
            <w:r>
              <w:rPr>
                <w:lang w:val="en-GB"/>
              </w:rPr>
              <w:t>Climate Zone</w:t>
            </w:r>
            <w:r w:rsidR="00612FD3">
              <w:rPr>
                <w:lang w:val="en-GB"/>
              </w:rPr>
              <w:t xml:space="preserve"> 2</w:t>
            </w:r>
          </w:p>
        </w:tc>
        <w:tc>
          <w:tcPr>
            <w:tcW w:w="823" w:type="dxa"/>
            <w:shd w:val="clear" w:color="auto" w:fill="6F6652"/>
            <w:tcMar>
              <w:left w:w="57" w:type="dxa"/>
              <w:right w:w="57" w:type="dxa"/>
            </w:tcMar>
          </w:tcPr>
          <w:p w:rsidR="00612FD3" w:rsidRDefault="00E31EE8" w:rsidP="00301B6D">
            <w:pPr>
              <w:pStyle w:val="TableDataColumnHeading"/>
              <w:rPr>
                <w:lang w:val="en-GB"/>
              </w:rPr>
            </w:pPr>
            <w:r>
              <w:rPr>
                <w:lang w:val="en-GB"/>
              </w:rPr>
              <w:t>Climate Zone</w:t>
            </w:r>
            <w:r w:rsidR="00612FD3">
              <w:rPr>
                <w:lang w:val="en-GB"/>
              </w:rPr>
              <w:t xml:space="preserve"> 3</w:t>
            </w:r>
          </w:p>
        </w:tc>
        <w:tc>
          <w:tcPr>
            <w:tcW w:w="824" w:type="dxa"/>
            <w:shd w:val="clear" w:color="auto" w:fill="6F6652"/>
            <w:tcMar>
              <w:left w:w="57" w:type="dxa"/>
              <w:right w:w="57" w:type="dxa"/>
            </w:tcMar>
          </w:tcPr>
          <w:p w:rsidR="00612FD3" w:rsidRDefault="00E31EE8" w:rsidP="00301B6D">
            <w:pPr>
              <w:pStyle w:val="TableDataColumnHeading"/>
              <w:rPr>
                <w:lang w:val="en-GB"/>
              </w:rPr>
            </w:pPr>
            <w:r>
              <w:rPr>
                <w:lang w:val="en-GB"/>
              </w:rPr>
              <w:t>Climate Zone</w:t>
            </w:r>
            <w:r w:rsidR="00612FD3">
              <w:rPr>
                <w:lang w:val="en-GB"/>
              </w:rPr>
              <w:t xml:space="preserve"> 4</w:t>
            </w:r>
          </w:p>
        </w:tc>
        <w:tc>
          <w:tcPr>
            <w:tcW w:w="823" w:type="dxa"/>
            <w:shd w:val="clear" w:color="auto" w:fill="6F6652"/>
            <w:tcMar>
              <w:left w:w="57" w:type="dxa"/>
              <w:right w:w="57" w:type="dxa"/>
            </w:tcMar>
          </w:tcPr>
          <w:p w:rsidR="00612FD3" w:rsidRDefault="00E31EE8" w:rsidP="00301B6D">
            <w:pPr>
              <w:pStyle w:val="TableDataColumnHeading"/>
              <w:rPr>
                <w:lang w:val="en-GB"/>
              </w:rPr>
            </w:pPr>
            <w:r>
              <w:rPr>
                <w:lang w:val="en-GB"/>
              </w:rPr>
              <w:t>Climate Zone</w:t>
            </w:r>
            <w:r w:rsidR="00612FD3">
              <w:rPr>
                <w:lang w:val="en-GB"/>
              </w:rPr>
              <w:t xml:space="preserve"> 5</w:t>
            </w:r>
          </w:p>
        </w:tc>
        <w:tc>
          <w:tcPr>
            <w:tcW w:w="823" w:type="dxa"/>
            <w:shd w:val="clear" w:color="auto" w:fill="6F6652"/>
            <w:tcMar>
              <w:left w:w="57" w:type="dxa"/>
              <w:right w:w="57" w:type="dxa"/>
            </w:tcMar>
          </w:tcPr>
          <w:p w:rsidR="00612FD3" w:rsidRDefault="00E31EE8" w:rsidP="00301B6D">
            <w:pPr>
              <w:pStyle w:val="TableDataColumnHeading"/>
              <w:rPr>
                <w:lang w:val="en-GB"/>
              </w:rPr>
            </w:pPr>
            <w:r>
              <w:rPr>
                <w:lang w:val="en-GB"/>
              </w:rPr>
              <w:t>Climate Zone</w:t>
            </w:r>
            <w:r w:rsidR="00612FD3">
              <w:rPr>
                <w:lang w:val="en-GB"/>
              </w:rPr>
              <w:t xml:space="preserve"> 6</w:t>
            </w:r>
          </w:p>
        </w:tc>
        <w:tc>
          <w:tcPr>
            <w:tcW w:w="823" w:type="dxa"/>
            <w:shd w:val="clear" w:color="auto" w:fill="6F6652"/>
            <w:tcMar>
              <w:left w:w="57" w:type="dxa"/>
              <w:right w:w="57" w:type="dxa"/>
            </w:tcMar>
          </w:tcPr>
          <w:p w:rsidR="00612FD3" w:rsidRDefault="00E31EE8" w:rsidP="00301B6D">
            <w:pPr>
              <w:pStyle w:val="TableDataColumnHeading"/>
              <w:rPr>
                <w:lang w:val="en-GB"/>
              </w:rPr>
            </w:pPr>
            <w:r>
              <w:rPr>
                <w:lang w:val="en-GB"/>
              </w:rPr>
              <w:t>Climate Zone</w:t>
            </w:r>
            <w:r w:rsidR="00612FD3">
              <w:rPr>
                <w:lang w:val="en-GB"/>
              </w:rPr>
              <w:t xml:space="preserve"> 7</w:t>
            </w:r>
          </w:p>
        </w:tc>
      </w:tr>
      <w:tr w:rsidR="00612FD3" w:rsidTr="0045144D">
        <w:trPr>
          <w:trHeight w:val="230"/>
          <w:tblHeader/>
        </w:trPr>
        <w:tc>
          <w:tcPr>
            <w:tcW w:w="2177"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jc w:val="left"/>
              <w:rPr>
                <w:lang w:val="en-GB"/>
              </w:rPr>
            </w:pPr>
          </w:p>
        </w:tc>
        <w:tc>
          <w:tcPr>
            <w:tcW w:w="82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$'000</w:t>
            </w:r>
          </w:p>
        </w:tc>
        <w:tc>
          <w:tcPr>
            <w:tcW w:w="82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$'000</w:t>
            </w:r>
          </w:p>
        </w:tc>
        <w:tc>
          <w:tcPr>
            <w:tcW w:w="82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$'000</w:t>
            </w:r>
          </w:p>
        </w:tc>
        <w:tc>
          <w:tcPr>
            <w:tcW w:w="824"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$'000</w:t>
            </w:r>
          </w:p>
        </w:tc>
        <w:tc>
          <w:tcPr>
            <w:tcW w:w="82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$'000</w:t>
            </w:r>
          </w:p>
        </w:tc>
        <w:tc>
          <w:tcPr>
            <w:tcW w:w="82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$'000</w:t>
            </w:r>
          </w:p>
        </w:tc>
        <w:tc>
          <w:tcPr>
            <w:tcW w:w="82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$'000</w:t>
            </w:r>
          </w:p>
        </w:tc>
      </w:tr>
      <w:tr w:rsidR="00612FD3" w:rsidTr="00301B6D">
        <w:trPr>
          <w:trHeight w:val="230"/>
        </w:trPr>
        <w:tc>
          <w:tcPr>
            <w:tcW w:w="2177"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r>
              <w:rPr>
                <w:lang w:val="en-GB"/>
              </w:rPr>
              <w:t>Façade</w:t>
            </w:r>
          </w:p>
        </w:tc>
        <w:tc>
          <w:tcPr>
            <w:tcW w:w="82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82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82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824"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82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82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82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r>
      <w:tr w:rsidR="000135FA" w:rsidTr="00301B6D">
        <w:trPr>
          <w:trHeight w:val="230"/>
        </w:trPr>
        <w:tc>
          <w:tcPr>
            <w:tcW w:w="217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0135FA" w:rsidRDefault="000135FA" w:rsidP="000135FA">
            <w:pPr>
              <w:pStyle w:val="TableDataEntries"/>
              <w:jc w:val="left"/>
              <w:rPr>
                <w:lang w:val="en-GB"/>
              </w:rPr>
            </w:pPr>
            <w:r>
              <w:rPr>
                <w:lang w:val="en-GB"/>
              </w:rPr>
              <w:t>Roof</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xml:space="preserve"> 0.0</w:t>
            </w:r>
          </w:p>
        </w:tc>
        <w:tc>
          <w:tcPr>
            <w:tcW w:w="8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xml:space="preserve"> 0.0</w:t>
            </w:r>
          </w:p>
        </w:tc>
      </w:tr>
      <w:tr w:rsidR="000135FA" w:rsidTr="00301B6D">
        <w:trPr>
          <w:trHeight w:val="230"/>
        </w:trPr>
        <w:tc>
          <w:tcPr>
            <w:tcW w:w="217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0135FA" w:rsidRDefault="000135FA" w:rsidP="000135FA">
            <w:pPr>
              <w:pStyle w:val="TableDataEntries"/>
              <w:jc w:val="left"/>
              <w:rPr>
                <w:lang w:val="en-GB"/>
              </w:rPr>
            </w:pPr>
            <w:r>
              <w:rPr>
                <w:lang w:val="en-GB"/>
              </w:rPr>
              <w:t>Floor</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xml:space="preserve"> 0.0</w:t>
            </w:r>
          </w:p>
        </w:tc>
        <w:tc>
          <w:tcPr>
            <w:tcW w:w="8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xml:space="preserve"> 0.0</w:t>
            </w:r>
          </w:p>
        </w:tc>
      </w:tr>
      <w:tr w:rsidR="000135FA" w:rsidTr="000135FA">
        <w:trPr>
          <w:trHeight w:val="230"/>
        </w:trPr>
        <w:tc>
          <w:tcPr>
            <w:tcW w:w="217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0135FA" w:rsidRDefault="000135FA" w:rsidP="000135FA">
            <w:pPr>
              <w:pStyle w:val="TableDataEntries"/>
              <w:jc w:val="left"/>
              <w:rPr>
                <w:lang w:val="en-GB"/>
              </w:rPr>
            </w:pPr>
            <w:r>
              <w:rPr>
                <w:lang w:val="en-GB"/>
              </w:rPr>
              <w:t>Walls</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xml:space="preserve"> 36.5</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xml:space="preserve"> 36.5</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xml:space="preserve"> 34.1</w:t>
            </w:r>
          </w:p>
        </w:tc>
        <w:tc>
          <w:tcPr>
            <w:tcW w:w="8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xml:space="preserve"> 29.2</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xml:space="preserve"> 29.2</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xml:space="preserve"> 29.2</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xml:space="preserve"> 29.2</w:t>
            </w:r>
          </w:p>
        </w:tc>
      </w:tr>
      <w:tr w:rsidR="000135FA" w:rsidTr="000135FA">
        <w:trPr>
          <w:trHeight w:val="230"/>
        </w:trPr>
        <w:tc>
          <w:tcPr>
            <w:tcW w:w="217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0135FA" w:rsidRDefault="000135FA" w:rsidP="000135FA">
            <w:pPr>
              <w:pStyle w:val="TableDataEntries"/>
              <w:jc w:val="left"/>
              <w:rPr>
                <w:lang w:val="en-GB"/>
              </w:rPr>
            </w:pPr>
            <w:r>
              <w:rPr>
                <w:lang w:val="en-GB"/>
              </w:rPr>
              <w:t>Glazing</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- 34.6</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- 158.5</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- 83.9</w:t>
            </w:r>
          </w:p>
        </w:tc>
        <w:tc>
          <w:tcPr>
            <w:tcW w:w="8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- 39.7</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- 158.5</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- 18.0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xml:space="preserve"> 69.2</w:t>
            </w:r>
          </w:p>
        </w:tc>
      </w:tr>
      <w:tr w:rsidR="000135FA" w:rsidRPr="000135FA" w:rsidTr="000135FA">
        <w:trPr>
          <w:trHeight w:val="230"/>
        </w:trPr>
        <w:tc>
          <w:tcPr>
            <w:tcW w:w="217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0135FA" w:rsidRPr="000135FA" w:rsidRDefault="000135FA" w:rsidP="000135FA">
            <w:pPr>
              <w:pStyle w:val="TableDataEntries"/>
              <w:jc w:val="left"/>
              <w:rPr>
                <w:rFonts w:ascii="Franklin Gothic Demi" w:hAnsi="Franklin Gothic Demi"/>
                <w:lang w:val="en-GB"/>
              </w:rPr>
            </w:pPr>
            <w:r w:rsidRPr="000135FA">
              <w:rPr>
                <w:rFonts w:ascii="Franklin Gothic Demi" w:hAnsi="Franklin Gothic Demi"/>
                <w:lang w:val="en-GB"/>
              </w:rPr>
              <w:t>Façade total</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Pr="000135FA" w:rsidRDefault="000135FA" w:rsidP="000135FA">
            <w:pPr>
              <w:pStyle w:val="TableDataEntries"/>
              <w:rPr>
                <w:rFonts w:ascii="Franklin Gothic Demi" w:hAnsi="Franklin Gothic Demi"/>
                <w:lang w:val="en-GB"/>
              </w:rPr>
            </w:pPr>
            <w:r w:rsidRPr="000135FA">
              <w:rPr>
                <w:rFonts w:ascii="Franklin Gothic Demi" w:hAnsi="Franklin Gothic Demi"/>
              </w:rPr>
              <w:t xml:space="preserve"> 1.9</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Pr="000135FA" w:rsidRDefault="000135FA" w:rsidP="000135FA">
            <w:pPr>
              <w:pStyle w:val="TableDataEntries"/>
              <w:rPr>
                <w:rFonts w:ascii="Franklin Gothic Demi" w:hAnsi="Franklin Gothic Demi"/>
                <w:lang w:val="en-GB"/>
              </w:rPr>
            </w:pPr>
            <w:r w:rsidRPr="000135FA">
              <w:rPr>
                <w:rFonts w:ascii="Franklin Gothic Demi" w:hAnsi="Franklin Gothic Demi"/>
              </w:rPr>
              <w:t>- 122.0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Pr="000135FA" w:rsidRDefault="000135FA" w:rsidP="000135FA">
            <w:pPr>
              <w:pStyle w:val="TableDataEntries"/>
              <w:rPr>
                <w:rFonts w:ascii="Franklin Gothic Demi" w:hAnsi="Franklin Gothic Demi"/>
                <w:lang w:val="en-GB"/>
              </w:rPr>
            </w:pPr>
            <w:r w:rsidRPr="000135FA">
              <w:rPr>
                <w:rFonts w:ascii="Franklin Gothic Demi" w:hAnsi="Franklin Gothic Demi"/>
              </w:rPr>
              <w:t>- 49.8</w:t>
            </w:r>
          </w:p>
        </w:tc>
        <w:tc>
          <w:tcPr>
            <w:tcW w:w="8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Pr="000135FA" w:rsidRDefault="000135FA" w:rsidP="000135FA">
            <w:pPr>
              <w:pStyle w:val="TableDataEntries"/>
              <w:rPr>
                <w:rFonts w:ascii="Franklin Gothic Demi" w:hAnsi="Franklin Gothic Demi"/>
                <w:lang w:val="en-GB"/>
              </w:rPr>
            </w:pPr>
            <w:r w:rsidRPr="000135FA">
              <w:rPr>
                <w:rFonts w:ascii="Franklin Gothic Demi" w:hAnsi="Franklin Gothic Demi"/>
              </w:rPr>
              <w:t>- 10.6</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Pr="000135FA" w:rsidRDefault="000135FA" w:rsidP="000135FA">
            <w:pPr>
              <w:pStyle w:val="TableDataEntries"/>
              <w:rPr>
                <w:rFonts w:ascii="Franklin Gothic Demi" w:hAnsi="Franklin Gothic Demi"/>
                <w:lang w:val="en-GB"/>
              </w:rPr>
            </w:pPr>
            <w:r w:rsidRPr="000135FA">
              <w:rPr>
                <w:rFonts w:ascii="Franklin Gothic Demi" w:hAnsi="Franklin Gothic Demi"/>
              </w:rPr>
              <w:t>- 129.3</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Pr="000135FA" w:rsidRDefault="000135FA" w:rsidP="000135FA">
            <w:pPr>
              <w:pStyle w:val="TableDataEntries"/>
              <w:rPr>
                <w:rFonts w:ascii="Franklin Gothic Demi" w:hAnsi="Franklin Gothic Demi"/>
                <w:lang w:val="en-GB"/>
              </w:rPr>
            </w:pPr>
            <w:r w:rsidRPr="000135FA">
              <w:rPr>
                <w:rFonts w:ascii="Franklin Gothic Demi" w:hAnsi="Franklin Gothic Demi"/>
              </w:rPr>
              <w:t xml:space="preserve"> 11.1</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Pr="000135FA" w:rsidRDefault="000135FA" w:rsidP="000135FA">
            <w:pPr>
              <w:pStyle w:val="TableDataEntries"/>
              <w:rPr>
                <w:rFonts w:ascii="Franklin Gothic Demi" w:hAnsi="Franklin Gothic Demi"/>
                <w:lang w:val="en-GB"/>
              </w:rPr>
            </w:pPr>
            <w:r w:rsidRPr="000135FA">
              <w:rPr>
                <w:rFonts w:ascii="Franklin Gothic Demi" w:hAnsi="Franklin Gothic Demi"/>
              </w:rPr>
              <w:t xml:space="preserve"> 98.3</w:t>
            </w:r>
          </w:p>
        </w:tc>
      </w:tr>
      <w:tr w:rsidR="000135FA" w:rsidTr="00301B6D">
        <w:trPr>
          <w:trHeight w:val="230"/>
        </w:trPr>
        <w:tc>
          <w:tcPr>
            <w:tcW w:w="2177"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0135FA" w:rsidRDefault="000135FA" w:rsidP="000135FA">
            <w:pPr>
              <w:pStyle w:val="TableHeading1"/>
              <w:rPr>
                <w:lang w:val="en-GB"/>
              </w:rPr>
            </w:pPr>
            <w:r>
              <w:rPr>
                <w:lang w:val="en-GB"/>
              </w:rPr>
              <w:t>Services</w:t>
            </w:r>
          </w:p>
        </w:tc>
        <w:tc>
          <w:tcPr>
            <w:tcW w:w="82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0135FA" w:rsidRDefault="000135FA" w:rsidP="000135FA">
            <w:pPr>
              <w:pStyle w:val="TableDataEntries"/>
              <w:rPr>
                <w:lang w:val="en-GB"/>
              </w:rPr>
            </w:pPr>
          </w:p>
        </w:tc>
        <w:tc>
          <w:tcPr>
            <w:tcW w:w="82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0135FA" w:rsidRDefault="000135FA" w:rsidP="000135FA">
            <w:pPr>
              <w:pStyle w:val="TableDataEntries"/>
              <w:rPr>
                <w:lang w:val="en-GB"/>
              </w:rPr>
            </w:pPr>
          </w:p>
        </w:tc>
        <w:tc>
          <w:tcPr>
            <w:tcW w:w="82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0135FA" w:rsidRDefault="000135FA" w:rsidP="000135FA">
            <w:pPr>
              <w:pStyle w:val="TableDataEntries"/>
              <w:rPr>
                <w:lang w:val="en-GB"/>
              </w:rPr>
            </w:pPr>
          </w:p>
        </w:tc>
        <w:tc>
          <w:tcPr>
            <w:tcW w:w="824"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0135FA" w:rsidRDefault="000135FA" w:rsidP="000135FA">
            <w:pPr>
              <w:pStyle w:val="TableDataEntries"/>
              <w:rPr>
                <w:lang w:val="en-GB"/>
              </w:rPr>
            </w:pPr>
          </w:p>
        </w:tc>
        <w:tc>
          <w:tcPr>
            <w:tcW w:w="82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0135FA" w:rsidRDefault="000135FA" w:rsidP="000135FA">
            <w:pPr>
              <w:pStyle w:val="TableDataEntries"/>
              <w:rPr>
                <w:lang w:val="en-GB"/>
              </w:rPr>
            </w:pPr>
          </w:p>
        </w:tc>
        <w:tc>
          <w:tcPr>
            <w:tcW w:w="82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0135FA" w:rsidRDefault="000135FA" w:rsidP="000135FA">
            <w:pPr>
              <w:pStyle w:val="TableDataEntries"/>
              <w:rPr>
                <w:lang w:val="en-GB"/>
              </w:rPr>
            </w:pPr>
          </w:p>
        </w:tc>
        <w:tc>
          <w:tcPr>
            <w:tcW w:w="82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0135FA" w:rsidRDefault="000135FA" w:rsidP="000135FA">
            <w:pPr>
              <w:pStyle w:val="TableDataEntries"/>
              <w:rPr>
                <w:lang w:val="en-GB"/>
              </w:rPr>
            </w:pPr>
          </w:p>
        </w:tc>
      </w:tr>
      <w:tr w:rsidR="000135FA" w:rsidTr="00301B6D">
        <w:trPr>
          <w:trHeight w:val="230"/>
        </w:trPr>
        <w:tc>
          <w:tcPr>
            <w:tcW w:w="217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0135FA" w:rsidRDefault="000135FA" w:rsidP="000135FA">
            <w:pPr>
              <w:pStyle w:val="TableDataEntries"/>
              <w:jc w:val="left"/>
              <w:rPr>
                <w:lang w:val="en-GB"/>
              </w:rPr>
            </w:pPr>
            <w:r>
              <w:rPr>
                <w:lang w:val="en-GB"/>
              </w:rPr>
              <w:t>FCU</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- 65.1</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xml:space="preserve"> 29.0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- 101.3</w:t>
            </w:r>
          </w:p>
        </w:tc>
        <w:tc>
          <w:tcPr>
            <w:tcW w:w="8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- 32.3</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xml:space="preserve"> 28.4</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- 41.2</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- 87.7</w:t>
            </w:r>
          </w:p>
        </w:tc>
      </w:tr>
      <w:tr w:rsidR="000135FA" w:rsidTr="00301B6D">
        <w:trPr>
          <w:trHeight w:val="230"/>
        </w:trPr>
        <w:tc>
          <w:tcPr>
            <w:tcW w:w="217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0135FA" w:rsidRDefault="000135FA" w:rsidP="000135FA">
            <w:pPr>
              <w:pStyle w:val="TableDataEntries"/>
              <w:jc w:val="left"/>
              <w:rPr>
                <w:lang w:val="en-GB"/>
              </w:rPr>
            </w:pPr>
            <w:r>
              <w:rPr>
                <w:lang w:val="en-GB"/>
              </w:rPr>
              <w:t>Cooling Tower</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- 1.3</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xml:space="preserve"> 4.9</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- 5.4</w:t>
            </w:r>
          </w:p>
        </w:tc>
        <w:tc>
          <w:tcPr>
            <w:tcW w:w="8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- 1.4</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xml:space="preserve"> 7.0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xml:space="preserve"> 2.5</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xml:space="preserve"> 1.4</w:t>
            </w:r>
          </w:p>
        </w:tc>
      </w:tr>
      <w:tr w:rsidR="000135FA" w:rsidTr="00301B6D">
        <w:trPr>
          <w:trHeight w:val="230"/>
        </w:trPr>
        <w:tc>
          <w:tcPr>
            <w:tcW w:w="217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0135FA" w:rsidRDefault="000135FA" w:rsidP="000135FA">
            <w:pPr>
              <w:pStyle w:val="TableDataEntries"/>
              <w:jc w:val="left"/>
              <w:rPr>
                <w:lang w:val="en-GB"/>
              </w:rPr>
            </w:pPr>
            <w:r>
              <w:rPr>
                <w:lang w:val="en-GB"/>
              </w:rPr>
              <w:t>Chiller</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- 2.2</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- 3.3</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- 9.3</w:t>
            </w:r>
          </w:p>
        </w:tc>
        <w:tc>
          <w:tcPr>
            <w:tcW w:w="8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- 3.4</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- 0.5</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- 3.5</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- 5.5</w:t>
            </w:r>
          </w:p>
        </w:tc>
      </w:tr>
      <w:tr w:rsidR="000135FA" w:rsidTr="00301B6D">
        <w:trPr>
          <w:trHeight w:val="230"/>
        </w:trPr>
        <w:tc>
          <w:tcPr>
            <w:tcW w:w="217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0135FA" w:rsidRDefault="000135FA" w:rsidP="000135FA">
            <w:pPr>
              <w:pStyle w:val="TableDataEntries"/>
              <w:jc w:val="left"/>
              <w:rPr>
                <w:lang w:val="en-GB"/>
              </w:rPr>
            </w:pPr>
            <w:r>
              <w:rPr>
                <w:lang w:val="en-GB"/>
              </w:rPr>
              <w:t>Boiler</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- 0.4</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xml:space="preserve"> 2.2</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- 1.9</w:t>
            </w:r>
          </w:p>
        </w:tc>
        <w:tc>
          <w:tcPr>
            <w:tcW w:w="8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- 0.4</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xml:space="preserve"> 2.6</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xml:space="preserve"> 0.9</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- 0.2</w:t>
            </w:r>
          </w:p>
        </w:tc>
      </w:tr>
      <w:tr w:rsidR="000135FA" w:rsidTr="00301B6D">
        <w:trPr>
          <w:trHeight w:val="230"/>
        </w:trPr>
        <w:tc>
          <w:tcPr>
            <w:tcW w:w="217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0135FA" w:rsidRDefault="000135FA" w:rsidP="000135FA">
            <w:pPr>
              <w:pStyle w:val="TableDataEntries"/>
              <w:jc w:val="left"/>
              <w:rPr>
                <w:lang w:val="en-GB"/>
              </w:rPr>
            </w:pPr>
            <w:r>
              <w:rPr>
                <w:lang w:val="en-GB"/>
              </w:rPr>
              <w:t>Economy Cycle</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xml:space="preserve"> 65.7</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xml:space="preserve"> 76.2</w:t>
            </w:r>
          </w:p>
        </w:tc>
        <w:tc>
          <w:tcPr>
            <w:tcW w:w="8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xml:space="preserve"> 4.4</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xml:space="preserve"> 12.8</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xml:space="preserve"> 2.8</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- 1.5</w:t>
            </w:r>
          </w:p>
        </w:tc>
      </w:tr>
      <w:tr w:rsidR="000135FA" w:rsidTr="00301B6D">
        <w:trPr>
          <w:trHeight w:val="230"/>
        </w:trPr>
        <w:tc>
          <w:tcPr>
            <w:tcW w:w="217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0135FA" w:rsidRDefault="000135FA" w:rsidP="000135FA">
            <w:pPr>
              <w:pStyle w:val="TableDataEntries"/>
              <w:jc w:val="left"/>
              <w:rPr>
                <w:lang w:val="en-GB"/>
              </w:rPr>
            </w:pPr>
            <w:r>
              <w:rPr>
                <w:lang w:val="en-GB"/>
              </w:rPr>
              <w:t>CO</w:t>
            </w:r>
            <w:r w:rsidRPr="00925F45">
              <w:rPr>
                <w:vertAlign w:val="subscript"/>
                <w:lang w:val="en-GB"/>
              </w:rPr>
              <w:t>2</w:t>
            </w:r>
            <w:r>
              <w:rPr>
                <w:lang w:val="en-GB"/>
              </w:rPr>
              <w:t xml:space="preserve"> Sensor</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- 20.4</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- 20.4</w:t>
            </w:r>
          </w:p>
        </w:tc>
        <w:tc>
          <w:tcPr>
            <w:tcW w:w="8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- 20.4</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- 20.4</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- 20.4</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- 20.4</w:t>
            </w:r>
          </w:p>
        </w:tc>
      </w:tr>
      <w:tr w:rsidR="000135FA" w:rsidTr="000135FA">
        <w:trPr>
          <w:trHeight w:val="230"/>
        </w:trPr>
        <w:tc>
          <w:tcPr>
            <w:tcW w:w="217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0135FA" w:rsidRDefault="000135FA" w:rsidP="000135FA">
            <w:pPr>
              <w:pStyle w:val="TableDataEntries"/>
              <w:jc w:val="left"/>
              <w:rPr>
                <w:lang w:val="en-GB"/>
              </w:rPr>
            </w:pPr>
            <w:r>
              <w:rPr>
                <w:lang w:val="en-GB"/>
              </w:rPr>
              <w:t>Lighting</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xml:space="preserve"> 0.0</w:t>
            </w:r>
          </w:p>
        </w:tc>
        <w:tc>
          <w:tcPr>
            <w:tcW w:w="8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xml:space="preserve"> 0.0</w:t>
            </w:r>
          </w:p>
        </w:tc>
      </w:tr>
      <w:tr w:rsidR="000135FA" w:rsidTr="000135FA">
        <w:trPr>
          <w:trHeight w:val="230"/>
        </w:trPr>
        <w:tc>
          <w:tcPr>
            <w:tcW w:w="217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0135FA" w:rsidRDefault="000135FA" w:rsidP="000135FA">
            <w:pPr>
              <w:pStyle w:val="TableDataEntries"/>
              <w:jc w:val="left"/>
              <w:rPr>
                <w:lang w:val="en-GB"/>
              </w:rPr>
            </w:pPr>
            <w:r>
              <w:rPr>
                <w:lang w:val="en-GB"/>
              </w:rPr>
              <w:t>Lifts</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xml:space="preserve"> 0.0</w:t>
            </w:r>
          </w:p>
        </w:tc>
        <w:tc>
          <w:tcPr>
            <w:tcW w:w="8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Default="000135FA" w:rsidP="000135FA">
            <w:pPr>
              <w:pStyle w:val="TableDataEntries"/>
              <w:rPr>
                <w:lang w:val="en-GB"/>
              </w:rPr>
            </w:pPr>
            <w:r>
              <w:t xml:space="preserve"> 0.0</w:t>
            </w:r>
          </w:p>
        </w:tc>
      </w:tr>
      <w:tr w:rsidR="000135FA" w:rsidRPr="000135FA" w:rsidTr="000135FA">
        <w:trPr>
          <w:trHeight w:val="230"/>
        </w:trPr>
        <w:tc>
          <w:tcPr>
            <w:tcW w:w="217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0135FA" w:rsidRPr="000135FA" w:rsidRDefault="000135FA" w:rsidP="000135FA">
            <w:pPr>
              <w:pStyle w:val="TableDataEntries"/>
              <w:jc w:val="left"/>
              <w:rPr>
                <w:rFonts w:ascii="Franklin Gothic Demi" w:hAnsi="Franklin Gothic Demi"/>
                <w:lang w:val="en-GB"/>
              </w:rPr>
            </w:pPr>
            <w:r w:rsidRPr="000135FA">
              <w:rPr>
                <w:rFonts w:ascii="Franklin Gothic Demi" w:hAnsi="Franklin Gothic Demi"/>
                <w:lang w:val="en-GB"/>
              </w:rPr>
              <w:t>Services total</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Pr="000135FA" w:rsidRDefault="000135FA" w:rsidP="000135FA">
            <w:pPr>
              <w:pStyle w:val="TableDataEntries"/>
              <w:rPr>
                <w:rFonts w:ascii="Franklin Gothic Demi" w:hAnsi="Franklin Gothic Demi"/>
                <w:lang w:val="en-GB"/>
              </w:rPr>
            </w:pPr>
            <w:r w:rsidRPr="000135FA">
              <w:rPr>
                <w:rFonts w:ascii="Franklin Gothic Demi" w:hAnsi="Franklin Gothic Demi"/>
              </w:rPr>
              <w:t>- 89.3</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Pr="000135FA" w:rsidRDefault="000135FA" w:rsidP="000135FA">
            <w:pPr>
              <w:pStyle w:val="TableDataEntries"/>
              <w:rPr>
                <w:rFonts w:ascii="Franklin Gothic Demi" w:hAnsi="Franklin Gothic Demi"/>
                <w:lang w:val="en-GB"/>
              </w:rPr>
            </w:pPr>
            <w:r w:rsidRPr="000135FA">
              <w:rPr>
                <w:rFonts w:ascii="Franklin Gothic Demi" w:hAnsi="Franklin Gothic Demi"/>
              </w:rPr>
              <w:t xml:space="preserve"> 98.5</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Pr="000135FA" w:rsidRDefault="000135FA" w:rsidP="000135FA">
            <w:pPr>
              <w:pStyle w:val="TableDataEntries"/>
              <w:rPr>
                <w:rFonts w:ascii="Franklin Gothic Demi" w:hAnsi="Franklin Gothic Demi"/>
                <w:lang w:val="en-GB"/>
              </w:rPr>
            </w:pPr>
            <w:r w:rsidRPr="000135FA">
              <w:rPr>
                <w:rFonts w:ascii="Franklin Gothic Demi" w:hAnsi="Franklin Gothic Demi"/>
              </w:rPr>
              <w:t>- 62.1</w:t>
            </w:r>
          </w:p>
        </w:tc>
        <w:tc>
          <w:tcPr>
            <w:tcW w:w="8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Pr="000135FA" w:rsidRDefault="000135FA" w:rsidP="000135FA">
            <w:pPr>
              <w:pStyle w:val="TableDataEntries"/>
              <w:rPr>
                <w:rFonts w:ascii="Franklin Gothic Demi" w:hAnsi="Franklin Gothic Demi"/>
                <w:lang w:val="en-GB"/>
              </w:rPr>
            </w:pPr>
            <w:r w:rsidRPr="000135FA">
              <w:rPr>
                <w:rFonts w:ascii="Franklin Gothic Demi" w:hAnsi="Franklin Gothic Demi"/>
              </w:rPr>
              <w:t>- 53.5</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Pr="000135FA" w:rsidRDefault="000135FA" w:rsidP="000135FA">
            <w:pPr>
              <w:pStyle w:val="TableDataEntries"/>
              <w:rPr>
                <w:rFonts w:ascii="Franklin Gothic Demi" w:hAnsi="Franklin Gothic Demi"/>
                <w:lang w:val="en-GB"/>
              </w:rPr>
            </w:pPr>
            <w:r w:rsidRPr="000135FA">
              <w:rPr>
                <w:rFonts w:ascii="Franklin Gothic Demi" w:hAnsi="Franklin Gothic Demi"/>
              </w:rPr>
              <w:t xml:space="preserve"> 29.9</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Pr="000135FA" w:rsidRDefault="000135FA" w:rsidP="000135FA">
            <w:pPr>
              <w:pStyle w:val="TableDataEntries"/>
              <w:rPr>
                <w:rFonts w:ascii="Franklin Gothic Demi" w:hAnsi="Franklin Gothic Demi"/>
                <w:lang w:val="en-GB"/>
              </w:rPr>
            </w:pPr>
            <w:r w:rsidRPr="000135FA">
              <w:rPr>
                <w:rFonts w:ascii="Franklin Gothic Demi" w:hAnsi="Franklin Gothic Demi"/>
              </w:rPr>
              <w:t>- 58.8</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0135FA" w:rsidRPr="000135FA" w:rsidRDefault="000135FA" w:rsidP="000135FA">
            <w:pPr>
              <w:pStyle w:val="TableDataEntries"/>
              <w:rPr>
                <w:rFonts w:ascii="Franklin Gothic Demi" w:hAnsi="Franklin Gothic Demi"/>
                <w:lang w:val="en-GB"/>
              </w:rPr>
            </w:pPr>
            <w:r w:rsidRPr="000135FA">
              <w:rPr>
                <w:rFonts w:ascii="Franklin Gothic Demi" w:hAnsi="Franklin Gothic Demi"/>
              </w:rPr>
              <w:t>- 113.8</w:t>
            </w:r>
          </w:p>
        </w:tc>
      </w:tr>
      <w:tr w:rsidR="000135FA" w:rsidRPr="000135FA" w:rsidTr="00301B6D">
        <w:trPr>
          <w:trHeight w:val="230"/>
        </w:trPr>
        <w:tc>
          <w:tcPr>
            <w:tcW w:w="2177"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rsidR="000135FA" w:rsidRPr="000135FA" w:rsidRDefault="000135FA" w:rsidP="000135FA">
            <w:pPr>
              <w:pStyle w:val="TableDataEntries"/>
              <w:jc w:val="left"/>
              <w:rPr>
                <w:rFonts w:ascii="Franklin Gothic Demi" w:hAnsi="Franklin Gothic Demi"/>
                <w:lang w:val="en-GB"/>
              </w:rPr>
            </w:pPr>
            <w:r w:rsidRPr="000135FA">
              <w:rPr>
                <w:rFonts w:ascii="Franklin Gothic Demi" w:hAnsi="Franklin Gothic Demi"/>
                <w:lang w:val="en-GB"/>
              </w:rPr>
              <w:t>Total</w:t>
            </w:r>
          </w:p>
        </w:tc>
        <w:tc>
          <w:tcPr>
            <w:tcW w:w="82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0135FA" w:rsidRPr="000135FA" w:rsidRDefault="000135FA" w:rsidP="000135FA">
            <w:pPr>
              <w:pStyle w:val="TableDataEntries"/>
              <w:rPr>
                <w:rFonts w:ascii="Franklin Gothic Demi" w:hAnsi="Franklin Gothic Demi"/>
                <w:lang w:val="en-GB"/>
              </w:rPr>
            </w:pPr>
            <w:r w:rsidRPr="000135FA">
              <w:rPr>
                <w:rFonts w:ascii="Franklin Gothic Demi" w:hAnsi="Franklin Gothic Demi"/>
              </w:rPr>
              <w:t>- 87.4</w:t>
            </w:r>
          </w:p>
        </w:tc>
        <w:tc>
          <w:tcPr>
            <w:tcW w:w="82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0135FA" w:rsidRPr="000135FA" w:rsidRDefault="000135FA" w:rsidP="000135FA">
            <w:pPr>
              <w:pStyle w:val="TableDataEntries"/>
              <w:rPr>
                <w:rFonts w:ascii="Franklin Gothic Demi" w:hAnsi="Franklin Gothic Demi"/>
                <w:lang w:val="en-GB"/>
              </w:rPr>
            </w:pPr>
            <w:r w:rsidRPr="000135FA">
              <w:rPr>
                <w:rFonts w:ascii="Franklin Gothic Demi" w:hAnsi="Franklin Gothic Demi"/>
              </w:rPr>
              <w:t>- 23.5</w:t>
            </w:r>
          </w:p>
        </w:tc>
        <w:tc>
          <w:tcPr>
            <w:tcW w:w="82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0135FA" w:rsidRPr="000135FA" w:rsidRDefault="000135FA" w:rsidP="000135FA">
            <w:pPr>
              <w:pStyle w:val="TableDataEntries"/>
              <w:rPr>
                <w:rFonts w:ascii="Franklin Gothic Demi" w:hAnsi="Franklin Gothic Demi"/>
                <w:lang w:val="en-GB"/>
              </w:rPr>
            </w:pPr>
            <w:r w:rsidRPr="000135FA">
              <w:rPr>
                <w:rFonts w:ascii="Franklin Gothic Demi" w:hAnsi="Franklin Gothic Demi"/>
              </w:rPr>
              <w:t>- 111.8</w:t>
            </w:r>
          </w:p>
        </w:tc>
        <w:tc>
          <w:tcPr>
            <w:tcW w:w="824"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0135FA" w:rsidRPr="000135FA" w:rsidRDefault="000135FA" w:rsidP="000135FA">
            <w:pPr>
              <w:pStyle w:val="TableDataEntries"/>
              <w:rPr>
                <w:rFonts w:ascii="Franklin Gothic Demi" w:hAnsi="Franklin Gothic Demi"/>
                <w:lang w:val="en-GB"/>
              </w:rPr>
            </w:pPr>
            <w:r w:rsidRPr="000135FA">
              <w:rPr>
                <w:rFonts w:ascii="Franklin Gothic Demi" w:hAnsi="Franklin Gothic Demi"/>
              </w:rPr>
              <w:t>- 64.1</w:t>
            </w:r>
          </w:p>
        </w:tc>
        <w:tc>
          <w:tcPr>
            <w:tcW w:w="82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0135FA" w:rsidRPr="000135FA" w:rsidRDefault="000135FA" w:rsidP="000135FA">
            <w:pPr>
              <w:pStyle w:val="TableDataEntries"/>
              <w:rPr>
                <w:rFonts w:ascii="Franklin Gothic Demi" w:hAnsi="Franklin Gothic Demi"/>
                <w:lang w:val="en-GB"/>
              </w:rPr>
            </w:pPr>
            <w:r w:rsidRPr="000135FA">
              <w:rPr>
                <w:rFonts w:ascii="Franklin Gothic Demi" w:hAnsi="Franklin Gothic Demi"/>
              </w:rPr>
              <w:t>- 99.4</w:t>
            </w:r>
          </w:p>
        </w:tc>
        <w:tc>
          <w:tcPr>
            <w:tcW w:w="82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0135FA" w:rsidRPr="000135FA" w:rsidRDefault="000135FA" w:rsidP="000135FA">
            <w:pPr>
              <w:pStyle w:val="TableDataEntries"/>
              <w:rPr>
                <w:rFonts w:ascii="Franklin Gothic Demi" w:hAnsi="Franklin Gothic Demi"/>
                <w:lang w:val="en-GB"/>
              </w:rPr>
            </w:pPr>
            <w:r w:rsidRPr="000135FA">
              <w:rPr>
                <w:rFonts w:ascii="Franklin Gothic Demi" w:hAnsi="Franklin Gothic Demi"/>
              </w:rPr>
              <w:t>- 47.6</w:t>
            </w:r>
          </w:p>
        </w:tc>
        <w:tc>
          <w:tcPr>
            <w:tcW w:w="82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0135FA" w:rsidRPr="000135FA" w:rsidRDefault="000135FA" w:rsidP="000135FA">
            <w:pPr>
              <w:pStyle w:val="TableDataEntries"/>
              <w:rPr>
                <w:rFonts w:ascii="Franklin Gothic Demi" w:hAnsi="Franklin Gothic Demi"/>
                <w:lang w:val="en-GB"/>
              </w:rPr>
            </w:pPr>
            <w:r w:rsidRPr="000135FA">
              <w:rPr>
                <w:rFonts w:ascii="Franklin Gothic Demi" w:hAnsi="Franklin Gothic Demi"/>
              </w:rPr>
              <w:t>- 15.5</w:t>
            </w:r>
          </w:p>
        </w:tc>
      </w:tr>
    </w:tbl>
    <w:p w:rsidR="00612FD3" w:rsidRPr="00E4232C" w:rsidRDefault="00612FD3" w:rsidP="00612FD3">
      <w:pPr>
        <w:pStyle w:val="Note"/>
      </w:pPr>
    </w:p>
    <w:p w:rsidR="00612FD3" w:rsidRDefault="00612FD3" w:rsidP="00612FD3">
      <w:pPr>
        <w:pStyle w:val="Note"/>
        <w:rPr>
          <w:lang w:bidi="fa-IR"/>
        </w:rPr>
      </w:pPr>
      <w:r w:rsidRPr="007D1B4F">
        <w:rPr>
          <w:i/>
        </w:rPr>
        <w:t>Note:</w:t>
      </w:r>
      <w:r w:rsidRPr="00E879B8">
        <w:t xml:space="preserve"> </w:t>
      </w:r>
      <w:r w:rsidR="00C50E98">
        <w:t>Cost increases are reported as a negative value and cost savings are reported as a positive value.</w:t>
      </w:r>
    </w:p>
    <w:p w:rsidR="00612FD3" w:rsidRDefault="00612FD3" w:rsidP="00612FD3">
      <w:pPr>
        <w:pStyle w:val="Source"/>
        <w:rPr>
          <w:lang w:bidi="fa-IR"/>
        </w:rPr>
      </w:pPr>
      <w:r w:rsidRPr="00593EDD">
        <w:rPr>
          <w:i/>
          <w:lang w:bidi="fa-IR"/>
        </w:rPr>
        <w:t>Source:</w:t>
      </w:r>
      <w:r>
        <w:rPr>
          <w:lang w:bidi="fa-IR"/>
        </w:rPr>
        <w:t xml:space="preserve"> </w:t>
      </w:r>
      <w:r w:rsidR="003F28DD">
        <w:rPr>
          <w:lang w:bidi="fa-IR"/>
        </w:rPr>
        <w:t>EA</w:t>
      </w:r>
      <w:r>
        <w:rPr>
          <w:lang w:bidi="fa-IR"/>
        </w:rPr>
        <w:t xml:space="preserve"> modelling.</w:t>
      </w:r>
    </w:p>
    <w:p w:rsidR="00612FD3" w:rsidRDefault="006158B1" w:rsidP="00612FD3">
      <w:pPr>
        <w:pStyle w:val="BodyText"/>
        <w:rPr>
          <w:lang w:eastAsia="en-US"/>
        </w:rPr>
      </w:pPr>
      <w:r>
        <w:rPr>
          <w:lang w:eastAsia="en-US"/>
        </w:rPr>
        <w:t>For the more extensively</w:t>
      </w:r>
      <w:r>
        <w:rPr>
          <w:lang w:eastAsia="en-US"/>
        </w:rPr>
        <w:noBreakHyphen/>
        <w:t>glazed office building, c</w:t>
      </w:r>
      <w:r w:rsidR="00612FD3">
        <w:rPr>
          <w:lang w:eastAsia="en-US"/>
        </w:rPr>
        <w:t xml:space="preserve">onstruction costs are estimated to be higher in </w:t>
      </w:r>
      <w:r w:rsidR="00E31EE8">
        <w:rPr>
          <w:lang w:eastAsia="en-US"/>
        </w:rPr>
        <w:t>Climate Zone</w:t>
      </w:r>
      <w:r w:rsidR="00612FD3">
        <w:rPr>
          <w:lang w:eastAsia="en-US"/>
        </w:rPr>
        <w:t>s 2, 3 and 5 due mainly to higher glazing and FCU costs (table </w:t>
      </w:r>
      <w:r w:rsidR="00C07C84">
        <w:rPr>
          <w:lang w:eastAsia="en-US"/>
        </w:rPr>
        <w:fldChar w:fldCharType="begin"/>
      </w:r>
      <w:r w:rsidR="00C07C84">
        <w:rPr>
          <w:lang w:eastAsia="en-US"/>
        </w:rPr>
        <w:instrText xml:space="preserve"> REF _Caption6568 </w:instrText>
      </w:r>
      <w:r w:rsidR="00C07C84">
        <w:rPr>
          <w:lang w:eastAsia="en-US"/>
        </w:rPr>
        <w:fldChar w:fldCharType="separate"/>
      </w:r>
      <w:r w:rsidR="006B79B8">
        <w:rPr>
          <w:noProof/>
        </w:rPr>
        <w:t>5</w:t>
      </w:r>
      <w:r w:rsidR="006B79B8" w:rsidRPr="006158B1">
        <w:rPr>
          <w:noProof/>
        </w:rPr>
        <w:t>.</w:t>
      </w:r>
      <w:r w:rsidR="006B79B8">
        <w:rPr>
          <w:noProof/>
        </w:rPr>
        <w:t>4</w:t>
      </w:r>
      <w:r w:rsidR="00C07C84">
        <w:rPr>
          <w:lang w:eastAsia="en-US"/>
        </w:rPr>
        <w:fldChar w:fldCharType="end"/>
      </w:r>
      <w:r w:rsidR="00612FD3">
        <w:rPr>
          <w:lang w:eastAsia="en-US"/>
        </w:rPr>
        <w:t xml:space="preserve">). The increase in glazing costs are estimated to be particularly pronounced in </w:t>
      </w:r>
      <w:r w:rsidR="00E31EE8">
        <w:rPr>
          <w:lang w:eastAsia="en-US"/>
        </w:rPr>
        <w:t>Climate Zone</w:t>
      </w:r>
      <w:r w:rsidR="00612FD3">
        <w:rPr>
          <w:lang w:eastAsia="en-US"/>
        </w:rPr>
        <w:t xml:space="preserve"> 3, where high performance double glazing would be required on all facades; by contrast, the modelling suggests that low performance double glazing is permitted under the existing code (and single glazing on the south façade).</w:t>
      </w:r>
    </w:p>
    <w:p w:rsidR="00612FD3" w:rsidRDefault="00612FD3" w:rsidP="00612FD3">
      <w:pPr>
        <w:pStyle w:val="BodyText"/>
        <w:rPr>
          <w:lang w:eastAsia="en-US"/>
        </w:rPr>
      </w:pPr>
      <w:r>
        <w:rPr>
          <w:lang w:eastAsia="en-US"/>
        </w:rPr>
        <w:t xml:space="preserve">On the other hand, the cost of complying with the revised code is estimated to be lower in the remaining </w:t>
      </w:r>
      <w:r w:rsidR="00E31EE8">
        <w:rPr>
          <w:lang w:eastAsia="en-US"/>
        </w:rPr>
        <w:t>Climate Zone</w:t>
      </w:r>
      <w:r>
        <w:rPr>
          <w:lang w:eastAsia="en-US"/>
        </w:rPr>
        <w:t>s.</w:t>
      </w:r>
    </w:p>
    <w:p w:rsidR="00612FD3" w:rsidRDefault="00612FD3" w:rsidP="00612FD3">
      <w:pPr>
        <w:pStyle w:val="ListBullet"/>
        <w:numPr>
          <w:ilvl w:val="0"/>
          <w:numId w:val="36"/>
        </w:numPr>
        <w:rPr>
          <w:lang w:eastAsia="en-US"/>
        </w:rPr>
      </w:pPr>
      <w:r>
        <w:rPr>
          <w:lang w:eastAsia="en-US"/>
        </w:rPr>
        <w:t>This is mainly driven by glazing cost savings. The modelling suggests that low performance double glazing would be the lowest cost compliant option under the revised code. However, under the existing code, high performance double glazing would be required on at least some facades.</w:t>
      </w:r>
    </w:p>
    <w:p w:rsidR="00612FD3" w:rsidRDefault="00612FD3" w:rsidP="00612FD3">
      <w:pPr>
        <w:pStyle w:val="ListBullet"/>
        <w:numPr>
          <w:ilvl w:val="0"/>
          <w:numId w:val="36"/>
        </w:numPr>
        <w:rPr>
          <w:lang w:eastAsia="en-US"/>
        </w:rPr>
      </w:pPr>
      <w:r>
        <w:rPr>
          <w:lang w:eastAsia="en-US"/>
        </w:rPr>
        <w:t>These cost savings are partly offset by higher services costs (mainly FCUs).</w:t>
      </w:r>
    </w:p>
    <w:p w:rsidR="00612FD3" w:rsidRDefault="00612FD3" w:rsidP="00612FD3">
      <w:pPr>
        <w:pStyle w:val="Caption"/>
      </w:pPr>
      <w:r w:rsidRPr="006158B1">
        <w:fldChar w:fldCharType="begin"/>
      </w:r>
      <w:r w:rsidRPr="006158B1">
        <w:instrText xml:space="preserve"> IF 1 = 1 "</w:instrText>
      </w:r>
      <w:r w:rsidRPr="006158B1">
        <w:fldChar w:fldCharType="begin"/>
      </w:r>
      <w:r w:rsidRPr="006158B1">
        <w:instrText xml:space="preserve"> IF </w:instrText>
      </w:r>
      <w:r w:rsidRPr="006158B1">
        <w:rPr>
          <w:noProof/>
        </w:rPr>
        <w:fldChar w:fldCharType="begin"/>
      </w:r>
      <w:r w:rsidRPr="006158B1">
        <w:rPr>
          <w:noProof/>
        </w:rPr>
        <w:instrText xml:space="preserve"> STYLEREF "Heading 6" \l \n </w:instrText>
      </w:r>
      <w:r w:rsidRPr="006158B1">
        <w:rPr>
          <w:noProof/>
        </w:rPr>
        <w:fldChar w:fldCharType="separate"/>
      </w:r>
      <w:r w:rsidR="00B833F1">
        <w:rPr>
          <w:noProof/>
        </w:rPr>
        <w:instrText>0</w:instrText>
      </w:r>
      <w:r w:rsidRPr="006158B1">
        <w:rPr>
          <w:noProof/>
        </w:rPr>
        <w:fldChar w:fldCharType="end"/>
      </w:r>
      <w:r w:rsidRPr="006158B1">
        <w:instrText xml:space="preserve"> = 0 "</w:instrText>
      </w:r>
      <w:r w:rsidRPr="006158B1">
        <w:fldChar w:fldCharType="begin"/>
      </w:r>
      <w:r w:rsidRPr="006158B1">
        <w:instrText xml:space="preserve"> IF </w:instrText>
      </w:r>
      <w:r w:rsidRPr="006158B1">
        <w:rPr>
          <w:noProof/>
        </w:rPr>
        <w:fldChar w:fldCharType="begin"/>
      </w:r>
      <w:r w:rsidRPr="006158B1">
        <w:rPr>
          <w:noProof/>
        </w:rPr>
        <w:instrText xml:space="preserve"> STYLEREF "Heading 1" \l \n </w:instrText>
      </w:r>
      <w:r w:rsidRPr="006158B1">
        <w:rPr>
          <w:noProof/>
        </w:rPr>
        <w:fldChar w:fldCharType="separate"/>
      </w:r>
      <w:r w:rsidR="00B833F1">
        <w:rPr>
          <w:noProof/>
        </w:rPr>
        <w:instrText>5</w:instrText>
      </w:r>
      <w:r w:rsidRPr="006158B1">
        <w:rPr>
          <w:noProof/>
        </w:rPr>
        <w:fldChar w:fldCharType="end"/>
      </w:r>
      <w:r w:rsidRPr="006158B1">
        <w:instrText xml:space="preserve"> = 0 "" "</w:instrText>
      </w:r>
      <w:r w:rsidRPr="006158B1">
        <w:rPr>
          <w:noProof/>
        </w:rPr>
        <w:fldChar w:fldCharType="begin"/>
      </w:r>
      <w:r w:rsidRPr="006158B1">
        <w:rPr>
          <w:noProof/>
        </w:rPr>
        <w:instrText xml:space="preserve"> STYLEREF "Heading 1" \l \n </w:instrText>
      </w:r>
      <w:r w:rsidRPr="006158B1">
        <w:rPr>
          <w:noProof/>
        </w:rPr>
        <w:fldChar w:fldCharType="separate"/>
      </w:r>
      <w:r w:rsidR="00B833F1">
        <w:rPr>
          <w:noProof/>
        </w:rPr>
        <w:instrText>5</w:instrText>
      </w:r>
      <w:r w:rsidRPr="006158B1">
        <w:rPr>
          <w:noProof/>
        </w:rPr>
        <w:fldChar w:fldCharType="end"/>
      </w:r>
      <w:r w:rsidRPr="006158B1">
        <w:instrText xml:space="preserve">." </w:instrText>
      </w:r>
      <w:r w:rsidRPr="006158B1">
        <w:fldChar w:fldCharType="separate"/>
      </w:r>
      <w:r w:rsidR="00B833F1">
        <w:rPr>
          <w:noProof/>
        </w:rPr>
        <w:instrText>5</w:instrText>
      </w:r>
      <w:r w:rsidR="00B833F1" w:rsidRPr="006158B1">
        <w:rPr>
          <w:noProof/>
        </w:rPr>
        <w:instrText>.</w:instrText>
      </w:r>
      <w:r w:rsidRPr="006158B1">
        <w:fldChar w:fldCharType="end"/>
      </w:r>
      <w:r w:rsidRPr="006158B1">
        <w:instrText>" "</w:instrText>
      </w:r>
      <w:r w:rsidR="001F6F43">
        <w:fldChar w:fldCharType="begin"/>
      </w:r>
      <w:r w:rsidR="001F6F43">
        <w:instrText xml:space="preserve"> STYLEREF "Heading 6" \l \n </w:instrText>
      </w:r>
      <w:r w:rsidR="001F6F43">
        <w:fldChar w:fldCharType="separate"/>
      </w:r>
      <w:r w:rsidRPr="006158B1">
        <w:instrText>B</w:instrText>
      </w:r>
      <w:r w:rsidR="001F6F43">
        <w:fldChar w:fldCharType="end"/>
      </w:r>
      <w:r w:rsidRPr="006158B1">
        <w:instrText xml:space="preserve">." </w:instrText>
      </w:r>
      <w:r w:rsidRPr="006158B1">
        <w:fldChar w:fldCharType="separate"/>
      </w:r>
      <w:r w:rsidR="00EA42ED">
        <w:rPr>
          <w:noProof/>
        </w:rPr>
        <w:instrText>5</w:instrText>
      </w:r>
      <w:r w:rsidR="00EA42ED" w:rsidRPr="006158B1">
        <w:rPr>
          <w:noProof/>
        </w:rPr>
        <w:instrText>.</w:instrText>
      </w:r>
      <w:r w:rsidRPr="006158B1">
        <w:fldChar w:fldCharType="end"/>
      </w:r>
      <w:r w:rsidRPr="006158B1">
        <w:fldChar w:fldCharType="begin"/>
      </w:r>
      <w:r w:rsidRPr="006158B1">
        <w:instrText xml:space="preserve"> SEQ Item \* ARABIC \s </w:instrText>
      </w:r>
      <w:r w:rsidRPr="006158B1">
        <w:fldChar w:fldCharType="begin"/>
      </w:r>
      <w:r w:rsidRPr="006158B1">
        <w:instrText xml:space="preserve"> IF </w:instrText>
      </w:r>
      <w:r w:rsidRPr="006158B1">
        <w:rPr>
          <w:noProof/>
        </w:rPr>
        <w:fldChar w:fldCharType="begin"/>
      </w:r>
      <w:r w:rsidRPr="006158B1">
        <w:rPr>
          <w:noProof/>
        </w:rPr>
        <w:instrText xml:space="preserve"> STYLEREF "Heading 6" \l \n </w:instrText>
      </w:r>
      <w:r w:rsidRPr="006158B1">
        <w:rPr>
          <w:noProof/>
        </w:rPr>
        <w:fldChar w:fldCharType="separate"/>
      </w:r>
      <w:r w:rsidR="00B833F1">
        <w:rPr>
          <w:noProof/>
        </w:rPr>
        <w:instrText>0</w:instrText>
      </w:r>
      <w:r w:rsidRPr="006158B1">
        <w:rPr>
          <w:noProof/>
        </w:rPr>
        <w:fldChar w:fldCharType="end"/>
      </w:r>
      <w:r w:rsidRPr="006158B1">
        <w:instrText xml:space="preserve"> = 0 "</w:instrText>
      </w:r>
      <w:r w:rsidRPr="006158B1">
        <w:fldChar w:fldCharType="begin"/>
      </w:r>
      <w:r w:rsidRPr="006158B1">
        <w:instrText xml:space="preserve"> IF </w:instrText>
      </w:r>
      <w:r w:rsidRPr="006158B1">
        <w:rPr>
          <w:noProof/>
        </w:rPr>
        <w:fldChar w:fldCharType="begin"/>
      </w:r>
      <w:r w:rsidRPr="006158B1">
        <w:rPr>
          <w:noProof/>
        </w:rPr>
        <w:instrText xml:space="preserve"> STYLEREF "Heading 1" \l \n </w:instrText>
      </w:r>
      <w:r w:rsidRPr="006158B1">
        <w:rPr>
          <w:noProof/>
        </w:rPr>
        <w:fldChar w:fldCharType="separate"/>
      </w:r>
      <w:r w:rsidR="00B833F1">
        <w:rPr>
          <w:noProof/>
        </w:rPr>
        <w:instrText>5</w:instrText>
      </w:r>
      <w:r w:rsidRPr="006158B1">
        <w:rPr>
          <w:noProof/>
        </w:rPr>
        <w:fldChar w:fldCharType="end"/>
      </w:r>
      <w:r w:rsidRPr="006158B1">
        <w:instrText xml:space="preserve"> = 0 "" "1" </w:instrText>
      </w:r>
      <w:r w:rsidRPr="006158B1">
        <w:fldChar w:fldCharType="separate"/>
      </w:r>
      <w:r w:rsidR="00EA42ED" w:rsidRPr="006158B1">
        <w:rPr>
          <w:noProof/>
        </w:rPr>
        <w:instrText>1</w:instrText>
      </w:r>
      <w:r w:rsidRPr="006158B1">
        <w:fldChar w:fldCharType="end"/>
      </w:r>
      <w:r w:rsidRPr="006158B1">
        <w:instrText xml:space="preserve">" "6" </w:instrText>
      </w:r>
      <w:r w:rsidRPr="006158B1">
        <w:fldChar w:fldCharType="separate"/>
      </w:r>
      <w:r w:rsidR="00EA42ED" w:rsidRPr="006158B1">
        <w:rPr>
          <w:noProof/>
        </w:rPr>
        <w:instrText>1</w:instrText>
      </w:r>
      <w:r w:rsidRPr="006158B1">
        <w:fldChar w:fldCharType="end"/>
      </w:r>
      <w:r w:rsidRPr="006158B1">
        <w:instrText xml:space="preserve"> </w:instrText>
      </w:r>
      <w:r w:rsidRPr="006158B1">
        <w:fldChar w:fldCharType="separate"/>
      </w:r>
      <w:r w:rsidR="00B833F1">
        <w:rPr>
          <w:noProof/>
        </w:rPr>
        <w:instrText>4</w:instrText>
      </w:r>
      <w:r w:rsidRPr="006158B1">
        <w:fldChar w:fldCharType="end"/>
      </w:r>
      <w:r w:rsidRPr="006158B1">
        <w:instrText xml:space="preserve">" "" </w:instrText>
      </w:r>
      <w:r w:rsidRPr="006158B1">
        <w:fldChar w:fldCharType="separate"/>
      </w:r>
      <w:bookmarkStart w:id="1667" w:name="_Caption7135"/>
      <w:bookmarkStart w:id="1668" w:name="_Caption7275"/>
      <w:bookmarkStart w:id="1669" w:name="_Caption8799"/>
      <w:bookmarkStart w:id="1670" w:name="_Caption1218"/>
      <w:bookmarkStart w:id="1671" w:name="_Caption1287"/>
      <w:bookmarkStart w:id="1672" w:name="_Caption8835"/>
      <w:bookmarkStart w:id="1673" w:name="_Caption4808"/>
      <w:bookmarkStart w:id="1674" w:name="_Caption4919"/>
      <w:bookmarkStart w:id="1675" w:name="_Caption6521"/>
      <w:bookmarkStart w:id="1676" w:name="_Caption1565"/>
      <w:bookmarkStart w:id="1677" w:name="_Caption7752"/>
      <w:bookmarkStart w:id="1678" w:name="_Caption4410"/>
      <w:bookmarkStart w:id="1679" w:name="_Caption6419"/>
      <w:bookmarkStart w:id="1680" w:name="_Caption1265"/>
      <w:bookmarkStart w:id="1681" w:name="_Caption6742"/>
      <w:bookmarkStart w:id="1682" w:name="_Caption8307"/>
      <w:bookmarkStart w:id="1683" w:name="_Caption6707"/>
      <w:bookmarkStart w:id="1684" w:name="_Caption4099"/>
      <w:bookmarkStart w:id="1685" w:name="_Caption7951"/>
      <w:bookmarkStart w:id="1686" w:name="_Caption6440"/>
      <w:bookmarkStart w:id="1687" w:name="_Caption0847"/>
      <w:bookmarkStart w:id="1688" w:name="_Caption5199"/>
      <w:bookmarkStart w:id="1689" w:name="_Caption6397"/>
      <w:bookmarkStart w:id="1690" w:name="_Caption6593"/>
      <w:bookmarkStart w:id="1691" w:name="_Caption7608"/>
      <w:bookmarkStart w:id="1692" w:name="_Caption4106"/>
      <w:bookmarkStart w:id="1693" w:name="_Caption6568"/>
      <w:bookmarkStart w:id="1694" w:name="_Caption7242"/>
      <w:bookmarkStart w:id="1695" w:name="_Caption8996"/>
      <w:bookmarkStart w:id="1696" w:name="_Caption8951"/>
      <w:bookmarkStart w:id="1697" w:name="_Caption3234"/>
      <w:bookmarkStart w:id="1698" w:name="_Caption0686"/>
      <w:bookmarkStart w:id="1699" w:name="_Caption0029"/>
      <w:bookmarkStart w:id="1700" w:name="_Caption0338"/>
      <w:bookmarkStart w:id="1701" w:name="_Caption3287"/>
      <w:bookmarkStart w:id="1702" w:name="_Caption2180"/>
      <w:bookmarkStart w:id="1703" w:name="_Caption7729"/>
      <w:bookmarkStart w:id="1704" w:name="_Caption2862"/>
      <w:bookmarkStart w:id="1705" w:name="_Caption2578"/>
      <w:bookmarkStart w:id="1706" w:name="_Caption4453"/>
      <w:bookmarkStart w:id="1707" w:name="_Caption6722"/>
      <w:bookmarkStart w:id="1708" w:name="_Caption8893"/>
      <w:bookmarkStart w:id="1709" w:name="_Caption7476"/>
      <w:bookmarkStart w:id="1710" w:name="_Caption1930"/>
      <w:bookmarkStart w:id="1711" w:name="_Caption1462"/>
      <w:bookmarkStart w:id="1712" w:name="_Caption9267"/>
      <w:bookmarkStart w:id="1713" w:name="_Caption3667"/>
      <w:bookmarkStart w:id="1714" w:name="_Caption2439"/>
      <w:bookmarkStart w:id="1715" w:name="_Caption8459"/>
      <w:bookmarkStart w:id="1716" w:name="_Caption1910"/>
      <w:bookmarkStart w:id="1717" w:name="_Caption1317"/>
      <w:bookmarkStart w:id="1718" w:name="_Caption9818"/>
      <w:bookmarkStart w:id="1719" w:name="_Caption3026"/>
      <w:bookmarkStart w:id="1720" w:name="_Caption8054"/>
      <w:bookmarkStart w:id="1721" w:name="_Caption6103"/>
      <w:bookmarkStart w:id="1722" w:name="_Caption6071"/>
      <w:bookmarkStart w:id="1723" w:name="_Caption1988"/>
      <w:bookmarkStart w:id="1724" w:name="_Caption3325"/>
      <w:bookmarkStart w:id="1725" w:name="_Caption5956"/>
      <w:bookmarkStart w:id="1726" w:name="_Caption4811"/>
      <w:bookmarkStart w:id="1727" w:name="_Caption0234"/>
      <w:bookmarkStart w:id="1728" w:name="_Caption6033"/>
      <w:bookmarkStart w:id="1729" w:name="_Caption8792"/>
      <w:bookmarkStart w:id="1730" w:name="_Caption5454"/>
      <w:bookmarkStart w:id="1731" w:name="_Caption8218"/>
      <w:bookmarkStart w:id="1732" w:name="_Caption9757"/>
      <w:bookmarkStart w:id="1733" w:name="_Caption7579"/>
      <w:bookmarkStart w:id="1734" w:name="_Toc529869912"/>
      <w:bookmarkStart w:id="1735" w:name="_Toc530748408"/>
      <w:r w:rsidR="00EA42ED">
        <w:rPr>
          <w:noProof/>
        </w:rPr>
        <w:t>5</w:t>
      </w:r>
      <w:r w:rsidR="00EA42ED" w:rsidRPr="006158B1">
        <w:rPr>
          <w:noProof/>
        </w:rPr>
        <w:t>.</w:t>
      </w:r>
      <w:r w:rsidR="00EA42ED">
        <w:rPr>
          <w:noProof/>
        </w:rPr>
        <w:t>4</w:t>
      </w:r>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r w:rsidRPr="006158B1">
        <w:fldChar w:fldCharType="end"/>
      </w:r>
      <w:r w:rsidRPr="006158B1">
        <w:tab/>
        <w:t>Change in construction costs — office building (5A) with 56 per cent WWR</w:t>
      </w:r>
      <w:bookmarkEnd w:id="1734"/>
      <w:bookmarkEnd w:id="1735"/>
    </w:p>
    <w:tbl>
      <w:tblPr>
        <w:tblW w:w="7939" w:type="dxa"/>
        <w:tblLayout w:type="fixed"/>
        <w:tblLook w:val="0000" w:firstRow="0" w:lastRow="0" w:firstColumn="0" w:lastColumn="0" w:noHBand="0" w:noVBand="0"/>
        <w:tblCaption w:val="Table 5.4: Change in construction costs - office buildings (5A) with 56% WWR. "/>
        <w:tblDescription w:val="This table identifies the change in construction costs based on building element for office buildings. It finds that there is considerable savings in glazing in addition to savings in services (mostly)"/>
      </w:tblPr>
      <w:tblGrid>
        <w:gridCol w:w="2177"/>
        <w:gridCol w:w="823"/>
        <w:gridCol w:w="823"/>
        <w:gridCol w:w="823"/>
        <w:gridCol w:w="824"/>
        <w:gridCol w:w="823"/>
        <w:gridCol w:w="823"/>
        <w:gridCol w:w="823"/>
      </w:tblGrid>
      <w:tr w:rsidR="00612FD3" w:rsidTr="00301B6D">
        <w:trPr>
          <w:trHeight w:val="230"/>
          <w:tblHeader/>
        </w:trPr>
        <w:tc>
          <w:tcPr>
            <w:tcW w:w="2177" w:type="dxa"/>
            <w:shd w:val="clear" w:color="auto" w:fill="6F6652"/>
            <w:tcMar>
              <w:left w:w="57" w:type="dxa"/>
              <w:right w:w="57" w:type="dxa"/>
            </w:tcMar>
          </w:tcPr>
          <w:p w:rsidR="00612FD3" w:rsidRDefault="00612FD3" w:rsidP="00301B6D">
            <w:pPr>
              <w:pStyle w:val="TableDataColumnHeading"/>
              <w:jc w:val="left"/>
              <w:rPr>
                <w:lang w:val="en-GB"/>
              </w:rPr>
            </w:pPr>
          </w:p>
        </w:tc>
        <w:tc>
          <w:tcPr>
            <w:tcW w:w="823" w:type="dxa"/>
            <w:shd w:val="clear" w:color="auto" w:fill="6F6652"/>
            <w:tcMar>
              <w:left w:w="57" w:type="dxa"/>
              <w:right w:w="57" w:type="dxa"/>
            </w:tcMar>
          </w:tcPr>
          <w:p w:rsidR="00612FD3" w:rsidRDefault="00E31EE8" w:rsidP="00301B6D">
            <w:pPr>
              <w:pStyle w:val="TableDataColumnHeading"/>
              <w:rPr>
                <w:lang w:val="en-GB"/>
              </w:rPr>
            </w:pPr>
            <w:r>
              <w:rPr>
                <w:lang w:val="en-GB"/>
              </w:rPr>
              <w:t>Climate Zone</w:t>
            </w:r>
            <w:r w:rsidR="00612FD3">
              <w:rPr>
                <w:lang w:val="en-GB"/>
              </w:rPr>
              <w:t xml:space="preserve"> 1</w:t>
            </w:r>
          </w:p>
        </w:tc>
        <w:tc>
          <w:tcPr>
            <w:tcW w:w="823" w:type="dxa"/>
            <w:shd w:val="clear" w:color="auto" w:fill="6F6652"/>
            <w:tcMar>
              <w:left w:w="57" w:type="dxa"/>
              <w:right w:w="57" w:type="dxa"/>
            </w:tcMar>
          </w:tcPr>
          <w:p w:rsidR="00612FD3" w:rsidRDefault="00E31EE8" w:rsidP="00301B6D">
            <w:pPr>
              <w:pStyle w:val="TableDataColumnHeading"/>
              <w:rPr>
                <w:lang w:val="en-GB"/>
              </w:rPr>
            </w:pPr>
            <w:r>
              <w:rPr>
                <w:lang w:val="en-GB"/>
              </w:rPr>
              <w:t>Climate Zone</w:t>
            </w:r>
            <w:r w:rsidR="00612FD3">
              <w:rPr>
                <w:lang w:val="en-GB"/>
              </w:rPr>
              <w:t xml:space="preserve"> 2</w:t>
            </w:r>
          </w:p>
        </w:tc>
        <w:tc>
          <w:tcPr>
            <w:tcW w:w="823" w:type="dxa"/>
            <w:shd w:val="clear" w:color="auto" w:fill="6F6652"/>
            <w:tcMar>
              <w:left w:w="57" w:type="dxa"/>
              <w:right w:w="57" w:type="dxa"/>
            </w:tcMar>
          </w:tcPr>
          <w:p w:rsidR="00612FD3" w:rsidRDefault="00E31EE8" w:rsidP="00301B6D">
            <w:pPr>
              <w:pStyle w:val="TableDataColumnHeading"/>
              <w:rPr>
                <w:lang w:val="en-GB"/>
              </w:rPr>
            </w:pPr>
            <w:r>
              <w:rPr>
                <w:lang w:val="en-GB"/>
              </w:rPr>
              <w:t>Climate Zone</w:t>
            </w:r>
            <w:r w:rsidR="00612FD3">
              <w:rPr>
                <w:lang w:val="en-GB"/>
              </w:rPr>
              <w:t xml:space="preserve"> 3</w:t>
            </w:r>
          </w:p>
        </w:tc>
        <w:tc>
          <w:tcPr>
            <w:tcW w:w="824" w:type="dxa"/>
            <w:shd w:val="clear" w:color="auto" w:fill="6F6652"/>
            <w:tcMar>
              <w:left w:w="57" w:type="dxa"/>
              <w:right w:w="57" w:type="dxa"/>
            </w:tcMar>
          </w:tcPr>
          <w:p w:rsidR="00612FD3" w:rsidRDefault="00E31EE8" w:rsidP="00301B6D">
            <w:pPr>
              <w:pStyle w:val="TableDataColumnHeading"/>
              <w:rPr>
                <w:lang w:val="en-GB"/>
              </w:rPr>
            </w:pPr>
            <w:r>
              <w:rPr>
                <w:lang w:val="en-GB"/>
              </w:rPr>
              <w:t>Climate Zone</w:t>
            </w:r>
            <w:r w:rsidR="00612FD3">
              <w:rPr>
                <w:lang w:val="en-GB"/>
              </w:rPr>
              <w:t xml:space="preserve"> 4</w:t>
            </w:r>
          </w:p>
        </w:tc>
        <w:tc>
          <w:tcPr>
            <w:tcW w:w="823" w:type="dxa"/>
            <w:shd w:val="clear" w:color="auto" w:fill="6F6652"/>
            <w:tcMar>
              <w:left w:w="57" w:type="dxa"/>
              <w:right w:w="57" w:type="dxa"/>
            </w:tcMar>
          </w:tcPr>
          <w:p w:rsidR="00612FD3" w:rsidRDefault="00E31EE8" w:rsidP="00301B6D">
            <w:pPr>
              <w:pStyle w:val="TableDataColumnHeading"/>
              <w:rPr>
                <w:lang w:val="en-GB"/>
              </w:rPr>
            </w:pPr>
            <w:r>
              <w:rPr>
                <w:lang w:val="en-GB"/>
              </w:rPr>
              <w:t>Climate Zone</w:t>
            </w:r>
            <w:r w:rsidR="00612FD3">
              <w:rPr>
                <w:lang w:val="en-GB"/>
              </w:rPr>
              <w:t xml:space="preserve"> 5</w:t>
            </w:r>
          </w:p>
        </w:tc>
        <w:tc>
          <w:tcPr>
            <w:tcW w:w="823" w:type="dxa"/>
            <w:shd w:val="clear" w:color="auto" w:fill="6F6652"/>
            <w:tcMar>
              <w:left w:w="57" w:type="dxa"/>
              <w:right w:w="57" w:type="dxa"/>
            </w:tcMar>
          </w:tcPr>
          <w:p w:rsidR="00612FD3" w:rsidRDefault="00E31EE8" w:rsidP="00301B6D">
            <w:pPr>
              <w:pStyle w:val="TableDataColumnHeading"/>
              <w:rPr>
                <w:lang w:val="en-GB"/>
              </w:rPr>
            </w:pPr>
            <w:r>
              <w:rPr>
                <w:lang w:val="en-GB"/>
              </w:rPr>
              <w:t>Climate Zone</w:t>
            </w:r>
            <w:r w:rsidR="00612FD3">
              <w:rPr>
                <w:lang w:val="en-GB"/>
              </w:rPr>
              <w:t xml:space="preserve"> 6</w:t>
            </w:r>
          </w:p>
        </w:tc>
        <w:tc>
          <w:tcPr>
            <w:tcW w:w="823" w:type="dxa"/>
            <w:shd w:val="clear" w:color="auto" w:fill="6F6652"/>
            <w:tcMar>
              <w:left w:w="57" w:type="dxa"/>
              <w:right w:w="57" w:type="dxa"/>
            </w:tcMar>
          </w:tcPr>
          <w:p w:rsidR="00612FD3" w:rsidRDefault="00E31EE8" w:rsidP="00301B6D">
            <w:pPr>
              <w:pStyle w:val="TableDataColumnHeading"/>
              <w:rPr>
                <w:lang w:val="en-GB"/>
              </w:rPr>
            </w:pPr>
            <w:r>
              <w:rPr>
                <w:lang w:val="en-GB"/>
              </w:rPr>
              <w:t>Climate Zone</w:t>
            </w:r>
            <w:r w:rsidR="00612FD3">
              <w:rPr>
                <w:lang w:val="en-GB"/>
              </w:rPr>
              <w:t xml:space="preserve"> 7</w:t>
            </w:r>
          </w:p>
        </w:tc>
      </w:tr>
      <w:tr w:rsidR="00612FD3" w:rsidTr="00301B6D">
        <w:trPr>
          <w:trHeight w:val="230"/>
          <w:tblHeader/>
        </w:trPr>
        <w:tc>
          <w:tcPr>
            <w:tcW w:w="2177"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jc w:val="left"/>
              <w:rPr>
                <w:lang w:val="en-GB"/>
              </w:rPr>
            </w:pPr>
          </w:p>
        </w:tc>
        <w:tc>
          <w:tcPr>
            <w:tcW w:w="82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$'000</w:t>
            </w:r>
          </w:p>
        </w:tc>
        <w:tc>
          <w:tcPr>
            <w:tcW w:w="82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$'000</w:t>
            </w:r>
          </w:p>
        </w:tc>
        <w:tc>
          <w:tcPr>
            <w:tcW w:w="82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$'000</w:t>
            </w:r>
          </w:p>
        </w:tc>
        <w:tc>
          <w:tcPr>
            <w:tcW w:w="824"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$'000</w:t>
            </w:r>
          </w:p>
        </w:tc>
        <w:tc>
          <w:tcPr>
            <w:tcW w:w="82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$'000</w:t>
            </w:r>
          </w:p>
        </w:tc>
        <w:tc>
          <w:tcPr>
            <w:tcW w:w="82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$'000</w:t>
            </w:r>
          </w:p>
        </w:tc>
        <w:tc>
          <w:tcPr>
            <w:tcW w:w="82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$'000</w:t>
            </w:r>
          </w:p>
        </w:tc>
      </w:tr>
      <w:tr w:rsidR="00612FD3" w:rsidTr="00301B6D">
        <w:trPr>
          <w:trHeight w:val="230"/>
        </w:trPr>
        <w:tc>
          <w:tcPr>
            <w:tcW w:w="2177"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r>
              <w:rPr>
                <w:lang w:val="en-GB"/>
              </w:rPr>
              <w:t>Façade</w:t>
            </w:r>
          </w:p>
        </w:tc>
        <w:tc>
          <w:tcPr>
            <w:tcW w:w="82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82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82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824"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82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82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82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r>
      <w:tr w:rsidR="006158B1" w:rsidTr="00301B6D">
        <w:trPr>
          <w:trHeight w:val="230"/>
        </w:trPr>
        <w:tc>
          <w:tcPr>
            <w:tcW w:w="217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58B1" w:rsidRDefault="006158B1" w:rsidP="006158B1">
            <w:pPr>
              <w:pStyle w:val="TableDataEntries"/>
              <w:jc w:val="left"/>
              <w:rPr>
                <w:lang w:val="en-GB"/>
              </w:rPr>
            </w:pPr>
            <w:r>
              <w:rPr>
                <w:lang w:val="en-GB"/>
              </w:rPr>
              <w:t>Roof</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58B1" w:rsidRDefault="006158B1" w:rsidP="006158B1">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58B1" w:rsidRDefault="006158B1" w:rsidP="006158B1">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58B1" w:rsidRDefault="006158B1" w:rsidP="006158B1">
            <w:pPr>
              <w:pStyle w:val="TableDataEntries"/>
              <w:rPr>
                <w:lang w:val="en-GB"/>
              </w:rPr>
            </w:pPr>
            <w:r>
              <w:t xml:space="preserve"> 0.0</w:t>
            </w:r>
          </w:p>
        </w:tc>
        <w:tc>
          <w:tcPr>
            <w:tcW w:w="8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58B1" w:rsidRDefault="006158B1" w:rsidP="006158B1">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58B1" w:rsidRDefault="006158B1" w:rsidP="006158B1">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58B1" w:rsidRDefault="006158B1" w:rsidP="006158B1">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58B1" w:rsidRDefault="006158B1" w:rsidP="006158B1">
            <w:pPr>
              <w:pStyle w:val="TableDataEntries"/>
              <w:rPr>
                <w:lang w:val="en-GB"/>
              </w:rPr>
            </w:pPr>
            <w:r>
              <w:t xml:space="preserve"> 0.0</w:t>
            </w:r>
          </w:p>
        </w:tc>
      </w:tr>
      <w:tr w:rsidR="006158B1" w:rsidTr="00301B6D">
        <w:trPr>
          <w:trHeight w:val="230"/>
        </w:trPr>
        <w:tc>
          <w:tcPr>
            <w:tcW w:w="217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58B1" w:rsidRDefault="006158B1" w:rsidP="006158B1">
            <w:pPr>
              <w:pStyle w:val="TableDataEntries"/>
              <w:jc w:val="left"/>
              <w:rPr>
                <w:lang w:val="en-GB"/>
              </w:rPr>
            </w:pPr>
            <w:r>
              <w:rPr>
                <w:lang w:val="en-GB"/>
              </w:rPr>
              <w:t>Floor</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58B1" w:rsidRDefault="006158B1" w:rsidP="006158B1">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58B1" w:rsidRDefault="006158B1" w:rsidP="006158B1">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58B1" w:rsidRDefault="006158B1" w:rsidP="006158B1">
            <w:pPr>
              <w:pStyle w:val="TableDataEntries"/>
              <w:rPr>
                <w:lang w:val="en-GB"/>
              </w:rPr>
            </w:pPr>
            <w:r>
              <w:t xml:space="preserve"> 0.0</w:t>
            </w:r>
          </w:p>
        </w:tc>
        <w:tc>
          <w:tcPr>
            <w:tcW w:w="8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58B1" w:rsidRDefault="006158B1" w:rsidP="006158B1">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58B1" w:rsidRDefault="006158B1" w:rsidP="006158B1">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58B1" w:rsidRDefault="006158B1" w:rsidP="006158B1">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58B1" w:rsidRDefault="006158B1" w:rsidP="006158B1">
            <w:pPr>
              <w:pStyle w:val="TableDataEntries"/>
              <w:rPr>
                <w:lang w:val="en-GB"/>
              </w:rPr>
            </w:pPr>
            <w:r>
              <w:t xml:space="preserve"> 0.0</w:t>
            </w:r>
          </w:p>
        </w:tc>
      </w:tr>
      <w:tr w:rsidR="006158B1" w:rsidTr="0045144D">
        <w:trPr>
          <w:trHeight w:val="230"/>
        </w:trPr>
        <w:tc>
          <w:tcPr>
            <w:tcW w:w="217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58B1" w:rsidRDefault="006158B1" w:rsidP="006158B1">
            <w:pPr>
              <w:pStyle w:val="TableDataEntries"/>
              <w:jc w:val="left"/>
              <w:rPr>
                <w:lang w:val="en-GB"/>
              </w:rPr>
            </w:pPr>
            <w:r>
              <w:rPr>
                <w:lang w:val="en-GB"/>
              </w:rPr>
              <w:t>Walls</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58B1" w:rsidRDefault="006158B1" w:rsidP="006158B1">
            <w:pPr>
              <w:pStyle w:val="TableDataEntries"/>
              <w:rPr>
                <w:lang w:val="en-GB"/>
              </w:rPr>
            </w:pPr>
            <w:r>
              <w:t xml:space="preserve"> 28.6</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58B1" w:rsidRDefault="006158B1" w:rsidP="006158B1">
            <w:pPr>
              <w:pStyle w:val="TableDataEntries"/>
              <w:rPr>
                <w:lang w:val="en-GB"/>
              </w:rPr>
            </w:pPr>
            <w:r>
              <w:t xml:space="preserve"> 28.6</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58B1" w:rsidRDefault="006158B1" w:rsidP="006158B1">
            <w:pPr>
              <w:pStyle w:val="TableDataEntries"/>
              <w:rPr>
                <w:lang w:val="en-GB"/>
              </w:rPr>
            </w:pPr>
            <w:r>
              <w:t xml:space="preserve"> 28.6</w:t>
            </w:r>
          </w:p>
        </w:tc>
        <w:tc>
          <w:tcPr>
            <w:tcW w:w="8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58B1" w:rsidRDefault="006158B1" w:rsidP="006158B1">
            <w:pPr>
              <w:pStyle w:val="TableDataEntries"/>
              <w:rPr>
                <w:lang w:val="en-GB"/>
              </w:rPr>
            </w:pPr>
            <w:r>
              <w:t xml:space="preserve"> 23.2</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58B1" w:rsidRDefault="006158B1" w:rsidP="006158B1">
            <w:pPr>
              <w:pStyle w:val="TableDataEntries"/>
              <w:rPr>
                <w:lang w:val="en-GB"/>
              </w:rPr>
            </w:pPr>
            <w:r>
              <w:t xml:space="preserve"> 23.2</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58B1" w:rsidRDefault="006158B1" w:rsidP="006158B1">
            <w:pPr>
              <w:pStyle w:val="TableDataEntries"/>
              <w:rPr>
                <w:lang w:val="en-GB"/>
              </w:rPr>
            </w:pPr>
            <w:r>
              <w:t xml:space="preserve"> 23.2</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58B1" w:rsidRDefault="006158B1" w:rsidP="006158B1">
            <w:pPr>
              <w:pStyle w:val="TableDataEntries"/>
              <w:rPr>
                <w:lang w:val="en-GB"/>
              </w:rPr>
            </w:pPr>
            <w:r>
              <w:t xml:space="preserve"> 26.4</w:t>
            </w:r>
          </w:p>
        </w:tc>
      </w:tr>
      <w:tr w:rsidR="006158B1" w:rsidTr="0045144D">
        <w:trPr>
          <w:trHeight w:val="230"/>
        </w:trPr>
        <w:tc>
          <w:tcPr>
            <w:tcW w:w="217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58B1" w:rsidRDefault="006158B1" w:rsidP="006158B1">
            <w:pPr>
              <w:pStyle w:val="TableDataEntries"/>
              <w:jc w:val="left"/>
              <w:rPr>
                <w:lang w:val="en-GB"/>
              </w:rPr>
            </w:pPr>
            <w:r>
              <w:rPr>
                <w:lang w:val="en-GB"/>
              </w:rPr>
              <w:t>Glazing</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58B1" w:rsidRDefault="006158B1" w:rsidP="006158B1">
            <w:pPr>
              <w:pStyle w:val="TableDataEntries"/>
              <w:rPr>
                <w:lang w:val="en-GB"/>
              </w:rPr>
            </w:pPr>
            <w:r>
              <w:t xml:space="preserve"> 222.5</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58B1" w:rsidRDefault="006158B1" w:rsidP="006158B1">
            <w:pPr>
              <w:pStyle w:val="TableDataEntries"/>
              <w:rPr>
                <w:lang w:val="en-GB"/>
              </w:rPr>
            </w:pPr>
            <w:r>
              <w:t>- 120.0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58B1" w:rsidRDefault="006158B1" w:rsidP="006158B1">
            <w:pPr>
              <w:pStyle w:val="TableDataEntries"/>
              <w:rPr>
                <w:lang w:val="en-GB"/>
              </w:rPr>
            </w:pPr>
            <w:r>
              <w:t>- 481.6</w:t>
            </w:r>
          </w:p>
        </w:tc>
        <w:tc>
          <w:tcPr>
            <w:tcW w:w="8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58B1" w:rsidRDefault="006158B1" w:rsidP="006158B1">
            <w:pPr>
              <w:pStyle w:val="TableDataEntries"/>
              <w:rPr>
                <w:lang w:val="en-GB"/>
              </w:rPr>
            </w:pPr>
            <w:r>
              <w:t xml:space="preserve"> 104.1</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58B1" w:rsidRDefault="006158B1" w:rsidP="006158B1">
            <w:pPr>
              <w:pStyle w:val="TableDataEntries"/>
              <w:rPr>
                <w:lang w:val="en-GB"/>
              </w:rPr>
            </w:pPr>
            <w:r>
              <w:t>- 48.4</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58B1" w:rsidRDefault="006158B1" w:rsidP="006158B1">
            <w:pPr>
              <w:pStyle w:val="TableDataEntries"/>
              <w:rPr>
                <w:lang w:val="en-GB"/>
              </w:rPr>
            </w:pPr>
            <w:r>
              <w:t xml:space="preserve"> 315.8</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58B1" w:rsidRDefault="006158B1" w:rsidP="006158B1">
            <w:pPr>
              <w:pStyle w:val="TableDataEntries"/>
              <w:rPr>
                <w:lang w:val="en-GB"/>
              </w:rPr>
            </w:pPr>
            <w:r>
              <w:t xml:space="preserve"> 285.3</w:t>
            </w:r>
          </w:p>
        </w:tc>
      </w:tr>
      <w:tr w:rsidR="006158B1" w:rsidRPr="006158B1" w:rsidTr="0045144D">
        <w:trPr>
          <w:trHeight w:val="230"/>
        </w:trPr>
        <w:tc>
          <w:tcPr>
            <w:tcW w:w="217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58B1" w:rsidRPr="006158B1" w:rsidRDefault="006158B1" w:rsidP="006158B1">
            <w:pPr>
              <w:pStyle w:val="TableDataEntries"/>
              <w:jc w:val="left"/>
              <w:rPr>
                <w:rFonts w:ascii="Franklin Gothic Demi" w:hAnsi="Franklin Gothic Demi"/>
                <w:lang w:val="en-GB"/>
              </w:rPr>
            </w:pPr>
            <w:r w:rsidRPr="006158B1">
              <w:rPr>
                <w:rFonts w:ascii="Franklin Gothic Demi" w:hAnsi="Franklin Gothic Demi"/>
                <w:lang w:val="en-GB"/>
              </w:rPr>
              <w:t>Façade total</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58B1" w:rsidRPr="006158B1" w:rsidRDefault="006158B1" w:rsidP="006158B1">
            <w:pPr>
              <w:pStyle w:val="TableDataEntries"/>
              <w:rPr>
                <w:rFonts w:ascii="Franklin Gothic Demi" w:hAnsi="Franklin Gothic Demi"/>
                <w:lang w:val="en-GB"/>
              </w:rPr>
            </w:pPr>
            <w:r w:rsidRPr="006158B1">
              <w:rPr>
                <w:rFonts w:ascii="Franklin Gothic Demi" w:hAnsi="Franklin Gothic Demi"/>
              </w:rPr>
              <w:t xml:space="preserve"> 251.1</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58B1" w:rsidRPr="006158B1" w:rsidRDefault="006158B1" w:rsidP="006158B1">
            <w:pPr>
              <w:pStyle w:val="TableDataEntries"/>
              <w:rPr>
                <w:rFonts w:ascii="Franklin Gothic Demi" w:hAnsi="Franklin Gothic Demi"/>
                <w:lang w:val="en-GB"/>
              </w:rPr>
            </w:pPr>
            <w:r w:rsidRPr="006158B1">
              <w:rPr>
                <w:rFonts w:ascii="Franklin Gothic Demi" w:hAnsi="Franklin Gothic Demi"/>
              </w:rPr>
              <w:t>- 91.4</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58B1" w:rsidRPr="006158B1" w:rsidRDefault="006158B1" w:rsidP="006158B1">
            <w:pPr>
              <w:pStyle w:val="TableDataEntries"/>
              <w:rPr>
                <w:rFonts w:ascii="Franklin Gothic Demi" w:hAnsi="Franklin Gothic Demi"/>
                <w:lang w:val="en-GB"/>
              </w:rPr>
            </w:pPr>
            <w:r w:rsidRPr="006158B1">
              <w:rPr>
                <w:rFonts w:ascii="Franklin Gothic Demi" w:hAnsi="Franklin Gothic Demi"/>
              </w:rPr>
              <w:t>- 453.0</w:t>
            </w:r>
          </w:p>
        </w:tc>
        <w:tc>
          <w:tcPr>
            <w:tcW w:w="8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58B1" w:rsidRPr="006158B1" w:rsidRDefault="006158B1" w:rsidP="006158B1">
            <w:pPr>
              <w:pStyle w:val="TableDataEntries"/>
              <w:rPr>
                <w:rFonts w:ascii="Franklin Gothic Demi" w:hAnsi="Franklin Gothic Demi"/>
                <w:lang w:val="en-GB"/>
              </w:rPr>
            </w:pPr>
            <w:r w:rsidRPr="006158B1">
              <w:rPr>
                <w:rFonts w:ascii="Franklin Gothic Demi" w:hAnsi="Franklin Gothic Demi"/>
              </w:rPr>
              <w:t xml:space="preserve"> 127.3</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58B1" w:rsidRPr="006158B1" w:rsidRDefault="006158B1" w:rsidP="006158B1">
            <w:pPr>
              <w:pStyle w:val="TableDataEntries"/>
              <w:rPr>
                <w:rFonts w:ascii="Franklin Gothic Demi" w:hAnsi="Franklin Gothic Demi"/>
                <w:lang w:val="en-GB"/>
              </w:rPr>
            </w:pPr>
            <w:r w:rsidRPr="006158B1">
              <w:rPr>
                <w:rFonts w:ascii="Franklin Gothic Demi" w:hAnsi="Franklin Gothic Demi"/>
              </w:rPr>
              <w:t>- 25.2</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58B1" w:rsidRPr="006158B1" w:rsidRDefault="006158B1" w:rsidP="006158B1">
            <w:pPr>
              <w:pStyle w:val="TableDataEntries"/>
              <w:rPr>
                <w:rFonts w:ascii="Franklin Gothic Demi" w:hAnsi="Franklin Gothic Demi"/>
                <w:lang w:val="en-GB"/>
              </w:rPr>
            </w:pPr>
            <w:r w:rsidRPr="006158B1">
              <w:rPr>
                <w:rFonts w:ascii="Franklin Gothic Demi" w:hAnsi="Franklin Gothic Demi"/>
              </w:rPr>
              <w:t xml:space="preserve"> 339.0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58B1" w:rsidRPr="006158B1" w:rsidRDefault="006158B1" w:rsidP="006158B1">
            <w:pPr>
              <w:pStyle w:val="TableDataEntries"/>
              <w:rPr>
                <w:rFonts w:ascii="Franklin Gothic Demi" w:hAnsi="Franklin Gothic Demi"/>
                <w:lang w:val="en-GB"/>
              </w:rPr>
            </w:pPr>
            <w:r w:rsidRPr="006158B1">
              <w:rPr>
                <w:rFonts w:ascii="Franklin Gothic Demi" w:hAnsi="Franklin Gothic Demi"/>
              </w:rPr>
              <w:t xml:space="preserve"> 311.7</w:t>
            </w:r>
          </w:p>
        </w:tc>
      </w:tr>
      <w:tr w:rsidR="006158B1" w:rsidTr="00301B6D">
        <w:trPr>
          <w:trHeight w:val="230"/>
        </w:trPr>
        <w:tc>
          <w:tcPr>
            <w:tcW w:w="2177"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58B1" w:rsidRDefault="006158B1" w:rsidP="006158B1">
            <w:pPr>
              <w:pStyle w:val="TableHeading1"/>
              <w:rPr>
                <w:lang w:val="en-GB"/>
              </w:rPr>
            </w:pPr>
            <w:r>
              <w:rPr>
                <w:lang w:val="en-GB"/>
              </w:rPr>
              <w:t>Services</w:t>
            </w:r>
          </w:p>
        </w:tc>
        <w:tc>
          <w:tcPr>
            <w:tcW w:w="82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6158B1" w:rsidRDefault="006158B1" w:rsidP="006158B1">
            <w:pPr>
              <w:pStyle w:val="TableDataEntries"/>
              <w:rPr>
                <w:lang w:val="en-GB"/>
              </w:rPr>
            </w:pPr>
          </w:p>
        </w:tc>
        <w:tc>
          <w:tcPr>
            <w:tcW w:w="82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6158B1" w:rsidRDefault="006158B1" w:rsidP="006158B1">
            <w:pPr>
              <w:pStyle w:val="TableDataEntries"/>
              <w:rPr>
                <w:lang w:val="en-GB"/>
              </w:rPr>
            </w:pPr>
          </w:p>
        </w:tc>
        <w:tc>
          <w:tcPr>
            <w:tcW w:w="82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6158B1" w:rsidRDefault="006158B1" w:rsidP="006158B1">
            <w:pPr>
              <w:pStyle w:val="TableDataEntries"/>
              <w:rPr>
                <w:lang w:val="en-GB"/>
              </w:rPr>
            </w:pPr>
          </w:p>
        </w:tc>
        <w:tc>
          <w:tcPr>
            <w:tcW w:w="824"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6158B1" w:rsidRDefault="006158B1" w:rsidP="006158B1">
            <w:pPr>
              <w:pStyle w:val="TableDataEntries"/>
              <w:rPr>
                <w:lang w:val="en-GB"/>
              </w:rPr>
            </w:pPr>
          </w:p>
        </w:tc>
        <w:tc>
          <w:tcPr>
            <w:tcW w:w="82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6158B1" w:rsidRDefault="006158B1" w:rsidP="006158B1">
            <w:pPr>
              <w:pStyle w:val="TableDataEntries"/>
              <w:rPr>
                <w:lang w:val="en-GB"/>
              </w:rPr>
            </w:pPr>
          </w:p>
        </w:tc>
        <w:tc>
          <w:tcPr>
            <w:tcW w:w="82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6158B1" w:rsidRDefault="006158B1" w:rsidP="006158B1">
            <w:pPr>
              <w:pStyle w:val="TableDataEntries"/>
              <w:rPr>
                <w:lang w:val="en-GB"/>
              </w:rPr>
            </w:pPr>
          </w:p>
        </w:tc>
        <w:tc>
          <w:tcPr>
            <w:tcW w:w="82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6158B1" w:rsidRDefault="006158B1" w:rsidP="006158B1">
            <w:pPr>
              <w:pStyle w:val="TableDataEntries"/>
              <w:rPr>
                <w:lang w:val="en-GB"/>
              </w:rPr>
            </w:pPr>
          </w:p>
        </w:tc>
      </w:tr>
      <w:tr w:rsidR="006158B1" w:rsidTr="00301B6D">
        <w:trPr>
          <w:trHeight w:val="230"/>
        </w:trPr>
        <w:tc>
          <w:tcPr>
            <w:tcW w:w="217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58B1" w:rsidRDefault="006158B1" w:rsidP="006158B1">
            <w:pPr>
              <w:pStyle w:val="TableDataEntries"/>
              <w:jc w:val="left"/>
              <w:rPr>
                <w:lang w:val="en-GB"/>
              </w:rPr>
            </w:pPr>
            <w:r>
              <w:rPr>
                <w:lang w:val="en-GB"/>
              </w:rPr>
              <w:t>FCU</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58B1" w:rsidRDefault="006158B1" w:rsidP="006158B1">
            <w:pPr>
              <w:pStyle w:val="TableDataEntries"/>
              <w:rPr>
                <w:lang w:val="en-GB"/>
              </w:rPr>
            </w:pPr>
            <w:r>
              <w:t>- 108.4</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58B1" w:rsidRDefault="006158B1" w:rsidP="006158B1">
            <w:pPr>
              <w:pStyle w:val="TableDataEntries"/>
              <w:rPr>
                <w:lang w:val="en-GB"/>
              </w:rPr>
            </w:pPr>
            <w:r>
              <w:t>- 16.7</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58B1" w:rsidRDefault="006158B1" w:rsidP="006158B1">
            <w:pPr>
              <w:pStyle w:val="TableDataEntries"/>
              <w:rPr>
                <w:lang w:val="en-GB"/>
              </w:rPr>
            </w:pPr>
            <w:r>
              <w:t>- 113.6</w:t>
            </w:r>
          </w:p>
        </w:tc>
        <w:tc>
          <w:tcPr>
            <w:tcW w:w="8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58B1" w:rsidRDefault="006158B1" w:rsidP="006158B1">
            <w:pPr>
              <w:pStyle w:val="TableDataEntries"/>
              <w:rPr>
                <w:lang w:val="en-GB"/>
              </w:rPr>
            </w:pPr>
            <w:r>
              <w:t>- 49.0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58B1" w:rsidRDefault="006158B1" w:rsidP="006158B1">
            <w:pPr>
              <w:pStyle w:val="TableDataEntries"/>
              <w:rPr>
                <w:lang w:val="en-GB"/>
              </w:rPr>
            </w:pPr>
            <w:r>
              <w:t>- 39.7</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58B1" w:rsidRDefault="006158B1" w:rsidP="006158B1">
            <w:pPr>
              <w:pStyle w:val="TableDataEntries"/>
              <w:rPr>
                <w:lang w:val="en-GB"/>
              </w:rPr>
            </w:pPr>
            <w:r>
              <w:t>- 95.7</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58B1" w:rsidRDefault="006158B1" w:rsidP="006158B1">
            <w:pPr>
              <w:pStyle w:val="TableDataEntries"/>
              <w:rPr>
                <w:lang w:val="en-GB"/>
              </w:rPr>
            </w:pPr>
            <w:r>
              <w:t>- 148.6</w:t>
            </w:r>
          </w:p>
        </w:tc>
      </w:tr>
      <w:tr w:rsidR="006158B1" w:rsidTr="00301B6D">
        <w:trPr>
          <w:trHeight w:val="230"/>
        </w:trPr>
        <w:tc>
          <w:tcPr>
            <w:tcW w:w="217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58B1" w:rsidRDefault="006158B1" w:rsidP="006158B1">
            <w:pPr>
              <w:pStyle w:val="TableDataEntries"/>
              <w:jc w:val="left"/>
              <w:rPr>
                <w:lang w:val="en-GB"/>
              </w:rPr>
            </w:pPr>
            <w:r>
              <w:rPr>
                <w:lang w:val="en-GB"/>
              </w:rPr>
              <w:t>Cooling Tower</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58B1" w:rsidRDefault="006158B1" w:rsidP="006158B1">
            <w:pPr>
              <w:pStyle w:val="TableDataEntries"/>
              <w:rPr>
                <w:lang w:val="en-GB"/>
              </w:rPr>
            </w:pPr>
            <w:r>
              <w:t>- 1.6</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58B1" w:rsidRDefault="006158B1" w:rsidP="006158B1">
            <w:pPr>
              <w:pStyle w:val="TableDataEntries"/>
              <w:rPr>
                <w:lang w:val="en-GB"/>
              </w:rPr>
            </w:pPr>
            <w:r>
              <w:t xml:space="preserve"> 1.0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58B1" w:rsidRDefault="006158B1" w:rsidP="006158B1">
            <w:pPr>
              <w:pStyle w:val="TableDataEntries"/>
              <w:rPr>
                <w:lang w:val="en-GB"/>
              </w:rPr>
            </w:pPr>
            <w:r>
              <w:t>- 4.5</w:t>
            </w:r>
          </w:p>
        </w:tc>
        <w:tc>
          <w:tcPr>
            <w:tcW w:w="8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58B1" w:rsidRDefault="006158B1" w:rsidP="006158B1">
            <w:pPr>
              <w:pStyle w:val="TableDataEntries"/>
              <w:rPr>
                <w:lang w:val="en-GB"/>
              </w:rPr>
            </w:pPr>
            <w:r>
              <w:t>- 4.7</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58B1" w:rsidRDefault="006158B1" w:rsidP="006158B1">
            <w:pPr>
              <w:pStyle w:val="TableDataEntries"/>
              <w:rPr>
                <w:lang w:val="en-GB"/>
              </w:rPr>
            </w:pPr>
            <w:r>
              <w:t>- 4.1</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58B1" w:rsidRDefault="006158B1" w:rsidP="006158B1">
            <w:pPr>
              <w:pStyle w:val="TableDataEntries"/>
              <w:rPr>
                <w:lang w:val="en-GB"/>
              </w:rPr>
            </w:pPr>
            <w:r>
              <w:t>- 7.0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58B1" w:rsidRDefault="006158B1" w:rsidP="006158B1">
            <w:pPr>
              <w:pStyle w:val="TableDataEntries"/>
              <w:rPr>
                <w:lang w:val="en-GB"/>
              </w:rPr>
            </w:pPr>
            <w:r>
              <w:t>- 5.4</w:t>
            </w:r>
          </w:p>
        </w:tc>
      </w:tr>
      <w:tr w:rsidR="006158B1" w:rsidTr="00301B6D">
        <w:trPr>
          <w:trHeight w:val="230"/>
        </w:trPr>
        <w:tc>
          <w:tcPr>
            <w:tcW w:w="217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58B1" w:rsidRDefault="006158B1" w:rsidP="006158B1">
            <w:pPr>
              <w:pStyle w:val="TableDataEntries"/>
              <w:jc w:val="left"/>
              <w:rPr>
                <w:lang w:val="en-GB"/>
              </w:rPr>
            </w:pPr>
            <w:r>
              <w:rPr>
                <w:lang w:val="en-GB"/>
              </w:rPr>
              <w:t>Chiller</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58B1" w:rsidRDefault="006158B1" w:rsidP="006158B1">
            <w:pPr>
              <w:pStyle w:val="TableDataEntries"/>
              <w:rPr>
                <w:lang w:val="en-GB"/>
              </w:rPr>
            </w:pPr>
            <w:r>
              <w:t>- 6.9</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58B1" w:rsidRDefault="006158B1" w:rsidP="006158B1">
            <w:pPr>
              <w:pStyle w:val="TableDataEntries"/>
              <w:rPr>
                <w:lang w:val="en-GB"/>
              </w:rPr>
            </w:pPr>
            <w:r>
              <w:t>- 3.8</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58B1" w:rsidRDefault="006158B1" w:rsidP="006158B1">
            <w:pPr>
              <w:pStyle w:val="TableDataEntries"/>
              <w:rPr>
                <w:lang w:val="en-GB"/>
              </w:rPr>
            </w:pPr>
            <w:r>
              <w:t>- 2.8</w:t>
            </w:r>
          </w:p>
        </w:tc>
        <w:tc>
          <w:tcPr>
            <w:tcW w:w="8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58B1" w:rsidRDefault="006158B1" w:rsidP="006158B1">
            <w:pPr>
              <w:pStyle w:val="TableDataEntries"/>
              <w:rPr>
                <w:lang w:val="en-GB"/>
              </w:rPr>
            </w:pPr>
            <w:r>
              <w:t>- 13.0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58B1" w:rsidRDefault="006158B1" w:rsidP="006158B1">
            <w:pPr>
              <w:pStyle w:val="TableDataEntries"/>
              <w:rPr>
                <w:lang w:val="en-GB"/>
              </w:rPr>
            </w:pPr>
            <w:r>
              <w:t>- 7.5</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58B1" w:rsidRDefault="006158B1" w:rsidP="006158B1">
            <w:pPr>
              <w:pStyle w:val="TableDataEntries"/>
              <w:rPr>
                <w:lang w:val="en-GB"/>
              </w:rPr>
            </w:pPr>
            <w:r>
              <w:t>- 9.4</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58B1" w:rsidRDefault="006158B1" w:rsidP="006158B1">
            <w:pPr>
              <w:pStyle w:val="TableDataEntries"/>
              <w:rPr>
                <w:lang w:val="en-GB"/>
              </w:rPr>
            </w:pPr>
            <w:r>
              <w:t>- 13.5</w:t>
            </w:r>
          </w:p>
        </w:tc>
      </w:tr>
      <w:tr w:rsidR="006158B1" w:rsidTr="00301B6D">
        <w:trPr>
          <w:trHeight w:val="230"/>
        </w:trPr>
        <w:tc>
          <w:tcPr>
            <w:tcW w:w="217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58B1" w:rsidRDefault="006158B1" w:rsidP="006158B1">
            <w:pPr>
              <w:pStyle w:val="TableDataEntries"/>
              <w:jc w:val="left"/>
              <w:rPr>
                <w:lang w:val="en-GB"/>
              </w:rPr>
            </w:pPr>
            <w:r>
              <w:rPr>
                <w:lang w:val="en-GB"/>
              </w:rPr>
              <w:t>Boiler</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58B1" w:rsidRDefault="006158B1" w:rsidP="006158B1">
            <w:pPr>
              <w:pStyle w:val="TableDataEntries"/>
              <w:rPr>
                <w:lang w:val="en-GB"/>
              </w:rPr>
            </w:pPr>
            <w:r>
              <w:t>- 3.0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58B1" w:rsidRDefault="006158B1" w:rsidP="006158B1">
            <w:pPr>
              <w:pStyle w:val="TableDataEntries"/>
              <w:rPr>
                <w:lang w:val="en-GB"/>
              </w:rPr>
            </w:pPr>
            <w:r>
              <w:t xml:space="preserve"> 0.1</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58B1" w:rsidRDefault="006158B1" w:rsidP="006158B1">
            <w:pPr>
              <w:pStyle w:val="TableDataEntries"/>
              <w:rPr>
                <w:lang w:val="en-GB"/>
              </w:rPr>
            </w:pPr>
            <w:r>
              <w:t>- 1.5</w:t>
            </w:r>
          </w:p>
        </w:tc>
        <w:tc>
          <w:tcPr>
            <w:tcW w:w="8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58B1" w:rsidRDefault="006158B1" w:rsidP="006158B1">
            <w:pPr>
              <w:pStyle w:val="TableDataEntries"/>
              <w:rPr>
                <w:lang w:val="en-GB"/>
              </w:rPr>
            </w:pPr>
            <w:r>
              <w:t>- 1.9</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58B1" w:rsidRDefault="006158B1" w:rsidP="006158B1">
            <w:pPr>
              <w:pStyle w:val="TableDataEntries"/>
              <w:rPr>
                <w:lang w:val="en-GB"/>
              </w:rPr>
            </w:pPr>
            <w:r>
              <w:t>- 1.8</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58B1" w:rsidRDefault="006158B1" w:rsidP="006158B1">
            <w:pPr>
              <w:pStyle w:val="TableDataEntries"/>
              <w:rPr>
                <w:lang w:val="en-GB"/>
              </w:rPr>
            </w:pPr>
            <w:r>
              <w:t>- 2.6</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58B1" w:rsidRDefault="006158B1" w:rsidP="006158B1">
            <w:pPr>
              <w:pStyle w:val="TableDataEntries"/>
              <w:rPr>
                <w:lang w:val="en-GB"/>
              </w:rPr>
            </w:pPr>
            <w:r>
              <w:t>- 2.2</w:t>
            </w:r>
          </w:p>
        </w:tc>
      </w:tr>
      <w:tr w:rsidR="006158B1" w:rsidTr="00301B6D">
        <w:trPr>
          <w:trHeight w:val="230"/>
        </w:trPr>
        <w:tc>
          <w:tcPr>
            <w:tcW w:w="217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58B1" w:rsidRDefault="006158B1" w:rsidP="006158B1">
            <w:pPr>
              <w:pStyle w:val="TableDataEntries"/>
              <w:jc w:val="left"/>
              <w:rPr>
                <w:lang w:val="en-GB"/>
              </w:rPr>
            </w:pPr>
            <w:r>
              <w:rPr>
                <w:lang w:val="en-GB"/>
              </w:rPr>
              <w:t>Economy Cycle</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58B1" w:rsidRDefault="006158B1" w:rsidP="006158B1">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58B1" w:rsidRDefault="006158B1" w:rsidP="006158B1">
            <w:pPr>
              <w:pStyle w:val="TableDataEntries"/>
              <w:rPr>
                <w:lang w:val="en-GB"/>
              </w:rPr>
            </w:pPr>
            <w:r>
              <w:t xml:space="preserve"> 63.7</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58B1" w:rsidRDefault="006158B1" w:rsidP="006158B1">
            <w:pPr>
              <w:pStyle w:val="TableDataEntries"/>
              <w:rPr>
                <w:lang w:val="en-GB"/>
              </w:rPr>
            </w:pPr>
            <w:r>
              <w:t xml:space="preserve"> 72.8</w:t>
            </w:r>
          </w:p>
        </w:tc>
        <w:tc>
          <w:tcPr>
            <w:tcW w:w="8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58B1" w:rsidRDefault="006158B1" w:rsidP="006158B1">
            <w:pPr>
              <w:pStyle w:val="TableDataEntries"/>
              <w:rPr>
                <w:lang w:val="en-GB"/>
              </w:rPr>
            </w:pPr>
            <w:r>
              <w:t xml:space="preserve"> 2.7</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58B1" w:rsidRDefault="006158B1" w:rsidP="006158B1">
            <w:pPr>
              <w:pStyle w:val="TableDataEntries"/>
              <w:rPr>
                <w:lang w:val="en-GB"/>
              </w:rPr>
            </w:pPr>
            <w:r>
              <w:t xml:space="preserve"> 2.5</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58B1" w:rsidRDefault="006158B1" w:rsidP="006158B1">
            <w:pPr>
              <w:pStyle w:val="TableDataEntries"/>
              <w:rPr>
                <w:lang w:val="en-GB"/>
              </w:rPr>
            </w:pPr>
            <w:r>
              <w:t>- 4.5</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58B1" w:rsidRDefault="006158B1" w:rsidP="006158B1">
            <w:pPr>
              <w:pStyle w:val="TableDataEntries"/>
              <w:rPr>
                <w:lang w:val="en-GB"/>
              </w:rPr>
            </w:pPr>
            <w:r>
              <w:t>- 10.9</w:t>
            </w:r>
          </w:p>
        </w:tc>
      </w:tr>
      <w:tr w:rsidR="006158B1" w:rsidTr="00301B6D">
        <w:trPr>
          <w:trHeight w:val="230"/>
        </w:trPr>
        <w:tc>
          <w:tcPr>
            <w:tcW w:w="217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58B1" w:rsidRDefault="006158B1" w:rsidP="006158B1">
            <w:pPr>
              <w:pStyle w:val="TableDataEntries"/>
              <w:jc w:val="left"/>
              <w:rPr>
                <w:lang w:val="en-GB"/>
              </w:rPr>
            </w:pPr>
            <w:r>
              <w:rPr>
                <w:lang w:val="en-GB"/>
              </w:rPr>
              <w:t>CO2 Sensor/Heat Exchange</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58B1" w:rsidRDefault="006158B1" w:rsidP="006158B1">
            <w:pPr>
              <w:pStyle w:val="TableDataEntries"/>
              <w:rPr>
                <w:lang w:val="en-GB"/>
              </w:rPr>
            </w:pPr>
            <w:r>
              <w:t>- 20.4</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58B1" w:rsidRDefault="006158B1" w:rsidP="006158B1">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58B1" w:rsidRDefault="006158B1" w:rsidP="006158B1">
            <w:pPr>
              <w:pStyle w:val="TableDataEntries"/>
              <w:rPr>
                <w:lang w:val="en-GB"/>
              </w:rPr>
            </w:pPr>
            <w:r>
              <w:t>- 20.4</w:t>
            </w:r>
          </w:p>
        </w:tc>
        <w:tc>
          <w:tcPr>
            <w:tcW w:w="8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58B1" w:rsidRDefault="006158B1" w:rsidP="006158B1">
            <w:pPr>
              <w:pStyle w:val="TableDataEntries"/>
              <w:rPr>
                <w:lang w:val="en-GB"/>
              </w:rPr>
            </w:pPr>
            <w:r>
              <w:t>- 20.4</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58B1" w:rsidRDefault="006158B1" w:rsidP="006158B1">
            <w:pPr>
              <w:pStyle w:val="TableDataEntries"/>
              <w:rPr>
                <w:lang w:val="en-GB"/>
              </w:rPr>
            </w:pPr>
            <w:r>
              <w:t>- 20.4</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58B1" w:rsidRDefault="006158B1" w:rsidP="006158B1">
            <w:pPr>
              <w:pStyle w:val="TableDataEntries"/>
              <w:rPr>
                <w:lang w:val="en-GB"/>
              </w:rPr>
            </w:pPr>
            <w:r>
              <w:t>- 20.4</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58B1" w:rsidRDefault="006158B1" w:rsidP="006158B1">
            <w:pPr>
              <w:pStyle w:val="TableDataEntries"/>
              <w:rPr>
                <w:lang w:val="en-GB"/>
              </w:rPr>
            </w:pPr>
            <w:r>
              <w:t>- 20.4</w:t>
            </w:r>
          </w:p>
        </w:tc>
      </w:tr>
      <w:tr w:rsidR="006158B1" w:rsidTr="0045144D">
        <w:trPr>
          <w:trHeight w:val="230"/>
        </w:trPr>
        <w:tc>
          <w:tcPr>
            <w:tcW w:w="217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58B1" w:rsidRDefault="006158B1" w:rsidP="006158B1">
            <w:pPr>
              <w:pStyle w:val="TableDataEntries"/>
              <w:jc w:val="left"/>
              <w:rPr>
                <w:lang w:val="en-GB"/>
              </w:rPr>
            </w:pPr>
            <w:r>
              <w:rPr>
                <w:lang w:val="en-GB"/>
              </w:rPr>
              <w:t>Lighting</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58B1" w:rsidRDefault="006158B1" w:rsidP="006158B1">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58B1" w:rsidRDefault="006158B1" w:rsidP="006158B1">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58B1" w:rsidRDefault="006158B1" w:rsidP="006158B1">
            <w:pPr>
              <w:pStyle w:val="TableDataEntries"/>
              <w:rPr>
                <w:lang w:val="en-GB"/>
              </w:rPr>
            </w:pPr>
            <w:r>
              <w:t xml:space="preserve"> 0.0</w:t>
            </w:r>
          </w:p>
        </w:tc>
        <w:tc>
          <w:tcPr>
            <w:tcW w:w="8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58B1" w:rsidRDefault="006158B1" w:rsidP="006158B1">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58B1" w:rsidRDefault="006158B1" w:rsidP="006158B1">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58B1" w:rsidRDefault="006158B1" w:rsidP="006158B1">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58B1" w:rsidRDefault="006158B1" w:rsidP="006158B1">
            <w:pPr>
              <w:pStyle w:val="TableDataEntries"/>
              <w:rPr>
                <w:lang w:val="en-GB"/>
              </w:rPr>
            </w:pPr>
            <w:r>
              <w:t xml:space="preserve"> 0.0</w:t>
            </w:r>
          </w:p>
        </w:tc>
      </w:tr>
      <w:tr w:rsidR="006158B1" w:rsidTr="0045144D">
        <w:trPr>
          <w:trHeight w:val="230"/>
        </w:trPr>
        <w:tc>
          <w:tcPr>
            <w:tcW w:w="217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58B1" w:rsidRDefault="006158B1" w:rsidP="006158B1">
            <w:pPr>
              <w:pStyle w:val="TableDataEntries"/>
              <w:jc w:val="left"/>
              <w:rPr>
                <w:lang w:val="en-GB"/>
              </w:rPr>
            </w:pPr>
            <w:r>
              <w:rPr>
                <w:lang w:val="en-GB"/>
              </w:rPr>
              <w:t>Lifts</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58B1" w:rsidRDefault="006158B1" w:rsidP="006158B1">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58B1" w:rsidRDefault="006158B1" w:rsidP="006158B1">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58B1" w:rsidRDefault="006158B1" w:rsidP="006158B1">
            <w:pPr>
              <w:pStyle w:val="TableDataEntries"/>
              <w:rPr>
                <w:lang w:val="en-GB"/>
              </w:rPr>
            </w:pPr>
            <w:r>
              <w:t xml:space="preserve"> 0.0</w:t>
            </w:r>
          </w:p>
        </w:tc>
        <w:tc>
          <w:tcPr>
            <w:tcW w:w="8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58B1" w:rsidRDefault="006158B1" w:rsidP="006158B1">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58B1" w:rsidRDefault="006158B1" w:rsidP="006158B1">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58B1" w:rsidRDefault="006158B1" w:rsidP="006158B1">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58B1" w:rsidRDefault="006158B1" w:rsidP="006158B1">
            <w:pPr>
              <w:pStyle w:val="TableDataEntries"/>
              <w:rPr>
                <w:lang w:val="en-GB"/>
              </w:rPr>
            </w:pPr>
            <w:r>
              <w:t xml:space="preserve"> 0.0</w:t>
            </w:r>
          </w:p>
        </w:tc>
      </w:tr>
      <w:tr w:rsidR="006158B1" w:rsidRPr="006158B1" w:rsidTr="0045144D">
        <w:trPr>
          <w:trHeight w:val="230"/>
        </w:trPr>
        <w:tc>
          <w:tcPr>
            <w:tcW w:w="217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58B1" w:rsidRPr="006158B1" w:rsidRDefault="006158B1" w:rsidP="006158B1">
            <w:pPr>
              <w:pStyle w:val="TableDataEntries"/>
              <w:jc w:val="left"/>
              <w:rPr>
                <w:rFonts w:ascii="Franklin Gothic Demi" w:hAnsi="Franklin Gothic Demi"/>
                <w:lang w:val="en-GB"/>
              </w:rPr>
            </w:pPr>
            <w:r w:rsidRPr="006158B1">
              <w:rPr>
                <w:rFonts w:ascii="Franklin Gothic Demi" w:hAnsi="Franklin Gothic Demi"/>
                <w:lang w:val="en-GB"/>
              </w:rPr>
              <w:t>Services total</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58B1" w:rsidRPr="006158B1" w:rsidRDefault="006158B1" w:rsidP="006158B1">
            <w:pPr>
              <w:pStyle w:val="TableDataEntries"/>
              <w:rPr>
                <w:rFonts w:ascii="Franklin Gothic Demi" w:hAnsi="Franklin Gothic Demi"/>
                <w:lang w:val="en-GB"/>
              </w:rPr>
            </w:pPr>
            <w:r w:rsidRPr="006158B1">
              <w:rPr>
                <w:rFonts w:ascii="Franklin Gothic Demi" w:hAnsi="Franklin Gothic Demi"/>
              </w:rPr>
              <w:t>- 140.1</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58B1" w:rsidRPr="006158B1" w:rsidRDefault="006158B1" w:rsidP="006158B1">
            <w:pPr>
              <w:pStyle w:val="TableDataEntries"/>
              <w:rPr>
                <w:rFonts w:ascii="Franklin Gothic Demi" w:hAnsi="Franklin Gothic Demi"/>
                <w:lang w:val="en-GB"/>
              </w:rPr>
            </w:pPr>
            <w:r w:rsidRPr="006158B1">
              <w:rPr>
                <w:rFonts w:ascii="Franklin Gothic Demi" w:hAnsi="Franklin Gothic Demi"/>
              </w:rPr>
              <w:t xml:space="preserve"> 44.3</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58B1" w:rsidRPr="006158B1" w:rsidRDefault="006158B1" w:rsidP="006158B1">
            <w:pPr>
              <w:pStyle w:val="TableDataEntries"/>
              <w:rPr>
                <w:rFonts w:ascii="Franklin Gothic Demi" w:hAnsi="Franklin Gothic Demi"/>
                <w:lang w:val="en-GB"/>
              </w:rPr>
            </w:pPr>
            <w:r w:rsidRPr="006158B1">
              <w:rPr>
                <w:rFonts w:ascii="Franklin Gothic Demi" w:hAnsi="Franklin Gothic Demi"/>
              </w:rPr>
              <w:t>- 70.0</w:t>
            </w:r>
          </w:p>
        </w:tc>
        <w:tc>
          <w:tcPr>
            <w:tcW w:w="8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58B1" w:rsidRPr="006158B1" w:rsidRDefault="006158B1" w:rsidP="006158B1">
            <w:pPr>
              <w:pStyle w:val="TableDataEntries"/>
              <w:rPr>
                <w:rFonts w:ascii="Franklin Gothic Demi" w:hAnsi="Franklin Gothic Demi"/>
                <w:lang w:val="en-GB"/>
              </w:rPr>
            </w:pPr>
            <w:r w:rsidRPr="006158B1">
              <w:rPr>
                <w:rFonts w:ascii="Franklin Gothic Demi" w:hAnsi="Franklin Gothic Demi"/>
              </w:rPr>
              <w:t>- 86.3</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58B1" w:rsidRPr="006158B1" w:rsidRDefault="006158B1" w:rsidP="006158B1">
            <w:pPr>
              <w:pStyle w:val="TableDataEntries"/>
              <w:rPr>
                <w:rFonts w:ascii="Franklin Gothic Demi" w:hAnsi="Franklin Gothic Demi"/>
                <w:lang w:val="en-GB"/>
              </w:rPr>
            </w:pPr>
            <w:r w:rsidRPr="006158B1">
              <w:rPr>
                <w:rFonts w:ascii="Franklin Gothic Demi" w:hAnsi="Franklin Gothic Demi"/>
              </w:rPr>
              <w:t>- 71.0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58B1" w:rsidRPr="006158B1" w:rsidRDefault="006158B1" w:rsidP="006158B1">
            <w:pPr>
              <w:pStyle w:val="TableDataEntries"/>
              <w:rPr>
                <w:rFonts w:ascii="Franklin Gothic Demi" w:hAnsi="Franklin Gothic Demi"/>
                <w:lang w:val="en-GB"/>
              </w:rPr>
            </w:pPr>
            <w:r w:rsidRPr="006158B1">
              <w:rPr>
                <w:rFonts w:ascii="Franklin Gothic Demi" w:hAnsi="Franklin Gothic Demi"/>
              </w:rPr>
              <w:t>- 139.6</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58B1" w:rsidRPr="006158B1" w:rsidRDefault="006158B1" w:rsidP="006158B1">
            <w:pPr>
              <w:pStyle w:val="TableDataEntries"/>
              <w:rPr>
                <w:rFonts w:ascii="Franklin Gothic Demi" w:hAnsi="Franklin Gothic Demi"/>
                <w:lang w:val="en-GB"/>
              </w:rPr>
            </w:pPr>
            <w:r w:rsidRPr="006158B1">
              <w:rPr>
                <w:rFonts w:ascii="Franklin Gothic Demi" w:hAnsi="Franklin Gothic Demi"/>
              </w:rPr>
              <w:t>- 201.0</w:t>
            </w:r>
          </w:p>
        </w:tc>
      </w:tr>
      <w:tr w:rsidR="006158B1" w:rsidRPr="006158B1" w:rsidTr="00301B6D">
        <w:trPr>
          <w:trHeight w:val="230"/>
        </w:trPr>
        <w:tc>
          <w:tcPr>
            <w:tcW w:w="2177"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rsidR="006158B1" w:rsidRPr="006158B1" w:rsidRDefault="006158B1" w:rsidP="006158B1">
            <w:pPr>
              <w:pStyle w:val="TableDataEntries"/>
              <w:jc w:val="left"/>
              <w:rPr>
                <w:rFonts w:ascii="Franklin Gothic Demi" w:hAnsi="Franklin Gothic Demi"/>
                <w:lang w:val="en-GB"/>
              </w:rPr>
            </w:pPr>
            <w:r w:rsidRPr="006158B1">
              <w:rPr>
                <w:rFonts w:ascii="Franklin Gothic Demi" w:hAnsi="Franklin Gothic Demi"/>
                <w:lang w:val="en-GB"/>
              </w:rPr>
              <w:t>Total</w:t>
            </w:r>
          </w:p>
        </w:tc>
        <w:tc>
          <w:tcPr>
            <w:tcW w:w="82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6158B1" w:rsidRPr="006158B1" w:rsidRDefault="006158B1" w:rsidP="006158B1">
            <w:pPr>
              <w:pStyle w:val="TableDataEntries"/>
              <w:rPr>
                <w:rFonts w:ascii="Franklin Gothic Demi" w:hAnsi="Franklin Gothic Demi"/>
                <w:lang w:val="en-GB"/>
              </w:rPr>
            </w:pPr>
            <w:r w:rsidRPr="006158B1">
              <w:rPr>
                <w:rFonts w:ascii="Franklin Gothic Demi" w:hAnsi="Franklin Gothic Demi"/>
              </w:rPr>
              <w:t xml:space="preserve"> 111.0</w:t>
            </w:r>
          </w:p>
        </w:tc>
        <w:tc>
          <w:tcPr>
            <w:tcW w:w="82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6158B1" w:rsidRPr="006158B1" w:rsidRDefault="006158B1" w:rsidP="006158B1">
            <w:pPr>
              <w:pStyle w:val="TableDataEntries"/>
              <w:rPr>
                <w:rFonts w:ascii="Franklin Gothic Demi" w:hAnsi="Franklin Gothic Demi"/>
                <w:lang w:val="en-GB"/>
              </w:rPr>
            </w:pPr>
            <w:r w:rsidRPr="006158B1">
              <w:rPr>
                <w:rFonts w:ascii="Franklin Gothic Demi" w:hAnsi="Franklin Gothic Demi"/>
              </w:rPr>
              <w:t>- 47.1</w:t>
            </w:r>
          </w:p>
        </w:tc>
        <w:tc>
          <w:tcPr>
            <w:tcW w:w="82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6158B1" w:rsidRPr="006158B1" w:rsidRDefault="006158B1" w:rsidP="006158B1">
            <w:pPr>
              <w:pStyle w:val="TableDataEntries"/>
              <w:rPr>
                <w:rFonts w:ascii="Franklin Gothic Demi" w:hAnsi="Franklin Gothic Demi"/>
                <w:lang w:val="en-GB"/>
              </w:rPr>
            </w:pPr>
            <w:r w:rsidRPr="006158B1">
              <w:rPr>
                <w:rFonts w:ascii="Franklin Gothic Demi" w:hAnsi="Franklin Gothic Demi"/>
              </w:rPr>
              <w:t>- 523.0</w:t>
            </w:r>
          </w:p>
        </w:tc>
        <w:tc>
          <w:tcPr>
            <w:tcW w:w="824"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6158B1" w:rsidRPr="006158B1" w:rsidRDefault="006158B1" w:rsidP="006158B1">
            <w:pPr>
              <w:pStyle w:val="TableDataEntries"/>
              <w:rPr>
                <w:rFonts w:ascii="Franklin Gothic Demi" w:hAnsi="Franklin Gothic Demi"/>
                <w:lang w:val="en-GB"/>
              </w:rPr>
            </w:pPr>
            <w:r w:rsidRPr="006158B1">
              <w:rPr>
                <w:rFonts w:ascii="Franklin Gothic Demi" w:hAnsi="Franklin Gothic Demi"/>
              </w:rPr>
              <w:t xml:space="preserve"> 41.0</w:t>
            </w:r>
          </w:p>
        </w:tc>
        <w:tc>
          <w:tcPr>
            <w:tcW w:w="82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6158B1" w:rsidRPr="006158B1" w:rsidRDefault="006158B1" w:rsidP="006158B1">
            <w:pPr>
              <w:pStyle w:val="TableDataEntries"/>
              <w:rPr>
                <w:rFonts w:ascii="Franklin Gothic Demi" w:hAnsi="Franklin Gothic Demi"/>
                <w:lang w:val="en-GB"/>
              </w:rPr>
            </w:pPr>
            <w:r w:rsidRPr="006158B1">
              <w:rPr>
                <w:rFonts w:ascii="Franklin Gothic Demi" w:hAnsi="Franklin Gothic Demi"/>
              </w:rPr>
              <w:t>- 96.2</w:t>
            </w:r>
          </w:p>
        </w:tc>
        <w:tc>
          <w:tcPr>
            <w:tcW w:w="82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6158B1" w:rsidRPr="006158B1" w:rsidRDefault="006158B1" w:rsidP="006158B1">
            <w:pPr>
              <w:pStyle w:val="TableDataEntries"/>
              <w:rPr>
                <w:rFonts w:ascii="Franklin Gothic Demi" w:hAnsi="Franklin Gothic Demi"/>
                <w:lang w:val="en-GB"/>
              </w:rPr>
            </w:pPr>
            <w:r w:rsidRPr="006158B1">
              <w:rPr>
                <w:rFonts w:ascii="Franklin Gothic Demi" w:hAnsi="Franklin Gothic Demi"/>
              </w:rPr>
              <w:t xml:space="preserve"> 199.4</w:t>
            </w:r>
          </w:p>
        </w:tc>
        <w:tc>
          <w:tcPr>
            <w:tcW w:w="82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6158B1" w:rsidRPr="006158B1" w:rsidRDefault="006158B1" w:rsidP="006158B1">
            <w:pPr>
              <w:pStyle w:val="TableDataEntries"/>
              <w:rPr>
                <w:rFonts w:ascii="Franklin Gothic Demi" w:hAnsi="Franklin Gothic Demi"/>
                <w:lang w:val="en-GB"/>
              </w:rPr>
            </w:pPr>
            <w:r w:rsidRPr="006158B1">
              <w:rPr>
                <w:rFonts w:ascii="Franklin Gothic Demi" w:hAnsi="Franklin Gothic Demi"/>
              </w:rPr>
              <w:t xml:space="preserve"> 110.7</w:t>
            </w:r>
          </w:p>
        </w:tc>
      </w:tr>
    </w:tbl>
    <w:p w:rsidR="00612FD3" w:rsidRDefault="00612FD3" w:rsidP="00612FD3">
      <w:pPr>
        <w:pStyle w:val="Note"/>
        <w:rPr>
          <w:lang w:bidi="fa-IR"/>
        </w:rPr>
      </w:pPr>
      <w:r w:rsidRPr="007D1B4F">
        <w:rPr>
          <w:i/>
        </w:rPr>
        <w:t>Note:</w:t>
      </w:r>
      <w:r w:rsidRPr="00E879B8">
        <w:t xml:space="preserve"> </w:t>
      </w:r>
      <w:r w:rsidR="00C50E98">
        <w:t>Cost increases are reported as a negative value and cost savings are reported as a positive value.</w:t>
      </w:r>
    </w:p>
    <w:p w:rsidR="00612FD3" w:rsidRDefault="00612FD3" w:rsidP="00612FD3">
      <w:pPr>
        <w:pStyle w:val="Source"/>
        <w:rPr>
          <w:lang w:bidi="fa-IR"/>
        </w:rPr>
      </w:pPr>
      <w:r w:rsidRPr="00593EDD">
        <w:rPr>
          <w:i/>
          <w:lang w:bidi="fa-IR"/>
        </w:rPr>
        <w:t>Source:</w:t>
      </w:r>
      <w:r>
        <w:rPr>
          <w:lang w:bidi="fa-IR"/>
        </w:rPr>
        <w:t xml:space="preserve"> </w:t>
      </w:r>
      <w:r w:rsidR="003F28DD">
        <w:rPr>
          <w:lang w:bidi="fa-IR"/>
        </w:rPr>
        <w:t>EA</w:t>
      </w:r>
      <w:r>
        <w:rPr>
          <w:lang w:bidi="fa-IR"/>
        </w:rPr>
        <w:t xml:space="preserve"> modelling.</w:t>
      </w:r>
    </w:p>
    <w:p w:rsidR="006158B1" w:rsidRDefault="00EE351B" w:rsidP="006158B1">
      <w:pPr>
        <w:pStyle w:val="BodyText"/>
        <w:rPr>
          <w:lang w:eastAsia="en-US"/>
        </w:rPr>
      </w:pPr>
      <w:r>
        <w:rPr>
          <w:lang w:eastAsia="en-US"/>
        </w:rPr>
        <w:t xml:space="preserve">Comparing the two office buildings suggests that the impact of the proposed changes on construction costs can vary significantly depending on the WWR </w:t>
      </w:r>
      <w:r w:rsidR="006158B1">
        <w:rPr>
          <w:lang w:eastAsia="en-US"/>
        </w:rPr>
        <w:t>(chart </w:t>
      </w:r>
      <w:r w:rsidR="006158B1">
        <w:rPr>
          <w:lang w:eastAsia="en-US"/>
        </w:rPr>
        <w:fldChar w:fldCharType="begin"/>
      </w:r>
      <w:r w:rsidR="006158B1">
        <w:rPr>
          <w:lang w:eastAsia="en-US"/>
        </w:rPr>
        <w:instrText xml:space="preserve"> REF _Caption2181 </w:instrText>
      </w:r>
      <w:r w:rsidR="006158B1">
        <w:rPr>
          <w:lang w:eastAsia="en-US"/>
        </w:rPr>
        <w:fldChar w:fldCharType="separate"/>
      </w:r>
      <w:r w:rsidR="006B79B8" w:rsidRPr="00D00F02">
        <w:rPr>
          <w:noProof/>
        </w:rPr>
        <w:t>E.10</w:t>
      </w:r>
      <w:r w:rsidR="006158B1">
        <w:rPr>
          <w:lang w:eastAsia="en-US"/>
        </w:rPr>
        <w:fldChar w:fldCharType="end"/>
      </w:r>
      <w:r w:rsidR="006158B1">
        <w:rPr>
          <w:lang w:eastAsia="en-US"/>
        </w:rPr>
        <w:t>).</w:t>
      </w:r>
    </w:p>
    <w:p w:rsidR="00EE351B" w:rsidRDefault="00EE351B" w:rsidP="00EE351B">
      <w:pPr>
        <w:pStyle w:val="ListBullet"/>
        <w:numPr>
          <w:ilvl w:val="0"/>
          <w:numId w:val="45"/>
        </w:numPr>
        <w:rPr>
          <w:lang w:eastAsia="en-US"/>
        </w:rPr>
      </w:pPr>
      <w:r>
        <w:rPr>
          <w:lang w:eastAsia="en-US"/>
        </w:rPr>
        <w:t xml:space="preserve">The more extensively glazed office building would have significantly higher costs as a result of the code changes (compared to the less extensively glazed building) in </w:t>
      </w:r>
      <w:r w:rsidR="00E31EE8">
        <w:rPr>
          <w:lang w:eastAsia="en-US"/>
        </w:rPr>
        <w:t>Climate Zone</w:t>
      </w:r>
      <w:r>
        <w:rPr>
          <w:lang w:eastAsia="en-US"/>
        </w:rPr>
        <w:t xml:space="preserve"> 3.</w:t>
      </w:r>
    </w:p>
    <w:p w:rsidR="00EE351B" w:rsidRDefault="00EE351B" w:rsidP="002B3C0A">
      <w:pPr>
        <w:pStyle w:val="ListBullet"/>
        <w:numPr>
          <w:ilvl w:val="0"/>
          <w:numId w:val="45"/>
        </w:numPr>
        <w:rPr>
          <w:lang w:eastAsia="en-US"/>
        </w:rPr>
      </w:pPr>
      <w:r>
        <w:rPr>
          <w:lang w:eastAsia="en-US"/>
        </w:rPr>
        <w:t xml:space="preserve">By contrast, the proposed code changes result in cost savings for the more extensively glazed building in </w:t>
      </w:r>
      <w:r w:rsidR="00E31EE8">
        <w:rPr>
          <w:lang w:eastAsia="en-US"/>
        </w:rPr>
        <w:t>Climate Zone</w:t>
      </w:r>
      <w:r>
        <w:rPr>
          <w:lang w:eastAsia="en-US"/>
        </w:rPr>
        <w:t>s 1, 3, 5 and 6, but cost increases for the less extensively glazed building.</w:t>
      </w:r>
    </w:p>
    <w:p w:rsidR="006158B1" w:rsidRPr="00695C93" w:rsidRDefault="006158B1" w:rsidP="006158B1">
      <w:pPr>
        <w:pStyle w:val="Caption"/>
      </w:pPr>
      <w:r w:rsidRPr="007502CF">
        <w:fldChar w:fldCharType="begin"/>
      </w:r>
      <w:r w:rsidRPr="007502CF">
        <w:instrText xml:space="preserve"> IF 1 = 1 "</w:instrText>
      </w:r>
      <w:r w:rsidRPr="007502CF">
        <w:fldChar w:fldCharType="begin"/>
      </w:r>
      <w:r w:rsidRPr="007502CF">
        <w:instrText xml:space="preserve"> IF </w:instrText>
      </w:r>
      <w:r w:rsidRPr="007502CF">
        <w:rPr>
          <w:noProof/>
        </w:rPr>
        <w:fldChar w:fldCharType="begin"/>
      </w:r>
      <w:r w:rsidRPr="007502CF">
        <w:rPr>
          <w:noProof/>
        </w:rPr>
        <w:instrText xml:space="preserve"> STYLEREF "Heading 6" \l \n </w:instrText>
      </w:r>
      <w:r w:rsidRPr="007502CF">
        <w:rPr>
          <w:noProof/>
        </w:rPr>
        <w:fldChar w:fldCharType="separate"/>
      </w:r>
      <w:r w:rsidR="00B833F1">
        <w:rPr>
          <w:noProof/>
        </w:rPr>
        <w:instrText>0</w:instrText>
      </w:r>
      <w:r w:rsidRPr="007502CF">
        <w:rPr>
          <w:noProof/>
        </w:rPr>
        <w:fldChar w:fldCharType="end"/>
      </w:r>
      <w:r w:rsidRPr="007502CF">
        <w:instrText xml:space="preserve"> = 0 "</w:instrText>
      </w:r>
      <w:r w:rsidRPr="007502CF">
        <w:fldChar w:fldCharType="begin"/>
      </w:r>
      <w:r w:rsidRPr="007502CF">
        <w:instrText xml:space="preserve"> IF </w:instrText>
      </w:r>
      <w:r w:rsidRPr="007502CF">
        <w:rPr>
          <w:noProof/>
        </w:rPr>
        <w:fldChar w:fldCharType="begin"/>
      </w:r>
      <w:r w:rsidRPr="007502CF">
        <w:rPr>
          <w:noProof/>
        </w:rPr>
        <w:instrText xml:space="preserve"> STYLEREF "Heading 1" \l \n </w:instrText>
      </w:r>
      <w:r w:rsidRPr="007502CF">
        <w:rPr>
          <w:noProof/>
        </w:rPr>
        <w:fldChar w:fldCharType="separate"/>
      </w:r>
      <w:r w:rsidR="00B833F1">
        <w:rPr>
          <w:noProof/>
        </w:rPr>
        <w:instrText>5</w:instrText>
      </w:r>
      <w:r w:rsidRPr="007502CF">
        <w:rPr>
          <w:noProof/>
        </w:rPr>
        <w:fldChar w:fldCharType="end"/>
      </w:r>
      <w:r w:rsidRPr="007502CF">
        <w:instrText xml:space="preserve"> = 0 "" "</w:instrText>
      </w:r>
      <w:r w:rsidRPr="007502CF">
        <w:rPr>
          <w:noProof/>
        </w:rPr>
        <w:fldChar w:fldCharType="begin"/>
      </w:r>
      <w:r w:rsidRPr="007502CF">
        <w:rPr>
          <w:noProof/>
        </w:rPr>
        <w:instrText xml:space="preserve"> STYLEREF "Heading 1" \l \n </w:instrText>
      </w:r>
      <w:r w:rsidRPr="007502CF">
        <w:rPr>
          <w:noProof/>
        </w:rPr>
        <w:fldChar w:fldCharType="separate"/>
      </w:r>
      <w:r w:rsidR="00B833F1">
        <w:rPr>
          <w:noProof/>
        </w:rPr>
        <w:instrText>5</w:instrText>
      </w:r>
      <w:r w:rsidRPr="007502CF">
        <w:rPr>
          <w:noProof/>
        </w:rPr>
        <w:fldChar w:fldCharType="end"/>
      </w:r>
      <w:r w:rsidRPr="007502CF">
        <w:instrText xml:space="preserve">." </w:instrText>
      </w:r>
      <w:r w:rsidRPr="007502CF">
        <w:fldChar w:fldCharType="separate"/>
      </w:r>
      <w:r w:rsidR="00B833F1">
        <w:rPr>
          <w:noProof/>
        </w:rPr>
        <w:instrText>5</w:instrText>
      </w:r>
      <w:r w:rsidR="00B833F1" w:rsidRPr="007502CF">
        <w:rPr>
          <w:noProof/>
        </w:rPr>
        <w:instrText>.</w:instrText>
      </w:r>
      <w:r w:rsidRPr="007502CF">
        <w:fldChar w:fldCharType="end"/>
      </w:r>
      <w:r w:rsidRPr="007502CF">
        <w:instrText>" "</w:instrText>
      </w:r>
      <w:r w:rsidRPr="007502CF">
        <w:rPr>
          <w:noProof/>
        </w:rPr>
        <w:fldChar w:fldCharType="begin"/>
      </w:r>
      <w:r w:rsidRPr="007502CF">
        <w:rPr>
          <w:noProof/>
        </w:rPr>
        <w:instrText xml:space="preserve"> STYLEREF "Heading 6" \l \n </w:instrText>
      </w:r>
      <w:r w:rsidRPr="007502CF">
        <w:rPr>
          <w:noProof/>
        </w:rPr>
        <w:fldChar w:fldCharType="separate"/>
      </w:r>
      <w:r w:rsidRPr="007502CF">
        <w:rPr>
          <w:noProof/>
        </w:rPr>
        <w:instrText>A</w:instrText>
      </w:r>
      <w:r w:rsidRPr="007502CF">
        <w:rPr>
          <w:noProof/>
        </w:rPr>
        <w:fldChar w:fldCharType="end"/>
      </w:r>
      <w:r w:rsidRPr="007502CF">
        <w:instrText xml:space="preserve">." </w:instrText>
      </w:r>
      <w:r w:rsidRPr="007502CF">
        <w:fldChar w:fldCharType="separate"/>
      </w:r>
      <w:r w:rsidR="00EA42ED">
        <w:rPr>
          <w:noProof/>
        </w:rPr>
        <w:instrText>5</w:instrText>
      </w:r>
      <w:r w:rsidR="00EA42ED" w:rsidRPr="007502CF">
        <w:rPr>
          <w:noProof/>
        </w:rPr>
        <w:instrText>.</w:instrText>
      </w:r>
      <w:r w:rsidRPr="007502CF">
        <w:fldChar w:fldCharType="end"/>
      </w:r>
      <w:r w:rsidRPr="007502CF">
        <w:fldChar w:fldCharType="begin"/>
      </w:r>
      <w:r w:rsidRPr="007502CF">
        <w:instrText xml:space="preserve"> SEQ Item \* ARABIC \s </w:instrText>
      </w:r>
      <w:r w:rsidRPr="007502CF">
        <w:fldChar w:fldCharType="begin"/>
      </w:r>
      <w:r w:rsidRPr="007502CF">
        <w:instrText xml:space="preserve"> IF </w:instrText>
      </w:r>
      <w:r w:rsidRPr="007502CF">
        <w:rPr>
          <w:noProof/>
        </w:rPr>
        <w:fldChar w:fldCharType="begin"/>
      </w:r>
      <w:r w:rsidRPr="007502CF">
        <w:rPr>
          <w:noProof/>
        </w:rPr>
        <w:instrText xml:space="preserve"> STYLEREF "Heading 6" \l \n </w:instrText>
      </w:r>
      <w:r w:rsidRPr="007502CF">
        <w:rPr>
          <w:noProof/>
        </w:rPr>
        <w:fldChar w:fldCharType="separate"/>
      </w:r>
      <w:r w:rsidR="00B833F1">
        <w:rPr>
          <w:noProof/>
        </w:rPr>
        <w:instrText>0</w:instrText>
      </w:r>
      <w:r w:rsidRPr="007502CF">
        <w:rPr>
          <w:noProof/>
        </w:rPr>
        <w:fldChar w:fldCharType="end"/>
      </w:r>
      <w:r w:rsidRPr="007502CF">
        <w:instrText xml:space="preserve"> = 0 "</w:instrText>
      </w:r>
      <w:r w:rsidRPr="007502CF">
        <w:fldChar w:fldCharType="begin"/>
      </w:r>
      <w:r w:rsidRPr="007502CF">
        <w:instrText xml:space="preserve"> IF </w:instrText>
      </w:r>
      <w:r w:rsidRPr="007502CF">
        <w:rPr>
          <w:noProof/>
        </w:rPr>
        <w:fldChar w:fldCharType="begin"/>
      </w:r>
      <w:r w:rsidRPr="007502CF">
        <w:rPr>
          <w:noProof/>
        </w:rPr>
        <w:instrText xml:space="preserve"> STYLEREF "Heading 1" \l \n </w:instrText>
      </w:r>
      <w:r w:rsidRPr="007502CF">
        <w:rPr>
          <w:noProof/>
        </w:rPr>
        <w:fldChar w:fldCharType="separate"/>
      </w:r>
      <w:r w:rsidR="00B833F1">
        <w:rPr>
          <w:noProof/>
        </w:rPr>
        <w:instrText>5</w:instrText>
      </w:r>
      <w:r w:rsidRPr="007502CF">
        <w:rPr>
          <w:noProof/>
        </w:rPr>
        <w:fldChar w:fldCharType="end"/>
      </w:r>
      <w:r w:rsidRPr="007502CF">
        <w:instrText xml:space="preserve"> = 0 "" "1" </w:instrText>
      </w:r>
      <w:r w:rsidRPr="007502CF">
        <w:fldChar w:fldCharType="separate"/>
      </w:r>
      <w:r w:rsidR="00EA42ED" w:rsidRPr="007502CF">
        <w:rPr>
          <w:noProof/>
        </w:rPr>
        <w:instrText>1</w:instrText>
      </w:r>
      <w:r w:rsidRPr="007502CF">
        <w:fldChar w:fldCharType="end"/>
      </w:r>
      <w:r w:rsidRPr="007502CF">
        <w:instrText xml:space="preserve">" "6" </w:instrText>
      </w:r>
      <w:r w:rsidRPr="007502CF">
        <w:fldChar w:fldCharType="separate"/>
      </w:r>
      <w:r w:rsidR="00EA42ED" w:rsidRPr="007502CF">
        <w:rPr>
          <w:noProof/>
        </w:rPr>
        <w:instrText>1</w:instrText>
      </w:r>
      <w:r w:rsidRPr="007502CF">
        <w:fldChar w:fldCharType="end"/>
      </w:r>
      <w:r w:rsidRPr="007502CF">
        <w:instrText xml:space="preserve"> </w:instrText>
      </w:r>
      <w:r w:rsidRPr="007502CF">
        <w:fldChar w:fldCharType="separate"/>
      </w:r>
      <w:r w:rsidR="00B833F1">
        <w:rPr>
          <w:noProof/>
        </w:rPr>
        <w:instrText>5</w:instrText>
      </w:r>
      <w:r w:rsidRPr="007502CF">
        <w:fldChar w:fldCharType="end"/>
      </w:r>
      <w:r w:rsidRPr="007502CF">
        <w:instrText xml:space="preserve">" "" </w:instrText>
      </w:r>
      <w:r w:rsidRPr="007502CF">
        <w:fldChar w:fldCharType="separate"/>
      </w:r>
      <w:bookmarkStart w:id="1736" w:name="_Caption0685"/>
      <w:bookmarkStart w:id="1737" w:name="_Caption5121"/>
      <w:bookmarkStart w:id="1738" w:name="_Caption9474"/>
      <w:bookmarkStart w:id="1739" w:name="_Caption0269"/>
      <w:bookmarkStart w:id="1740" w:name="_Caption3457"/>
      <w:bookmarkStart w:id="1741" w:name="_Caption4819"/>
      <w:bookmarkStart w:id="1742" w:name="_Caption6895"/>
      <w:bookmarkStart w:id="1743" w:name="_Caption7182"/>
      <w:bookmarkStart w:id="1744" w:name="_Caption9103"/>
      <w:bookmarkStart w:id="1745" w:name="_Caption6330"/>
      <w:bookmarkStart w:id="1746" w:name="_Caption4976"/>
      <w:bookmarkStart w:id="1747" w:name="_Caption9086"/>
      <w:bookmarkStart w:id="1748" w:name="_Caption9109"/>
      <w:bookmarkStart w:id="1749" w:name="_Caption6640"/>
      <w:bookmarkStart w:id="1750" w:name="_Caption7617"/>
      <w:bookmarkStart w:id="1751" w:name="_Caption0977"/>
      <w:bookmarkStart w:id="1752" w:name="_Caption2847"/>
      <w:bookmarkStart w:id="1753" w:name="_Caption8622"/>
      <w:bookmarkStart w:id="1754" w:name="_Caption0556"/>
      <w:bookmarkStart w:id="1755" w:name="_Caption9692"/>
      <w:bookmarkStart w:id="1756" w:name="_Toc529869913"/>
      <w:bookmarkStart w:id="1757" w:name="_Toc530748409"/>
      <w:r w:rsidR="00EA42ED">
        <w:rPr>
          <w:noProof/>
        </w:rPr>
        <w:t>5</w:t>
      </w:r>
      <w:r w:rsidR="00EA42ED" w:rsidRPr="007502CF">
        <w:rPr>
          <w:noProof/>
        </w:rPr>
        <w:t>.</w:t>
      </w:r>
      <w:r w:rsidR="00EA42ED">
        <w:rPr>
          <w:noProof/>
        </w:rPr>
        <w:t>5</w:t>
      </w:r>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r w:rsidRPr="007502CF">
        <w:fldChar w:fldCharType="end"/>
      </w:r>
      <w:r w:rsidRPr="007502CF">
        <w:tab/>
        <w:t>Change in construction costs — office buildings</w:t>
      </w:r>
      <w:bookmarkEnd w:id="1756"/>
      <w:bookmarkEnd w:id="1757"/>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8"/>
      </w:tblGrid>
      <w:tr w:rsidR="006158B1" w:rsidTr="006158B1">
        <w:trPr>
          <w:cantSplit/>
        </w:trPr>
        <w:tc>
          <w:tcPr>
            <w:tcW w:w="7938" w:type="dxa"/>
            <w:shd w:val="clear" w:color="auto" w:fill="E9E8E5" w:themeFill="background2"/>
          </w:tcPr>
          <w:p w:rsidR="006158B1" w:rsidRDefault="006158B1" w:rsidP="006158B1">
            <w:pPr>
              <w:pStyle w:val="Chart"/>
            </w:pPr>
            <w:r w:rsidRPr="006158B1">
              <w:rPr>
                <w:noProof/>
                <w:lang w:eastAsia="en-AU"/>
              </w:rPr>
              <w:drawing>
                <wp:inline distT="0" distB="0" distL="0" distR="0" wp14:anchorId="19388CA5" wp14:editId="4C03BF85">
                  <wp:extent cx="5041900" cy="2470150"/>
                  <wp:effectExtent l="0" t="0" r="6350" b="0"/>
                  <wp:docPr id="37" name="Picture 37" descr="This chart shows the change in construction costs for office buildings with different WWRs. Office buildings with 56% WWR have higher thanes in construction costs than those with 40%. The most significant change is a fall of over half million for office buildings in Climate zone 3 with 56%WWR, and a rise of $0.2 million in Climate Zone 6 with 56% WWR." title="Chart 5.5 Change in construction cost - office buil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41900" cy="2470150"/>
                          </a:xfrm>
                          <a:prstGeom prst="rect">
                            <a:avLst/>
                          </a:prstGeom>
                          <a:noFill/>
                          <a:ln>
                            <a:noFill/>
                          </a:ln>
                        </pic:spPr>
                      </pic:pic>
                    </a:graphicData>
                  </a:graphic>
                </wp:inline>
              </w:drawing>
            </w:r>
          </w:p>
        </w:tc>
      </w:tr>
    </w:tbl>
    <w:p w:rsidR="006158B1" w:rsidRDefault="006158B1" w:rsidP="006158B1">
      <w:pPr>
        <w:pStyle w:val="Source"/>
      </w:pPr>
      <w:r>
        <w:rPr>
          <w:i/>
        </w:rPr>
        <w:t>Data source</w:t>
      </w:r>
      <w:r w:rsidRPr="00A67576">
        <w:rPr>
          <w:i/>
        </w:rPr>
        <w:t>:</w:t>
      </w:r>
      <w:r>
        <w:t xml:space="preserve"> </w:t>
      </w:r>
      <w:r w:rsidR="003F28DD">
        <w:t>EA</w:t>
      </w:r>
      <w:r>
        <w:t xml:space="preserve"> modelling.</w:t>
      </w:r>
    </w:p>
    <w:p w:rsidR="00612FD3" w:rsidRDefault="00612FD3" w:rsidP="0032647A">
      <w:pPr>
        <w:pStyle w:val="Heading3"/>
        <w:numPr>
          <w:ilvl w:val="2"/>
          <w:numId w:val="5"/>
        </w:numPr>
        <w:spacing w:before="240"/>
        <w:rPr>
          <w:lang w:eastAsia="en-US"/>
        </w:rPr>
      </w:pPr>
      <w:r>
        <w:rPr>
          <w:lang w:eastAsia="en-US"/>
        </w:rPr>
        <w:t>Retail buildings</w:t>
      </w:r>
    </w:p>
    <w:p w:rsidR="00612FD3" w:rsidRDefault="003F28DD" w:rsidP="0032647A">
      <w:pPr>
        <w:pStyle w:val="BodyText"/>
        <w:spacing w:before="80"/>
        <w:rPr>
          <w:lang w:eastAsia="en-US"/>
        </w:rPr>
      </w:pPr>
      <w:r>
        <w:rPr>
          <w:lang w:eastAsia="en-US"/>
        </w:rPr>
        <w:t>EA</w:t>
      </w:r>
      <w:r w:rsidR="00612FD3">
        <w:rPr>
          <w:lang w:eastAsia="en-US"/>
        </w:rPr>
        <w:t xml:space="preserve"> modelling suggests there would be increase</w:t>
      </w:r>
      <w:r w:rsidR="00EE351B">
        <w:rPr>
          <w:lang w:eastAsia="en-US"/>
        </w:rPr>
        <w:t>s</w:t>
      </w:r>
      <w:r w:rsidR="00612FD3">
        <w:rPr>
          <w:lang w:eastAsia="en-US"/>
        </w:rPr>
        <w:t xml:space="preserve"> in costs </w:t>
      </w:r>
      <w:r w:rsidR="00EE351B">
        <w:rPr>
          <w:lang w:eastAsia="en-US"/>
        </w:rPr>
        <w:t>across all</w:t>
      </w:r>
      <w:r w:rsidR="00612FD3">
        <w:rPr>
          <w:lang w:eastAsia="en-US"/>
        </w:rPr>
        <w:t xml:space="preserve"> </w:t>
      </w:r>
      <w:r w:rsidR="00E31EE8">
        <w:rPr>
          <w:lang w:eastAsia="en-US"/>
        </w:rPr>
        <w:t>Climate Zone</w:t>
      </w:r>
      <w:r w:rsidR="00612FD3">
        <w:rPr>
          <w:lang w:eastAsia="en-US"/>
        </w:rPr>
        <w:t>s</w:t>
      </w:r>
      <w:r w:rsidR="00EE351B">
        <w:rPr>
          <w:lang w:eastAsia="en-US"/>
        </w:rPr>
        <w:t xml:space="preserve"> </w:t>
      </w:r>
      <w:r w:rsidR="00612FD3">
        <w:rPr>
          <w:lang w:eastAsia="en-US"/>
        </w:rPr>
        <w:t>(table </w:t>
      </w:r>
      <w:r w:rsidR="00C07C84">
        <w:rPr>
          <w:lang w:eastAsia="en-US"/>
        </w:rPr>
        <w:fldChar w:fldCharType="begin"/>
      </w:r>
      <w:r w:rsidR="00C07C84">
        <w:rPr>
          <w:lang w:eastAsia="en-US"/>
        </w:rPr>
        <w:instrText xml:space="preserve"> REF _Caption9455 </w:instrText>
      </w:r>
      <w:r w:rsidR="00C07C84">
        <w:rPr>
          <w:lang w:eastAsia="en-US"/>
        </w:rPr>
        <w:fldChar w:fldCharType="separate"/>
      </w:r>
      <w:r w:rsidR="006B79B8">
        <w:rPr>
          <w:noProof/>
        </w:rPr>
        <w:t>5</w:t>
      </w:r>
      <w:r w:rsidR="006B79B8" w:rsidRPr="002B7F27">
        <w:rPr>
          <w:noProof/>
        </w:rPr>
        <w:t>.</w:t>
      </w:r>
      <w:r w:rsidR="006B79B8">
        <w:rPr>
          <w:noProof/>
        </w:rPr>
        <w:t>6</w:t>
      </w:r>
      <w:r w:rsidR="00C07C84">
        <w:rPr>
          <w:lang w:eastAsia="en-US"/>
        </w:rPr>
        <w:fldChar w:fldCharType="end"/>
      </w:r>
      <w:r w:rsidR="00612FD3">
        <w:rPr>
          <w:lang w:eastAsia="en-US"/>
        </w:rPr>
        <w:t xml:space="preserve">). In general, higher cost services outweigh </w:t>
      </w:r>
      <w:r w:rsidR="00EE351B">
        <w:rPr>
          <w:lang w:eastAsia="en-US"/>
        </w:rPr>
        <w:t xml:space="preserve">relatively </w:t>
      </w:r>
      <w:r w:rsidR="00612FD3">
        <w:rPr>
          <w:lang w:eastAsia="en-US"/>
        </w:rPr>
        <w:t>modest savings in the cost of the façade</w:t>
      </w:r>
      <w:r w:rsidR="00F64F58">
        <w:rPr>
          <w:lang w:eastAsia="en-US"/>
        </w:rPr>
        <w:t xml:space="preserve"> driven by the methodology change to focus on façade SHGC</w:t>
      </w:r>
      <w:r w:rsidR="00612FD3">
        <w:rPr>
          <w:lang w:eastAsia="en-US"/>
        </w:rPr>
        <w:t>.</w:t>
      </w:r>
    </w:p>
    <w:p w:rsidR="00612FD3" w:rsidRDefault="00612FD3" w:rsidP="0032647A">
      <w:pPr>
        <w:pStyle w:val="Caption"/>
        <w:spacing w:before="200"/>
      </w:pPr>
      <w:r w:rsidRPr="002B7F27">
        <w:fldChar w:fldCharType="begin"/>
      </w:r>
      <w:r w:rsidRPr="002B7F27">
        <w:instrText xml:space="preserve"> IF 1 = 1 "</w:instrText>
      </w:r>
      <w:r w:rsidRPr="002B7F27">
        <w:fldChar w:fldCharType="begin"/>
      </w:r>
      <w:r w:rsidRPr="002B7F27">
        <w:instrText xml:space="preserve"> IF </w:instrText>
      </w:r>
      <w:r w:rsidRPr="002B7F27">
        <w:rPr>
          <w:noProof/>
        </w:rPr>
        <w:fldChar w:fldCharType="begin"/>
      </w:r>
      <w:r w:rsidRPr="002B7F27">
        <w:rPr>
          <w:noProof/>
        </w:rPr>
        <w:instrText xml:space="preserve"> STYLEREF "Heading 6" \l \n </w:instrText>
      </w:r>
      <w:r w:rsidRPr="002B7F27">
        <w:rPr>
          <w:noProof/>
        </w:rPr>
        <w:fldChar w:fldCharType="separate"/>
      </w:r>
      <w:r w:rsidR="00B833F1">
        <w:rPr>
          <w:noProof/>
        </w:rPr>
        <w:instrText>0</w:instrText>
      </w:r>
      <w:r w:rsidRPr="002B7F27">
        <w:rPr>
          <w:noProof/>
        </w:rPr>
        <w:fldChar w:fldCharType="end"/>
      </w:r>
      <w:r w:rsidRPr="002B7F27">
        <w:instrText xml:space="preserve"> = 0 "</w:instrText>
      </w:r>
      <w:r w:rsidRPr="002B7F27">
        <w:fldChar w:fldCharType="begin"/>
      </w:r>
      <w:r w:rsidRPr="002B7F27">
        <w:instrText xml:space="preserve"> IF </w:instrText>
      </w:r>
      <w:r w:rsidRPr="002B7F27">
        <w:rPr>
          <w:noProof/>
        </w:rPr>
        <w:fldChar w:fldCharType="begin"/>
      </w:r>
      <w:r w:rsidRPr="002B7F27">
        <w:rPr>
          <w:noProof/>
        </w:rPr>
        <w:instrText xml:space="preserve"> STYLEREF "Heading 1" \l \n </w:instrText>
      </w:r>
      <w:r w:rsidRPr="002B7F27">
        <w:rPr>
          <w:noProof/>
        </w:rPr>
        <w:fldChar w:fldCharType="separate"/>
      </w:r>
      <w:r w:rsidR="00B833F1">
        <w:rPr>
          <w:noProof/>
        </w:rPr>
        <w:instrText>5</w:instrText>
      </w:r>
      <w:r w:rsidRPr="002B7F27">
        <w:rPr>
          <w:noProof/>
        </w:rPr>
        <w:fldChar w:fldCharType="end"/>
      </w:r>
      <w:r w:rsidRPr="002B7F27">
        <w:instrText xml:space="preserve"> = 0 "" "</w:instrText>
      </w:r>
      <w:r w:rsidRPr="002B7F27">
        <w:rPr>
          <w:noProof/>
        </w:rPr>
        <w:fldChar w:fldCharType="begin"/>
      </w:r>
      <w:r w:rsidRPr="002B7F27">
        <w:rPr>
          <w:noProof/>
        </w:rPr>
        <w:instrText xml:space="preserve"> STYLEREF "Heading 1" \l \n </w:instrText>
      </w:r>
      <w:r w:rsidRPr="002B7F27">
        <w:rPr>
          <w:noProof/>
        </w:rPr>
        <w:fldChar w:fldCharType="separate"/>
      </w:r>
      <w:r w:rsidR="00B833F1">
        <w:rPr>
          <w:noProof/>
        </w:rPr>
        <w:instrText>5</w:instrText>
      </w:r>
      <w:r w:rsidRPr="002B7F27">
        <w:rPr>
          <w:noProof/>
        </w:rPr>
        <w:fldChar w:fldCharType="end"/>
      </w:r>
      <w:r w:rsidRPr="002B7F27">
        <w:instrText xml:space="preserve">." </w:instrText>
      </w:r>
      <w:r w:rsidRPr="002B7F27">
        <w:fldChar w:fldCharType="separate"/>
      </w:r>
      <w:r w:rsidR="00B833F1">
        <w:rPr>
          <w:noProof/>
        </w:rPr>
        <w:instrText>5</w:instrText>
      </w:r>
      <w:r w:rsidR="00B833F1" w:rsidRPr="002B7F27">
        <w:rPr>
          <w:noProof/>
        </w:rPr>
        <w:instrText>.</w:instrText>
      </w:r>
      <w:r w:rsidRPr="002B7F27">
        <w:fldChar w:fldCharType="end"/>
      </w:r>
      <w:r w:rsidRPr="002B7F27">
        <w:instrText>" "</w:instrText>
      </w:r>
      <w:r w:rsidR="001F6F43">
        <w:fldChar w:fldCharType="begin"/>
      </w:r>
      <w:r w:rsidR="001F6F43">
        <w:instrText xml:space="preserve"> STYLEREF "Heading 6" \l \n </w:instrText>
      </w:r>
      <w:r w:rsidR="001F6F43">
        <w:fldChar w:fldCharType="separate"/>
      </w:r>
      <w:r w:rsidRPr="002B7F27">
        <w:instrText>B</w:instrText>
      </w:r>
      <w:r w:rsidR="001F6F43">
        <w:fldChar w:fldCharType="end"/>
      </w:r>
      <w:r w:rsidRPr="002B7F27">
        <w:instrText xml:space="preserve">." </w:instrText>
      </w:r>
      <w:r w:rsidRPr="002B7F27">
        <w:fldChar w:fldCharType="separate"/>
      </w:r>
      <w:r w:rsidR="00EA42ED">
        <w:rPr>
          <w:noProof/>
        </w:rPr>
        <w:instrText>5</w:instrText>
      </w:r>
      <w:r w:rsidR="00EA42ED" w:rsidRPr="002B7F27">
        <w:rPr>
          <w:noProof/>
        </w:rPr>
        <w:instrText>.</w:instrText>
      </w:r>
      <w:r w:rsidRPr="002B7F27">
        <w:fldChar w:fldCharType="end"/>
      </w:r>
      <w:r w:rsidRPr="002B7F27">
        <w:fldChar w:fldCharType="begin"/>
      </w:r>
      <w:r w:rsidRPr="002B7F27">
        <w:instrText xml:space="preserve"> SEQ Item \* ARABIC \s </w:instrText>
      </w:r>
      <w:r w:rsidRPr="002B7F27">
        <w:fldChar w:fldCharType="begin"/>
      </w:r>
      <w:r w:rsidRPr="002B7F27">
        <w:instrText xml:space="preserve"> IF </w:instrText>
      </w:r>
      <w:r w:rsidRPr="002B7F27">
        <w:rPr>
          <w:noProof/>
        </w:rPr>
        <w:fldChar w:fldCharType="begin"/>
      </w:r>
      <w:r w:rsidRPr="002B7F27">
        <w:rPr>
          <w:noProof/>
        </w:rPr>
        <w:instrText xml:space="preserve"> STYLEREF "Heading 6" \l \n </w:instrText>
      </w:r>
      <w:r w:rsidRPr="002B7F27">
        <w:rPr>
          <w:noProof/>
        </w:rPr>
        <w:fldChar w:fldCharType="separate"/>
      </w:r>
      <w:r w:rsidR="00B833F1">
        <w:rPr>
          <w:noProof/>
        </w:rPr>
        <w:instrText>0</w:instrText>
      </w:r>
      <w:r w:rsidRPr="002B7F27">
        <w:rPr>
          <w:noProof/>
        </w:rPr>
        <w:fldChar w:fldCharType="end"/>
      </w:r>
      <w:r w:rsidRPr="002B7F27">
        <w:instrText xml:space="preserve"> = 0 "</w:instrText>
      </w:r>
      <w:r w:rsidRPr="002B7F27">
        <w:fldChar w:fldCharType="begin"/>
      </w:r>
      <w:r w:rsidRPr="002B7F27">
        <w:instrText xml:space="preserve"> IF </w:instrText>
      </w:r>
      <w:r w:rsidRPr="002B7F27">
        <w:rPr>
          <w:noProof/>
        </w:rPr>
        <w:fldChar w:fldCharType="begin"/>
      </w:r>
      <w:r w:rsidRPr="002B7F27">
        <w:rPr>
          <w:noProof/>
        </w:rPr>
        <w:instrText xml:space="preserve"> STYLEREF "Heading 1" \l \n </w:instrText>
      </w:r>
      <w:r w:rsidRPr="002B7F27">
        <w:rPr>
          <w:noProof/>
        </w:rPr>
        <w:fldChar w:fldCharType="separate"/>
      </w:r>
      <w:r w:rsidR="00B833F1">
        <w:rPr>
          <w:noProof/>
        </w:rPr>
        <w:instrText>5</w:instrText>
      </w:r>
      <w:r w:rsidRPr="002B7F27">
        <w:rPr>
          <w:noProof/>
        </w:rPr>
        <w:fldChar w:fldCharType="end"/>
      </w:r>
      <w:r w:rsidRPr="002B7F27">
        <w:instrText xml:space="preserve"> = 0 "" "1" </w:instrText>
      </w:r>
      <w:r w:rsidRPr="002B7F27">
        <w:fldChar w:fldCharType="separate"/>
      </w:r>
      <w:r w:rsidR="00EA42ED" w:rsidRPr="002B7F27">
        <w:rPr>
          <w:noProof/>
        </w:rPr>
        <w:instrText>1</w:instrText>
      </w:r>
      <w:r w:rsidRPr="002B7F27">
        <w:fldChar w:fldCharType="end"/>
      </w:r>
      <w:r w:rsidRPr="002B7F27">
        <w:instrText xml:space="preserve">" "6" </w:instrText>
      </w:r>
      <w:r w:rsidRPr="002B7F27">
        <w:fldChar w:fldCharType="separate"/>
      </w:r>
      <w:r w:rsidR="00EA42ED" w:rsidRPr="002B7F27">
        <w:rPr>
          <w:noProof/>
        </w:rPr>
        <w:instrText>1</w:instrText>
      </w:r>
      <w:r w:rsidRPr="002B7F27">
        <w:fldChar w:fldCharType="end"/>
      </w:r>
      <w:r w:rsidRPr="002B7F27">
        <w:instrText xml:space="preserve"> </w:instrText>
      </w:r>
      <w:r w:rsidRPr="002B7F27">
        <w:fldChar w:fldCharType="separate"/>
      </w:r>
      <w:r w:rsidR="00B833F1">
        <w:rPr>
          <w:noProof/>
        </w:rPr>
        <w:instrText>6</w:instrText>
      </w:r>
      <w:r w:rsidRPr="002B7F27">
        <w:fldChar w:fldCharType="end"/>
      </w:r>
      <w:r w:rsidRPr="002B7F27">
        <w:instrText xml:space="preserve">" "" </w:instrText>
      </w:r>
      <w:r w:rsidRPr="002B7F27">
        <w:fldChar w:fldCharType="separate"/>
      </w:r>
      <w:bookmarkStart w:id="1758" w:name="_Caption1244"/>
      <w:bookmarkStart w:id="1759" w:name="_Caption7618"/>
      <w:bookmarkStart w:id="1760" w:name="_Caption8313"/>
      <w:bookmarkStart w:id="1761" w:name="_Caption3797"/>
      <w:bookmarkStart w:id="1762" w:name="_Caption7999"/>
      <w:bookmarkStart w:id="1763" w:name="_Caption5826"/>
      <w:bookmarkStart w:id="1764" w:name="_Caption4384"/>
      <w:bookmarkStart w:id="1765" w:name="_Caption7994"/>
      <w:bookmarkStart w:id="1766" w:name="_Caption1458"/>
      <w:bookmarkStart w:id="1767" w:name="_Caption1830"/>
      <w:bookmarkStart w:id="1768" w:name="_Caption0780"/>
      <w:bookmarkStart w:id="1769" w:name="_Caption2716"/>
      <w:bookmarkStart w:id="1770" w:name="_Caption4392"/>
      <w:bookmarkStart w:id="1771" w:name="_Caption7636"/>
      <w:bookmarkStart w:id="1772" w:name="_Caption7149"/>
      <w:bookmarkStart w:id="1773" w:name="_Caption0487"/>
      <w:bookmarkStart w:id="1774" w:name="_Caption2187"/>
      <w:bookmarkStart w:id="1775" w:name="_Caption0908"/>
      <w:bookmarkStart w:id="1776" w:name="_Caption0264"/>
      <w:bookmarkStart w:id="1777" w:name="_Caption6368"/>
      <w:bookmarkStart w:id="1778" w:name="_Caption7146"/>
      <w:bookmarkStart w:id="1779" w:name="_Caption7872"/>
      <w:bookmarkStart w:id="1780" w:name="_Caption9070"/>
      <w:bookmarkStart w:id="1781" w:name="_Caption0337"/>
      <w:bookmarkStart w:id="1782" w:name="_Caption7784"/>
      <w:bookmarkStart w:id="1783" w:name="_Caption9455"/>
      <w:bookmarkStart w:id="1784" w:name="_Caption5000"/>
      <w:bookmarkStart w:id="1785" w:name="_Caption1436"/>
      <w:bookmarkStart w:id="1786" w:name="_Caption9360"/>
      <w:bookmarkStart w:id="1787" w:name="_Caption7464"/>
      <w:bookmarkStart w:id="1788" w:name="_Caption7550"/>
      <w:bookmarkStart w:id="1789" w:name="_Caption2932"/>
      <w:bookmarkStart w:id="1790" w:name="_Caption0667"/>
      <w:bookmarkStart w:id="1791" w:name="_Caption1168"/>
      <w:bookmarkStart w:id="1792" w:name="_Caption8737"/>
      <w:bookmarkStart w:id="1793" w:name="_Caption7670"/>
      <w:bookmarkStart w:id="1794" w:name="_Caption1140"/>
      <w:bookmarkStart w:id="1795" w:name="_Caption8286"/>
      <w:bookmarkStart w:id="1796" w:name="_Caption0231"/>
      <w:bookmarkStart w:id="1797" w:name="_Caption7726"/>
      <w:bookmarkStart w:id="1798" w:name="_Caption4754"/>
      <w:bookmarkStart w:id="1799" w:name="_Caption5657"/>
      <w:bookmarkStart w:id="1800" w:name="_Caption9090"/>
      <w:bookmarkStart w:id="1801" w:name="_Caption8332"/>
      <w:bookmarkStart w:id="1802" w:name="_Caption7364"/>
      <w:bookmarkStart w:id="1803" w:name="_Caption9410"/>
      <w:bookmarkStart w:id="1804" w:name="_Caption4593"/>
      <w:bookmarkStart w:id="1805" w:name="_Caption4155"/>
      <w:bookmarkStart w:id="1806" w:name="_Caption0185"/>
      <w:bookmarkStart w:id="1807" w:name="_Caption6554"/>
      <w:bookmarkStart w:id="1808" w:name="_Caption4178"/>
      <w:bookmarkStart w:id="1809" w:name="_Caption8559"/>
      <w:bookmarkStart w:id="1810" w:name="_Caption6785"/>
      <w:bookmarkStart w:id="1811" w:name="_Caption9631"/>
      <w:bookmarkStart w:id="1812" w:name="_Caption8571"/>
      <w:bookmarkStart w:id="1813" w:name="_Caption6155"/>
      <w:bookmarkStart w:id="1814" w:name="_Caption1685"/>
      <w:bookmarkStart w:id="1815" w:name="_Caption6512"/>
      <w:bookmarkStart w:id="1816" w:name="_Caption0740"/>
      <w:bookmarkStart w:id="1817" w:name="_Caption4473"/>
      <w:bookmarkStart w:id="1818" w:name="_Caption3929"/>
      <w:bookmarkStart w:id="1819" w:name="_Caption9260"/>
      <w:bookmarkStart w:id="1820" w:name="_Caption5209"/>
      <w:bookmarkStart w:id="1821" w:name="_Caption8854"/>
      <w:bookmarkStart w:id="1822" w:name="_Caption3687"/>
      <w:bookmarkStart w:id="1823" w:name="_Caption9240"/>
      <w:bookmarkStart w:id="1824" w:name="_Caption3898"/>
      <w:bookmarkStart w:id="1825" w:name="_Toc529869914"/>
      <w:bookmarkStart w:id="1826" w:name="_Toc530748410"/>
      <w:r w:rsidR="00EA42ED">
        <w:rPr>
          <w:noProof/>
        </w:rPr>
        <w:t>5</w:t>
      </w:r>
      <w:r w:rsidR="00EA42ED" w:rsidRPr="002B7F27">
        <w:rPr>
          <w:noProof/>
        </w:rPr>
        <w:t>.</w:t>
      </w:r>
      <w:r w:rsidR="00EA42ED">
        <w:rPr>
          <w:noProof/>
        </w:rPr>
        <w:t>6</w:t>
      </w:r>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r w:rsidRPr="002B7F27">
        <w:fldChar w:fldCharType="end"/>
      </w:r>
      <w:r w:rsidRPr="002B7F27">
        <w:tab/>
        <w:t>Change in construction costs — retail (6B)</w:t>
      </w:r>
      <w:bookmarkEnd w:id="1825"/>
      <w:bookmarkEnd w:id="1826"/>
    </w:p>
    <w:tbl>
      <w:tblPr>
        <w:tblW w:w="7939" w:type="dxa"/>
        <w:tblLayout w:type="fixed"/>
        <w:tblLook w:val="0000" w:firstRow="0" w:lastRow="0" w:firstColumn="0" w:lastColumn="0" w:noHBand="0" w:noVBand="0"/>
        <w:tblCaption w:val="Table 5.6: Change in construction costs - retail (6B)"/>
        <w:tblDescription w:val="This table identifies the change in construction costs based on building element for retail buildings. It finds that there is considerable savings in glazing in addition to savings in services."/>
      </w:tblPr>
      <w:tblGrid>
        <w:gridCol w:w="2177"/>
        <w:gridCol w:w="823"/>
        <w:gridCol w:w="823"/>
        <w:gridCol w:w="823"/>
        <w:gridCol w:w="824"/>
        <w:gridCol w:w="823"/>
        <w:gridCol w:w="823"/>
        <w:gridCol w:w="823"/>
      </w:tblGrid>
      <w:tr w:rsidR="00612FD3" w:rsidTr="00301B6D">
        <w:trPr>
          <w:trHeight w:val="230"/>
          <w:tblHeader/>
        </w:trPr>
        <w:tc>
          <w:tcPr>
            <w:tcW w:w="2177" w:type="dxa"/>
            <w:shd w:val="clear" w:color="auto" w:fill="6F6652"/>
            <w:tcMar>
              <w:left w:w="57" w:type="dxa"/>
              <w:right w:w="57" w:type="dxa"/>
            </w:tcMar>
          </w:tcPr>
          <w:p w:rsidR="00612FD3" w:rsidRDefault="00612FD3" w:rsidP="00301B6D">
            <w:pPr>
              <w:pStyle w:val="TableDataColumnHeading"/>
              <w:jc w:val="left"/>
              <w:rPr>
                <w:lang w:val="en-GB"/>
              </w:rPr>
            </w:pPr>
          </w:p>
        </w:tc>
        <w:tc>
          <w:tcPr>
            <w:tcW w:w="823" w:type="dxa"/>
            <w:shd w:val="clear" w:color="auto" w:fill="6F6652"/>
            <w:tcMar>
              <w:left w:w="57" w:type="dxa"/>
              <w:right w:w="57" w:type="dxa"/>
            </w:tcMar>
          </w:tcPr>
          <w:p w:rsidR="00612FD3" w:rsidRDefault="00E31EE8" w:rsidP="00301B6D">
            <w:pPr>
              <w:pStyle w:val="TableDataColumnHeading"/>
              <w:rPr>
                <w:lang w:val="en-GB"/>
              </w:rPr>
            </w:pPr>
            <w:r>
              <w:rPr>
                <w:lang w:val="en-GB"/>
              </w:rPr>
              <w:t>Climate Zone</w:t>
            </w:r>
            <w:r w:rsidR="00612FD3">
              <w:rPr>
                <w:lang w:val="en-GB"/>
              </w:rPr>
              <w:t xml:space="preserve"> 1</w:t>
            </w:r>
          </w:p>
        </w:tc>
        <w:tc>
          <w:tcPr>
            <w:tcW w:w="823" w:type="dxa"/>
            <w:shd w:val="clear" w:color="auto" w:fill="6F6652"/>
            <w:tcMar>
              <w:left w:w="57" w:type="dxa"/>
              <w:right w:w="57" w:type="dxa"/>
            </w:tcMar>
          </w:tcPr>
          <w:p w:rsidR="00612FD3" w:rsidRDefault="00E31EE8" w:rsidP="00301B6D">
            <w:pPr>
              <w:pStyle w:val="TableDataColumnHeading"/>
              <w:rPr>
                <w:lang w:val="en-GB"/>
              </w:rPr>
            </w:pPr>
            <w:r>
              <w:rPr>
                <w:lang w:val="en-GB"/>
              </w:rPr>
              <w:t>Climate Zone</w:t>
            </w:r>
            <w:r w:rsidR="00612FD3">
              <w:rPr>
                <w:lang w:val="en-GB"/>
              </w:rPr>
              <w:t xml:space="preserve"> 2</w:t>
            </w:r>
          </w:p>
        </w:tc>
        <w:tc>
          <w:tcPr>
            <w:tcW w:w="823" w:type="dxa"/>
            <w:shd w:val="clear" w:color="auto" w:fill="6F6652"/>
            <w:tcMar>
              <w:left w:w="57" w:type="dxa"/>
              <w:right w:w="57" w:type="dxa"/>
            </w:tcMar>
          </w:tcPr>
          <w:p w:rsidR="00612FD3" w:rsidRDefault="00E31EE8" w:rsidP="00301B6D">
            <w:pPr>
              <w:pStyle w:val="TableDataColumnHeading"/>
              <w:rPr>
                <w:lang w:val="en-GB"/>
              </w:rPr>
            </w:pPr>
            <w:r>
              <w:rPr>
                <w:lang w:val="en-GB"/>
              </w:rPr>
              <w:t>Climate Zone</w:t>
            </w:r>
            <w:r w:rsidR="00612FD3">
              <w:rPr>
                <w:lang w:val="en-GB"/>
              </w:rPr>
              <w:t xml:space="preserve"> 3</w:t>
            </w:r>
          </w:p>
        </w:tc>
        <w:tc>
          <w:tcPr>
            <w:tcW w:w="824" w:type="dxa"/>
            <w:shd w:val="clear" w:color="auto" w:fill="6F6652"/>
            <w:tcMar>
              <w:left w:w="57" w:type="dxa"/>
              <w:right w:w="57" w:type="dxa"/>
            </w:tcMar>
          </w:tcPr>
          <w:p w:rsidR="00612FD3" w:rsidRDefault="00E31EE8" w:rsidP="00301B6D">
            <w:pPr>
              <w:pStyle w:val="TableDataColumnHeading"/>
              <w:rPr>
                <w:lang w:val="en-GB"/>
              </w:rPr>
            </w:pPr>
            <w:r>
              <w:rPr>
                <w:lang w:val="en-GB"/>
              </w:rPr>
              <w:t>Climate Zone</w:t>
            </w:r>
            <w:r w:rsidR="00612FD3">
              <w:rPr>
                <w:lang w:val="en-GB"/>
              </w:rPr>
              <w:t xml:space="preserve"> 4</w:t>
            </w:r>
          </w:p>
        </w:tc>
        <w:tc>
          <w:tcPr>
            <w:tcW w:w="823" w:type="dxa"/>
            <w:shd w:val="clear" w:color="auto" w:fill="6F6652"/>
            <w:tcMar>
              <w:left w:w="57" w:type="dxa"/>
              <w:right w:w="57" w:type="dxa"/>
            </w:tcMar>
          </w:tcPr>
          <w:p w:rsidR="00612FD3" w:rsidRDefault="00E31EE8" w:rsidP="00301B6D">
            <w:pPr>
              <w:pStyle w:val="TableDataColumnHeading"/>
              <w:rPr>
                <w:lang w:val="en-GB"/>
              </w:rPr>
            </w:pPr>
            <w:r>
              <w:rPr>
                <w:lang w:val="en-GB"/>
              </w:rPr>
              <w:t>Climate Zone</w:t>
            </w:r>
            <w:r w:rsidR="00612FD3">
              <w:rPr>
                <w:lang w:val="en-GB"/>
              </w:rPr>
              <w:t xml:space="preserve"> 5</w:t>
            </w:r>
          </w:p>
        </w:tc>
        <w:tc>
          <w:tcPr>
            <w:tcW w:w="823" w:type="dxa"/>
            <w:shd w:val="clear" w:color="auto" w:fill="6F6652"/>
            <w:tcMar>
              <w:left w:w="57" w:type="dxa"/>
              <w:right w:w="57" w:type="dxa"/>
            </w:tcMar>
          </w:tcPr>
          <w:p w:rsidR="00612FD3" w:rsidRDefault="00E31EE8" w:rsidP="00301B6D">
            <w:pPr>
              <w:pStyle w:val="TableDataColumnHeading"/>
              <w:rPr>
                <w:lang w:val="en-GB"/>
              </w:rPr>
            </w:pPr>
            <w:r>
              <w:rPr>
                <w:lang w:val="en-GB"/>
              </w:rPr>
              <w:t>Climate Zone</w:t>
            </w:r>
            <w:r w:rsidR="00612FD3">
              <w:rPr>
                <w:lang w:val="en-GB"/>
              </w:rPr>
              <w:t xml:space="preserve"> 6</w:t>
            </w:r>
          </w:p>
        </w:tc>
        <w:tc>
          <w:tcPr>
            <w:tcW w:w="823" w:type="dxa"/>
            <w:shd w:val="clear" w:color="auto" w:fill="6F6652"/>
            <w:tcMar>
              <w:left w:w="57" w:type="dxa"/>
              <w:right w:w="57" w:type="dxa"/>
            </w:tcMar>
          </w:tcPr>
          <w:p w:rsidR="00612FD3" w:rsidRDefault="00E31EE8" w:rsidP="00301B6D">
            <w:pPr>
              <w:pStyle w:val="TableDataColumnHeading"/>
              <w:rPr>
                <w:lang w:val="en-GB"/>
              </w:rPr>
            </w:pPr>
            <w:r>
              <w:rPr>
                <w:lang w:val="en-GB"/>
              </w:rPr>
              <w:t>Climate Zone</w:t>
            </w:r>
            <w:r w:rsidR="00612FD3">
              <w:rPr>
                <w:lang w:val="en-GB"/>
              </w:rPr>
              <w:t xml:space="preserve"> 7</w:t>
            </w:r>
          </w:p>
        </w:tc>
      </w:tr>
      <w:tr w:rsidR="00612FD3" w:rsidTr="00301B6D">
        <w:trPr>
          <w:trHeight w:val="230"/>
          <w:tblHeader/>
        </w:trPr>
        <w:tc>
          <w:tcPr>
            <w:tcW w:w="2177"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jc w:val="left"/>
              <w:rPr>
                <w:lang w:val="en-GB"/>
              </w:rPr>
            </w:pPr>
          </w:p>
        </w:tc>
        <w:tc>
          <w:tcPr>
            <w:tcW w:w="82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$'000</w:t>
            </w:r>
          </w:p>
        </w:tc>
        <w:tc>
          <w:tcPr>
            <w:tcW w:w="82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$'000</w:t>
            </w:r>
          </w:p>
        </w:tc>
        <w:tc>
          <w:tcPr>
            <w:tcW w:w="82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$'000</w:t>
            </w:r>
          </w:p>
        </w:tc>
        <w:tc>
          <w:tcPr>
            <w:tcW w:w="824"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$'000</w:t>
            </w:r>
          </w:p>
        </w:tc>
        <w:tc>
          <w:tcPr>
            <w:tcW w:w="82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$'000</w:t>
            </w:r>
          </w:p>
        </w:tc>
        <w:tc>
          <w:tcPr>
            <w:tcW w:w="82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$'000</w:t>
            </w:r>
          </w:p>
        </w:tc>
        <w:tc>
          <w:tcPr>
            <w:tcW w:w="82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$'000</w:t>
            </w:r>
          </w:p>
        </w:tc>
      </w:tr>
      <w:tr w:rsidR="00612FD3" w:rsidTr="00301B6D">
        <w:trPr>
          <w:trHeight w:val="230"/>
        </w:trPr>
        <w:tc>
          <w:tcPr>
            <w:tcW w:w="2177"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2647A">
            <w:pPr>
              <w:pStyle w:val="TableHeading1"/>
              <w:spacing w:before="100"/>
              <w:rPr>
                <w:lang w:val="en-GB"/>
              </w:rPr>
            </w:pPr>
            <w:r>
              <w:rPr>
                <w:lang w:val="en-GB"/>
              </w:rPr>
              <w:t>Façade</w:t>
            </w:r>
          </w:p>
        </w:tc>
        <w:tc>
          <w:tcPr>
            <w:tcW w:w="82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2647A">
            <w:pPr>
              <w:pStyle w:val="TableHeading1"/>
              <w:spacing w:before="100"/>
              <w:rPr>
                <w:lang w:val="en-GB"/>
              </w:rPr>
            </w:pPr>
          </w:p>
        </w:tc>
        <w:tc>
          <w:tcPr>
            <w:tcW w:w="82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2647A">
            <w:pPr>
              <w:pStyle w:val="TableHeading1"/>
              <w:spacing w:before="100"/>
              <w:rPr>
                <w:lang w:val="en-GB"/>
              </w:rPr>
            </w:pPr>
          </w:p>
        </w:tc>
        <w:tc>
          <w:tcPr>
            <w:tcW w:w="82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2647A">
            <w:pPr>
              <w:pStyle w:val="TableHeading1"/>
              <w:spacing w:before="100"/>
              <w:rPr>
                <w:lang w:val="en-GB"/>
              </w:rPr>
            </w:pPr>
          </w:p>
        </w:tc>
        <w:tc>
          <w:tcPr>
            <w:tcW w:w="824"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2647A">
            <w:pPr>
              <w:pStyle w:val="TableHeading1"/>
              <w:spacing w:before="100"/>
              <w:rPr>
                <w:lang w:val="en-GB"/>
              </w:rPr>
            </w:pPr>
          </w:p>
        </w:tc>
        <w:tc>
          <w:tcPr>
            <w:tcW w:w="82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2647A">
            <w:pPr>
              <w:pStyle w:val="TableHeading1"/>
              <w:spacing w:before="100"/>
              <w:rPr>
                <w:lang w:val="en-GB"/>
              </w:rPr>
            </w:pPr>
          </w:p>
        </w:tc>
        <w:tc>
          <w:tcPr>
            <w:tcW w:w="82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2647A">
            <w:pPr>
              <w:pStyle w:val="TableHeading1"/>
              <w:spacing w:before="100"/>
              <w:rPr>
                <w:lang w:val="en-GB"/>
              </w:rPr>
            </w:pPr>
          </w:p>
        </w:tc>
        <w:tc>
          <w:tcPr>
            <w:tcW w:w="82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2647A">
            <w:pPr>
              <w:pStyle w:val="TableHeading1"/>
              <w:spacing w:before="100"/>
              <w:rPr>
                <w:lang w:val="en-GB"/>
              </w:rPr>
            </w:pPr>
          </w:p>
        </w:tc>
      </w:tr>
      <w:tr w:rsidR="002B7F27" w:rsidTr="0045144D">
        <w:trPr>
          <w:trHeight w:val="230"/>
        </w:trPr>
        <w:tc>
          <w:tcPr>
            <w:tcW w:w="217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B7F27" w:rsidRDefault="002B7F27" w:rsidP="002B7F27">
            <w:pPr>
              <w:pStyle w:val="TableDataEntries"/>
              <w:jc w:val="left"/>
              <w:rPr>
                <w:lang w:val="en-GB"/>
              </w:rPr>
            </w:pPr>
            <w:r>
              <w:rPr>
                <w:lang w:val="en-GB"/>
              </w:rPr>
              <w:t>Roof</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0.0</w:t>
            </w:r>
          </w:p>
        </w:tc>
        <w:tc>
          <w:tcPr>
            <w:tcW w:w="8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0.0</w:t>
            </w:r>
          </w:p>
        </w:tc>
      </w:tr>
      <w:tr w:rsidR="002B7F27" w:rsidTr="0045144D">
        <w:trPr>
          <w:trHeight w:val="230"/>
        </w:trPr>
        <w:tc>
          <w:tcPr>
            <w:tcW w:w="217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B7F27" w:rsidRDefault="002B7F27" w:rsidP="002B7F27">
            <w:pPr>
              <w:pStyle w:val="TableDataEntries"/>
              <w:jc w:val="left"/>
              <w:rPr>
                <w:lang w:val="en-GB"/>
              </w:rPr>
            </w:pPr>
            <w:r>
              <w:rPr>
                <w:lang w:val="en-GB"/>
              </w:rPr>
              <w:t>Floor</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0.0</w:t>
            </w:r>
          </w:p>
        </w:tc>
        <w:tc>
          <w:tcPr>
            <w:tcW w:w="8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0.0</w:t>
            </w:r>
          </w:p>
        </w:tc>
      </w:tr>
      <w:tr w:rsidR="002B7F27" w:rsidTr="0045144D">
        <w:trPr>
          <w:trHeight w:val="230"/>
        </w:trPr>
        <w:tc>
          <w:tcPr>
            <w:tcW w:w="217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B7F27" w:rsidRDefault="002B7F27" w:rsidP="002B7F27">
            <w:pPr>
              <w:pStyle w:val="TableDataEntries"/>
              <w:jc w:val="left"/>
              <w:rPr>
                <w:lang w:val="en-GB"/>
              </w:rPr>
            </w:pPr>
            <w:r>
              <w:rPr>
                <w:lang w:val="en-GB"/>
              </w:rPr>
              <w:t>Walls</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6.8</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6.8</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6.8</w:t>
            </w:r>
          </w:p>
        </w:tc>
        <w:tc>
          <w:tcPr>
            <w:tcW w:w="8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6.8</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6.8</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6.8</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6.8</w:t>
            </w:r>
          </w:p>
        </w:tc>
      </w:tr>
      <w:tr w:rsidR="002B7F27" w:rsidTr="0045144D">
        <w:trPr>
          <w:trHeight w:val="230"/>
        </w:trPr>
        <w:tc>
          <w:tcPr>
            <w:tcW w:w="217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B7F27" w:rsidRDefault="002B7F27" w:rsidP="002B7F27">
            <w:pPr>
              <w:pStyle w:val="TableDataEntries"/>
              <w:jc w:val="left"/>
              <w:rPr>
                <w:lang w:val="en-GB"/>
              </w:rPr>
            </w:pPr>
            <w:r>
              <w:rPr>
                <w:lang w:val="en-GB"/>
              </w:rPr>
              <w:t>Glazing</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2.8</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- 2.1</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- 2.1</w:t>
            </w:r>
          </w:p>
        </w:tc>
        <w:tc>
          <w:tcPr>
            <w:tcW w:w="8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- 0.9</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- 3.0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9.8</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17.9</w:t>
            </w:r>
          </w:p>
        </w:tc>
      </w:tr>
      <w:tr w:rsidR="002B7F27" w:rsidRPr="002B7F27" w:rsidTr="0045144D">
        <w:trPr>
          <w:trHeight w:val="230"/>
        </w:trPr>
        <w:tc>
          <w:tcPr>
            <w:tcW w:w="217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B7F27" w:rsidRPr="002B7F27" w:rsidRDefault="002B7F27" w:rsidP="002B7F27">
            <w:pPr>
              <w:pStyle w:val="TableDataEntries"/>
              <w:jc w:val="left"/>
              <w:rPr>
                <w:rFonts w:ascii="Franklin Gothic Demi" w:hAnsi="Franklin Gothic Demi"/>
                <w:lang w:val="en-GB"/>
              </w:rPr>
            </w:pPr>
            <w:r w:rsidRPr="002B7F27">
              <w:rPr>
                <w:rFonts w:ascii="Franklin Gothic Demi" w:hAnsi="Franklin Gothic Demi"/>
                <w:lang w:val="en-GB"/>
              </w:rPr>
              <w:t>Façade total</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Pr="002B7F27" w:rsidRDefault="002B7F27" w:rsidP="002B7F27">
            <w:pPr>
              <w:pStyle w:val="TableDataEntries"/>
              <w:rPr>
                <w:rFonts w:ascii="Franklin Gothic Demi" w:hAnsi="Franklin Gothic Demi"/>
                <w:lang w:val="en-GB"/>
              </w:rPr>
            </w:pPr>
            <w:r w:rsidRPr="002B7F27">
              <w:rPr>
                <w:rFonts w:ascii="Franklin Gothic Demi" w:hAnsi="Franklin Gothic Demi"/>
              </w:rPr>
              <w:t xml:space="preserve"> 9.6</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Pr="002B7F27" w:rsidRDefault="002B7F27" w:rsidP="002B7F27">
            <w:pPr>
              <w:pStyle w:val="TableDataEntries"/>
              <w:rPr>
                <w:rFonts w:ascii="Franklin Gothic Demi" w:hAnsi="Franklin Gothic Demi"/>
                <w:lang w:val="en-GB"/>
              </w:rPr>
            </w:pPr>
            <w:r w:rsidRPr="002B7F27">
              <w:rPr>
                <w:rFonts w:ascii="Franklin Gothic Demi" w:hAnsi="Franklin Gothic Demi"/>
              </w:rPr>
              <w:t xml:space="preserve"> 4.7</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Pr="002B7F27" w:rsidRDefault="002B7F27" w:rsidP="002B7F27">
            <w:pPr>
              <w:pStyle w:val="TableDataEntries"/>
              <w:rPr>
                <w:rFonts w:ascii="Franklin Gothic Demi" w:hAnsi="Franklin Gothic Demi"/>
                <w:lang w:val="en-GB"/>
              </w:rPr>
            </w:pPr>
            <w:r w:rsidRPr="002B7F27">
              <w:rPr>
                <w:rFonts w:ascii="Franklin Gothic Demi" w:hAnsi="Franklin Gothic Demi"/>
              </w:rPr>
              <w:t xml:space="preserve"> 4.7</w:t>
            </w:r>
          </w:p>
        </w:tc>
        <w:tc>
          <w:tcPr>
            <w:tcW w:w="8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Pr="002B7F27" w:rsidRDefault="002B7F27" w:rsidP="002B7F27">
            <w:pPr>
              <w:pStyle w:val="TableDataEntries"/>
              <w:rPr>
                <w:rFonts w:ascii="Franklin Gothic Demi" w:hAnsi="Franklin Gothic Demi"/>
                <w:lang w:val="en-GB"/>
              </w:rPr>
            </w:pPr>
            <w:r w:rsidRPr="002B7F27">
              <w:rPr>
                <w:rFonts w:ascii="Franklin Gothic Demi" w:hAnsi="Franklin Gothic Demi"/>
              </w:rPr>
              <w:t xml:space="preserve"> 5.9</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Pr="002B7F27" w:rsidRDefault="002B7F27" w:rsidP="002B7F27">
            <w:pPr>
              <w:pStyle w:val="TableDataEntries"/>
              <w:rPr>
                <w:rFonts w:ascii="Franklin Gothic Demi" w:hAnsi="Franklin Gothic Demi"/>
                <w:lang w:val="en-GB"/>
              </w:rPr>
            </w:pPr>
            <w:r w:rsidRPr="002B7F27">
              <w:rPr>
                <w:rFonts w:ascii="Franklin Gothic Demi" w:hAnsi="Franklin Gothic Demi"/>
              </w:rPr>
              <w:t xml:space="preserve"> 3.8</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Pr="002B7F27" w:rsidRDefault="002B7F27" w:rsidP="002B7F27">
            <w:pPr>
              <w:pStyle w:val="TableDataEntries"/>
              <w:rPr>
                <w:rFonts w:ascii="Franklin Gothic Demi" w:hAnsi="Franklin Gothic Demi"/>
                <w:lang w:val="en-GB"/>
              </w:rPr>
            </w:pPr>
            <w:r w:rsidRPr="002B7F27">
              <w:rPr>
                <w:rFonts w:ascii="Franklin Gothic Demi" w:hAnsi="Franklin Gothic Demi"/>
              </w:rPr>
              <w:t xml:space="preserve"> 16.6</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Pr="002B7F27" w:rsidRDefault="002B7F27" w:rsidP="002B7F27">
            <w:pPr>
              <w:pStyle w:val="TableDataEntries"/>
              <w:rPr>
                <w:rFonts w:ascii="Franklin Gothic Demi" w:hAnsi="Franklin Gothic Demi"/>
                <w:lang w:val="en-GB"/>
              </w:rPr>
            </w:pPr>
            <w:r w:rsidRPr="002B7F27">
              <w:rPr>
                <w:rFonts w:ascii="Franklin Gothic Demi" w:hAnsi="Franklin Gothic Demi"/>
              </w:rPr>
              <w:t xml:space="preserve"> 24.7</w:t>
            </w:r>
          </w:p>
        </w:tc>
      </w:tr>
      <w:tr w:rsidR="002B7F27" w:rsidTr="0045144D">
        <w:trPr>
          <w:trHeight w:val="230"/>
        </w:trPr>
        <w:tc>
          <w:tcPr>
            <w:tcW w:w="2177"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2B7F27" w:rsidRDefault="002B7F27" w:rsidP="0032647A">
            <w:pPr>
              <w:pStyle w:val="TableHeading1"/>
              <w:spacing w:before="100"/>
              <w:rPr>
                <w:lang w:val="en-GB"/>
              </w:rPr>
            </w:pPr>
            <w:r>
              <w:rPr>
                <w:lang w:val="en-GB"/>
              </w:rPr>
              <w:t>Services</w:t>
            </w:r>
          </w:p>
        </w:tc>
        <w:tc>
          <w:tcPr>
            <w:tcW w:w="82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B7F27" w:rsidRDefault="002B7F27" w:rsidP="0032647A">
            <w:pPr>
              <w:pStyle w:val="TableDataEntries"/>
              <w:spacing w:before="100"/>
              <w:rPr>
                <w:lang w:val="en-GB"/>
              </w:rPr>
            </w:pPr>
          </w:p>
        </w:tc>
        <w:tc>
          <w:tcPr>
            <w:tcW w:w="82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B7F27" w:rsidRDefault="002B7F27" w:rsidP="0032647A">
            <w:pPr>
              <w:pStyle w:val="TableDataEntries"/>
              <w:spacing w:before="100"/>
              <w:rPr>
                <w:lang w:val="en-GB"/>
              </w:rPr>
            </w:pPr>
          </w:p>
        </w:tc>
        <w:tc>
          <w:tcPr>
            <w:tcW w:w="82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B7F27" w:rsidRDefault="002B7F27" w:rsidP="0032647A">
            <w:pPr>
              <w:pStyle w:val="TableDataEntries"/>
              <w:spacing w:before="100"/>
              <w:rPr>
                <w:lang w:val="en-GB"/>
              </w:rPr>
            </w:pPr>
          </w:p>
        </w:tc>
        <w:tc>
          <w:tcPr>
            <w:tcW w:w="824"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B7F27" w:rsidRDefault="002B7F27" w:rsidP="0032647A">
            <w:pPr>
              <w:pStyle w:val="TableDataEntries"/>
              <w:spacing w:before="100"/>
              <w:rPr>
                <w:lang w:val="en-GB"/>
              </w:rPr>
            </w:pPr>
          </w:p>
        </w:tc>
        <w:tc>
          <w:tcPr>
            <w:tcW w:w="82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B7F27" w:rsidRDefault="002B7F27" w:rsidP="0032647A">
            <w:pPr>
              <w:pStyle w:val="TableDataEntries"/>
              <w:spacing w:before="100"/>
              <w:rPr>
                <w:lang w:val="en-GB"/>
              </w:rPr>
            </w:pPr>
          </w:p>
        </w:tc>
        <w:tc>
          <w:tcPr>
            <w:tcW w:w="82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B7F27" w:rsidRDefault="002B7F27" w:rsidP="0032647A">
            <w:pPr>
              <w:pStyle w:val="TableDataEntries"/>
              <w:spacing w:before="100"/>
              <w:rPr>
                <w:lang w:val="en-GB"/>
              </w:rPr>
            </w:pPr>
          </w:p>
        </w:tc>
        <w:tc>
          <w:tcPr>
            <w:tcW w:w="82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B7F27" w:rsidRDefault="002B7F27" w:rsidP="0032647A">
            <w:pPr>
              <w:pStyle w:val="TableDataEntries"/>
              <w:spacing w:before="100"/>
              <w:rPr>
                <w:lang w:val="en-GB"/>
              </w:rPr>
            </w:pPr>
          </w:p>
        </w:tc>
      </w:tr>
      <w:tr w:rsidR="002B7F27" w:rsidTr="0045144D">
        <w:trPr>
          <w:trHeight w:val="230"/>
        </w:trPr>
        <w:tc>
          <w:tcPr>
            <w:tcW w:w="217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B7F27" w:rsidRDefault="002B7F27" w:rsidP="002B7F27">
            <w:pPr>
              <w:pStyle w:val="TableDataEntries"/>
              <w:jc w:val="left"/>
              <w:rPr>
                <w:lang w:val="en-GB"/>
              </w:rPr>
            </w:pPr>
            <w:r>
              <w:rPr>
                <w:lang w:val="en-GB"/>
              </w:rPr>
              <w:t>FCU</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- 1.3</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0.2</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- 5.1</w:t>
            </w:r>
          </w:p>
        </w:tc>
        <w:tc>
          <w:tcPr>
            <w:tcW w:w="8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- 16.5</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- 2.5</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- 16.9</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- 26.7</w:t>
            </w:r>
          </w:p>
        </w:tc>
      </w:tr>
      <w:tr w:rsidR="002B7F27" w:rsidTr="0045144D">
        <w:trPr>
          <w:trHeight w:val="230"/>
        </w:trPr>
        <w:tc>
          <w:tcPr>
            <w:tcW w:w="217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B7F27" w:rsidRDefault="002B7F27" w:rsidP="002B7F27">
            <w:pPr>
              <w:pStyle w:val="TableDataEntries"/>
              <w:jc w:val="left"/>
              <w:rPr>
                <w:lang w:val="en-GB"/>
              </w:rPr>
            </w:pPr>
            <w:r>
              <w:rPr>
                <w:lang w:val="en-GB"/>
              </w:rPr>
              <w:t>Cooling Tower</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- 1.2</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- 0.9</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- 1.9</w:t>
            </w:r>
          </w:p>
        </w:tc>
        <w:tc>
          <w:tcPr>
            <w:tcW w:w="8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- 2.1</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- 1.2</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- 1.8</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- 1.3</w:t>
            </w:r>
          </w:p>
        </w:tc>
      </w:tr>
      <w:tr w:rsidR="002B7F27" w:rsidTr="0045144D">
        <w:trPr>
          <w:trHeight w:val="230"/>
        </w:trPr>
        <w:tc>
          <w:tcPr>
            <w:tcW w:w="217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B7F27" w:rsidRDefault="002B7F27" w:rsidP="002B7F27">
            <w:pPr>
              <w:pStyle w:val="TableDataEntries"/>
              <w:jc w:val="left"/>
              <w:rPr>
                <w:lang w:val="en-GB"/>
              </w:rPr>
            </w:pPr>
            <w:r>
              <w:rPr>
                <w:lang w:val="en-GB"/>
              </w:rPr>
              <w:t>Chiller</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- 4.4</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- 6.3</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- 15.7</w:t>
            </w:r>
          </w:p>
        </w:tc>
        <w:tc>
          <w:tcPr>
            <w:tcW w:w="8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- 11.9</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- 7.0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- 9.9</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- 6.8</w:t>
            </w:r>
          </w:p>
        </w:tc>
      </w:tr>
      <w:tr w:rsidR="002B7F27" w:rsidTr="0045144D">
        <w:trPr>
          <w:trHeight w:val="230"/>
        </w:trPr>
        <w:tc>
          <w:tcPr>
            <w:tcW w:w="217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B7F27" w:rsidRDefault="002B7F27" w:rsidP="002B7F27">
            <w:pPr>
              <w:pStyle w:val="TableDataEntries"/>
              <w:jc w:val="left"/>
              <w:rPr>
                <w:lang w:val="en-GB"/>
              </w:rPr>
            </w:pPr>
            <w:r>
              <w:rPr>
                <w:lang w:val="en-GB"/>
              </w:rPr>
              <w:t>Boiler</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- 3.4</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- 5.6</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- 7.4</w:t>
            </w:r>
          </w:p>
        </w:tc>
        <w:tc>
          <w:tcPr>
            <w:tcW w:w="8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- 8.9</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- 6.1</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- 6.6</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- 7.6</w:t>
            </w:r>
          </w:p>
        </w:tc>
      </w:tr>
      <w:tr w:rsidR="002B7F27" w:rsidTr="0045144D">
        <w:trPr>
          <w:trHeight w:val="230"/>
        </w:trPr>
        <w:tc>
          <w:tcPr>
            <w:tcW w:w="217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B7F27" w:rsidRDefault="002B7F27" w:rsidP="002B7F27">
            <w:pPr>
              <w:pStyle w:val="TableDataEntries"/>
              <w:jc w:val="left"/>
              <w:rPr>
                <w:lang w:val="en-GB"/>
              </w:rPr>
            </w:pPr>
            <w:r>
              <w:rPr>
                <w:lang w:val="en-GB"/>
              </w:rPr>
              <w:t>Economy Cycle</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0.0</w:t>
            </w:r>
          </w:p>
        </w:tc>
        <w:tc>
          <w:tcPr>
            <w:tcW w:w="8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0.0</w:t>
            </w:r>
          </w:p>
        </w:tc>
      </w:tr>
      <w:tr w:rsidR="002B7F27" w:rsidTr="0045144D">
        <w:trPr>
          <w:trHeight w:val="230"/>
        </w:trPr>
        <w:tc>
          <w:tcPr>
            <w:tcW w:w="217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B7F27" w:rsidRDefault="002B7F27" w:rsidP="002B7F27">
            <w:pPr>
              <w:pStyle w:val="TableDataEntries"/>
              <w:jc w:val="left"/>
              <w:rPr>
                <w:lang w:val="en-GB"/>
              </w:rPr>
            </w:pPr>
            <w:r>
              <w:rPr>
                <w:lang w:val="en-GB"/>
              </w:rPr>
              <w:t>CO2 Sensor/Heat Exchange</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0.0</w:t>
            </w:r>
          </w:p>
        </w:tc>
        <w:tc>
          <w:tcPr>
            <w:tcW w:w="8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- 12.2</w:t>
            </w:r>
          </w:p>
        </w:tc>
      </w:tr>
      <w:tr w:rsidR="002B7F27" w:rsidTr="0045144D">
        <w:trPr>
          <w:trHeight w:val="230"/>
        </w:trPr>
        <w:tc>
          <w:tcPr>
            <w:tcW w:w="217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B7F27" w:rsidRDefault="002B7F27" w:rsidP="002B7F27">
            <w:pPr>
              <w:pStyle w:val="TableDataEntries"/>
              <w:jc w:val="left"/>
              <w:rPr>
                <w:lang w:val="en-GB"/>
              </w:rPr>
            </w:pPr>
            <w:r>
              <w:rPr>
                <w:lang w:val="en-GB"/>
              </w:rPr>
              <w:t>Lighting</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0.0</w:t>
            </w:r>
          </w:p>
        </w:tc>
        <w:tc>
          <w:tcPr>
            <w:tcW w:w="8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0.0</w:t>
            </w:r>
          </w:p>
        </w:tc>
      </w:tr>
      <w:tr w:rsidR="002B7F27" w:rsidTr="0045144D">
        <w:trPr>
          <w:trHeight w:val="230"/>
        </w:trPr>
        <w:tc>
          <w:tcPr>
            <w:tcW w:w="217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B7F27" w:rsidRDefault="002B7F27" w:rsidP="002B7F27">
            <w:pPr>
              <w:pStyle w:val="TableDataEntries"/>
              <w:jc w:val="left"/>
              <w:rPr>
                <w:lang w:val="en-GB"/>
              </w:rPr>
            </w:pPr>
            <w:r>
              <w:rPr>
                <w:lang w:val="en-GB"/>
              </w:rPr>
              <w:t>Lifts</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0.0</w:t>
            </w:r>
          </w:p>
        </w:tc>
        <w:tc>
          <w:tcPr>
            <w:tcW w:w="8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0.0</w:t>
            </w:r>
          </w:p>
        </w:tc>
      </w:tr>
      <w:tr w:rsidR="002B7F27" w:rsidRPr="002B7F27" w:rsidTr="0045144D">
        <w:trPr>
          <w:trHeight w:val="230"/>
        </w:trPr>
        <w:tc>
          <w:tcPr>
            <w:tcW w:w="217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B7F27" w:rsidRPr="002B7F27" w:rsidRDefault="002B7F27" w:rsidP="002B7F27">
            <w:pPr>
              <w:pStyle w:val="TableDataEntries"/>
              <w:jc w:val="left"/>
              <w:rPr>
                <w:rFonts w:ascii="Franklin Gothic Demi" w:hAnsi="Franklin Gothic Demi"/>
                <w:lang w:val="en-GB"/>
              </w:rPr>
            </w:pPr>
            <w:r w:rsidRPr="002B7F27">
              <w:rPr>
                <w:rFonts w:ascii="Franklin Gothic Demi" w:hAnsi="Franklin Gothic Demi"/>
                <w:lang w:val="en-GB"/>
              </w:rPr>
              <w:t>Services total</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Pr="002B7F27" w:rsidRDefault="002B7F27" w:rsidP="002B7F27">
            <w:pPr>
              <w:pStyle w:val="TableDataEntries"/>
              <w:rPr>
                <w:rFonts w:ascii="Franklin Gothic Demi" w:hAnsi="Franklin Gothic Demi"/>
                <w:lang w:val="en-GB"/>
              </w:rPr>
            </w:pPr>
            <w:r w:rsidRPr="002B7F27">
              <w:rPr>
                <w:rFonts w:ascii="Franklin Gothic Demi" w:hAnsi="Franklin Gothic Demi"/>
              </w:rPr>
              <w:t>- 10.4</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Pr="002B7F27" w:rsidRDefault="002B7F27" w:rsidP="002B7F27">
            <w:pPr>
              <w:pStyle w:val="TableDataEntries"/>
              <w:rPr>
                <w:rFonts w:ascii="Franklin Gothic Demi" w:hAnsi="Franklin Gothic Demi"/>
                <w:lang w:val="en-GB"/>
              </w:rPr>
            </w:pPr>
            <w:r w:rsidRPr="002B7F27">
              <w:rPr>
                <w:rFonts w:ascii="Franklin Gothic Demi" w:hAnsi="Franklin Gothic Demi"/>
              </w:rPr>
              <w:t>- 12.5</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Pr="002B7F27" w:rsidRDefault="002B7F27" w:rsidP="002B7F27">
            <w:pPr>
              <w:pStyle w:val="TableDataEntries"/>
              <w:rPr>
                <w:rFonts w:ascii="Franklin Gothic Demi" w:hAnsi="Franklin Gothic Demi"/>
                <w:lang w:val="en-GB"/>
              </w:rPr>
            </w:pPr>
            <w:r w:rsidRPr="002B7F27">
              <w:rPr>
                <w:rFonts w:ascii="Franklin Gothic Demi" w:hAnsi="Franklin Gothic Demi"/>
              </w:rPr>
              <w:t>- 30.2</w:t>
            </w:r>
          </w:p>
        </w:tc>
        <w:tc>
          <w:tcPr>
            <w:tcW w:w="8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Pr="002B7F27" w:rsidRDefault="002B7F27" w:rsidP="002B7F27">
            <w:pPr>
              <w:pStyle w:val="TableDataEntries"/>
              <w:rPr>
                <w:rFonts w:ascii="Franklin Gothic Demi" w:hAnsi="Franklin Gothic Demi"/>
                <w:lang w:val="en-GB"/>
              </w:rPr>
            </w:pPr>
            <w:r w:rsidRPr="002B7F27">
              <w:rPr>
                <w:rFonts w:ascii="Franklin Gothic Demi" w:hAnsi="Franklin Gothic Demi"/>
              </w:rPr>
              <w:t>- 39.4</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Pr="002B7F27" w:rsidRDefault="002B7F27" w:rsidP="002B7F27">
            <w:pPr>
              <w:pStyle w:val="TableDataEntries"/>
              <w:rPr>
                <w:rFonts w:ascii="Franklin Gothic Demi" w:hAnsi="Franklin Gothic Demi"/>
                <w:lang w:val="en-GB"/>
              </w:rPr>
            </w:pPr>
            <w:r w:rsidRPr="002B7F27">
              <w:rPr>
                <w:rFonts w:ascii="Franklin Gothic Demi" w:hAnsi="Franklin Gothic Demi"/>
              </w:rPr>
              <w:t>- 16.8</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Pr="002B7F27" w:rsidRDefault="002B7F27" w:rsidP="002B7F27">
            <w:pPr>
              <w:pStyle w:val="TableDataEntries"/>
              <w:rPr>
                <w:rFonts w:ascii="Franklin Gothic Demi" w:hAnsi="Franklin Gothic Demi"/>
                <w:lang w:val="en-GB"/>
              </w:rPr>
            </w:pPr>
            <w:r w:rsidRPr="002B7F27">
              <w:rPr>
                <w:rFonts w:ascii="Franklin Gothic Demi" w:hAnsi="Franklin Gothic Demi"/>
              </w:rPr>
              <w:t>- 35.2</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Pr="002B7F27" w:rsidRDefault="002B7F27" w:rsidP="002B7F27">
            <w:pPr>
              <w:pStyle w:val="TableDataEntries"/>
              <w:rPr>
                <w:rFonts w:ascii="Franklin Gothic Demi" w:hAnsi="Franklin Gothic Demi"/>
                <w:lang w:val="en-GB"/>
              </w:rPr>
            </w:pPr>
            <w:r w:rsidRPr="002B7F27">
              <w:rPr>
                <w:rFonts w:ascii="Franklin Gothic Demi" w:hAnsi="Franklin Gothic Demi"/>
              </w:rPr>
              <w:t>- 54.6</w:t>
            </w:r>
          </w:p>
        </w:tc>
      </w:tr>
      <w:tr w:rsidR="002B7F27" w:rsidRPr="002B7F27" w:rsidTr="00301B6D">
        <w:trPr>
          <w:trHeight w:val="230"/>
        </w:trPr>
        <w:tc>
          <w:tcPr>
            <w:tcW w:w="2177"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rsidR="002B7F27" w:rsidRPr="002B7F27" w:rsidRDefault="002B7F27" w:rsidP="002B7F27">
            <w:pPr>
              <w:pStyle w:val="TableDataEntries"/>
              <w:jc w:val="left"/>
              <w:rPr>
                <w:rFonts w:ascii="Franklin Gothic Demi" w:hAnsi="Franklin Gothic Demi"/>
                <w:lang w:val="en-GB"/>
              </w:rPr>
            </w:pPr>
            <w:r w:rsidRPr="002B7F27">
              <w:rPr>
                <w:rFonts w:ascii="Franklin Gothic Demi" w:hAnsi="Franklin Gothic Demi"/>
                <w:lang w:val="en-GB"/>
              </w:rPr>
              <w:t>Total</w:t>
            </w:r>
          </w:p>
        </w:tc>
        <w:tc>
          <w:tcPr>
            <w:tcW w:w="82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2B7F27" w:rsidRPr="002B7F27" w:rsidRDefault="002B7F27" w:rsidP="002B7F27">
            <w:pPr>
              <w:pStyle w:val="TableDataEntries"/>
              <w:rPr>
                <w:rFonts w:ascii="Franklin Gothic Demi" w:hAnsi="Franklin Gothic Demi"/>
                <w:lang w:val="en-GB"/>
              </w:rPr>
            </w:pPr>
            <w:r w:rsidRPr="002B7F27">
              <w:rPr>
                <w:rFonts w:ascii="Franklin Gothic Demi" w:hAnsi="Franklin Gothic Demi"/>
              </w:rPr>
              <w:t>- 0.8</w:t>
            </w:r>
          </w:p>
        </w:tc>
        <w:tc>
          <w:tcPr>
            <w:tcW w:w="82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2B7F27" w:rsidRPr="002B7F27" w:rsidRDefault="002B7F27" w:rsidP="002B7F27">
            <w:pPr>
              <w:pStyle w:val="TableDataEntries"/>
              <w:rPr>
                <w:rFonts w:ascii="Franklin Gothic Demi" w:hAnsi="Franklin Gothic Demi"/>
                <w:lang w:val="en-GB"/>
              </w:rPr>
            </w:pPr>
            <w:r w:rsidRPr="002B7F27">
              <w:rPr>
                <w:rFonts w:ascii="Franklin Gothic Demi" w:hAnsi="Franklin Gothic Demi"/>
              </w:rPr>
              <w:t>- 7.9</w:t>
            </w:r>
          </w:p>
        </w:tc>
        <w:tc>
          <w:tcPr>
            <w:tcW w:w="82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2B7F27" w:rsidRPr="002B7F27" w:rsidRDefault="002B7F27" w:rsidP="002B7F27">
            <w:pPr>
              <w:pStyle w:val="TableDataEntries"/>
              <w:rPr>
                <w:rFonts w:ascii="Franklin Gothic Demi" w:hAnsi="Franklin Gothic Demi"/>
                <w:lang w:val="en-GB"/>
              </w:rPr>
            </w:pPr>
            <w:r w:rsidRPr="002B7F27">
              <w:rPr>
                <w:rFonts w:ascii="Franklin Gothic Demi" w:hAnsi="Franklin Gothic Demi"/>
              </w:rPr>
              <w:t>- 25.5</w:t>
            </w:r>
          </w:p>
        </w:tc>
        <w:tc>
          <w:tcPr>
            <w:tcW w:w="824"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2B7F27" w:rsidRPr="002B7F27" w:rsidRDefault="002B7F27" w:rsidP="002B7F27">
            <w:pPr>
              <w:pStyle w:val="TableDataEntries"/>
              <w:rPr>
                <w:rFonts w:ascii="Franklin Gothic Demi" w:hAnsi="Franklin Gothic Demi"/>
                <w:lang w:val="en-GB"/>
              </w:rPr>
            </w:pPr>
            <w:r w:rsidRPr="002B7F27">
              <w:rPr>
                <w:rFonts w:ascii="Franklin Gothic Demi" w:hAnsi="Franklin Gothic Demi"/>
              </w:rPr>
              <w:t>- 33.5</w:t>
            </w:r>
          </w:p>
        </w:tc>
        <w:tc>
          <w:tcPr>
            <w:tcW w:w="82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2B7F27" w:rsidRPr="002B7F27" w:rsidRDefault="002B7F27" w:rsidP="002B7F27">
            <w:pPr>
              <w:pStyle w:val="TableDataEntries"/>
              <w:rPr>
                <w:rFonts w:ascii="Franklin Gothic Demi" w:hAnsi="Franklin Gothic Demi"/>
                <w:lang w:val="en-GB"/>
              </w:rPr>
            </w:pPr>
            <w:r w:rsidRPr="002B7F27">
              <w:rPr>
                <w:rFonts w:ascii="Franklin Gothic Demi" w:hAnsi="Franklin Gothic Demi"/>
              </w:rPr>
              <w:t>- 13.0</w:t>
            </w:r>
          </w:p>
        </w:tc>
        <w:tc>
          <w:tcPr>
            <w:tcW w:w="82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2B7F27" w:rsidRPr="002B7F27" w:rsidRDefault="002B7F27" w:rsidP="002B7F27">
            <w:pPr>
              <w:pStyle w:val="TableDataEntries"/>
              <w:rPr>
                <w:rFonts w:ascii="Franklin Gothic Demi" w:hAnsi="Franklin Gothic Demi"/>
                <w:lang w:val="en-GB"/>
              </w:rPr>
            </w:pPr>
            <w:r w:rsidRPr="002B7F27">
              <w:rPr>
                <w:rFonts w:ascii="Franklin Gothic Demi" w:hAnsi="Franklin Gothic Demi"/>
              </w:rPr>
              <w:t>- 18.6</w:t>
            </w:r>
          </w:p>
        </w:tc>
        <w:tc>
          <w:tcPr>
            <w:tcW w:w="82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2B7F27" w:rsidRPr="002B7F27" w:rsidRDefault="002B7F27" w:rsidP="002B7F27">
            <w:pPr>
              <w:pStyle w:val="TableDataEntries"/>
              <w:rPr>
                <w:rFonts w:ascii="Franklin Gothic Demi" w:hAnsi="Franklin Gothic Demi"/>
                <w:lang w:val="en-GB"/>
              </w:rPr>
            </w:pPr>
            <w:r w:rsidRPr="002B7F27">
              <w:rPr>
                <w:rFonts w:ascii="Franklin Gothic Demi" w:hAnsi="Franklin Gothic Demi"/>
              </w:rPr>
              <w:t>- 29.9</w:t>
            </w:r>
          </w:p>
        </w:tc>
      </w:tr>
    </w:tbl>
    <w:p w:rsidR="00612FD3" w:rsidRDefault="00612FD3" w:rsidP="00612FD3">
      <w:pPr>
        <w:pStyle w:val="Note"/>
        <w:rPr>
          <w:lang w:bidi="fa-IR"/>
        </w:rPr>
      </w:pPr>
      <w:r w:rsidRPr="007D1B4F">
        <w:rPr>
          <w:i/>
        </w:rPr>
        <w:t>Note:</w:t>
      </w:r>
      <w:r w:rsidRPr="00E879B8">
        <w:t xml:space="preserve"> </w:t>
      </w:r>
      <w:r w:rsidR="00C50E98">
        <w:t>Cost increases are reported as a negative value and cost savings are reported as a positive value.</w:t>
      </w:r>
    </w:p>
    <w:p w:rsidR="00612FD3" w:rsidRDefault="00612FD3" w:rsidP="00612FD3">
      <w:pPr>
        <w:pStyle w:val="Source"/>
        <w:rPr>
          <w:lang w:bidi="fa-IR"/>
        </w:rPr>
      </w:pPr>
      <w:r w:rsidRPr="00593EDD">
        <w:rPr>
          <w:i/>
          <w:lang w:bidi="fa-IR"/>
        </w:rPr>
        <w:t>Source:</w:t>
      </w:r>
      <w:r>
        <w:rPr>
          <w:lang w:bidi="fa-IR"/>
        </w:rPr>
        <w:t xml:space="preserve"> </w:t>
      </w:r>
      <w:r w:rsidR="003F28DD">
        <w:rPr>
          <w:lang w:bidi="fa-IR"/>
        </w:rPr>
        <w:t>EA</w:t>
      </w:r>
      <w:r>
        <w:rPr>
          <w:lang w:bidi="fa-IR"/>
        </w:rPr>
        <w:t xml:space="preserve"> modelling.</w:t>
      </w:r>
    </w:p>
    <w:p w:rsidR="00612FD3" w:rsidRDefault="00612FD3" w:rsidP="00612FD3">
      <w:pPr>
        <w:pStyle w:val="Heading3"/>
        <w:numPr>
          <w:ilvl w:val="2"/>
          <w:numId w:val="5"/>
        </w:numPr>
        <w:rPr>
          <w:lang w:eastAsia="en-US"/>
        </w:rPr>
      </w:pPr>
      <w:r>
        <w:rPr>
          <w:lang w:eastAsia="en-US"/>
        </w:rPr>
        <w:t>Healthcare building</w:t>
      </w:r>
    </w:p>
    <w:p w:rsidR="00612FD3" w:rsidRDefault="00612FD3" w:rsidP="00612FD3">
      <w:pPr>
        <w:pStyle w:val="BodyText"/>
        <w:rPr>
          <w:lang w:eastAsia="en-US"/>
        </w:rPr>
      </w:pPr>
      <w:r>
        <w:rPr>
          <w:lang w:eastAsia="en-US"/>
        </w:rPr>
        <w:t xml:space="preserve">Based on </w:t>
      </w:r>
      <w:r w:rsidR="003F28DD">
        <w:rPr>
          <w:lang w:eastAsia="en-US"/>
        </w:rPr>
        <w:t>EA</w:t>
      </w:r>
      <w:r>
        <w:rPr>
          <w:lang w:eastAsia="en-US"/>
        </w:rPr>
        <w:t xml:space="preserve"> modelling, there is estimated to be </w:t>
      </w:r>
      <w:r w:rsidR="00EE351B">
        <w:rPr>
          <w:lang w:eastAsia="en-US"/>
        </w:rPr>
        <w:t>an</w:t>
      </w:r>
      <w:r>
        <w:rPr>
          <w:lang w:eastAsia="en-US"/>
        </w:rPr>
        <w:t xml:space="preserve"> increase in construction costs for healthcare facilities across all </w:t>
      </w:r>
      <w:r w:rsidR="00E31EE8">
        <w:rPr>
          <w:lang w:eastAsia="en-US"/>
        </w:rPr>
        <w:t>Climate Zone</w:t>
      </w:r>
      <w:r>
        <w:rPr>
          <w:lang w:eastAsia="en-US"/>
        </w:rPr>
        <w:t>s (table </w:t>
      </w:r>
      <w:r w:rsidR="00C07C84">
        <w:rPr>
          <w:lang w:eastAsia="en-US"/>
        </w:rPr>
        <w:fldChar w:fldCharType="begin"/>
      </w:r>
      <w:r w:rsidR="00C07C84">
        <w:rPr>
          <w:lang w:eastAsia="en-US"/>
        </w:rPr>
        <w:instrText xml:space="preserve"> REF _Caption8962 </w:instrText>
      </w:r>
      <w:r w:rsidR="00C07C84">
        <w:rPr>
          <w:lang w:eastAsia="en-US"/>
        </w:rPr>
        <w:fldChar w:fldCharType="separate"/>
      </w:r>
      <w:r w:rsidR="006B79B8">
        <w:rPr>
          <w:noProof/>
        </w:rPr>
        <w:t>5</w:t>
      </w:r>
      <w:r w:rsidR="006B79B8" w:rsidRPr="002B3C0A">
        <w:rPr>
          <w:noProof/>
        </w:rPr>
        <w:t>.</w:t>
      </w:r>
      <w:r w:rsidR="006B79B8">
        <w:rPr>
          <w:noProof/>
        </w:rPr>
        <w:t>7</w:t>
      </w:r>
      <w:r w:rsidR="00C07C84">
        <w:rPr>
          <w:lang w:eastAsia="en-US"/>
        </w:rPr>
        <w:fldChar w:fldCharType="end"/>
      </w:r>
      <w:r>
        <w:rPr>
          <w:lang w:eastAsia="en-US"/>
        </w:rPr>
        <w:t xml:space="preserve">). More expensive services (particularly FCUs) are only partly offset by </w:t>
      </w:r>
      <w:r w:rsidR="00EE351B">
        <w:rPr>
          <w:lang w:eastAsia="en-US"/>
        </w:rPr>
        <w:t xml:space="preserve">modest </w:t>
      </w:r>
      <w:r>
        <w:rPr>
          <w:lang w:eastAsia="en-US"/>
        </w:rPr>
        <w:t>façade cost savings</w:t>
      </w:r>
      <w:r w:rsidR="00F64F58">
        <w:rPr>
          <w:lang w:eastAsia="en-US"/>
        </w:rPr>
        <w:t xml:space="preserve"> driven by the </w:t>
      </w:r>
      <w:r w:rsidR="00BB30D0">
        <w:rPr>
          <w:lang w:eastAsia="en-US"/>
        </w:rPr>
        <w:t>methodology</w:t>
      </w:r>
      <w:r w:rsidR="00F64F58">
        <w:rPr>
          <w:lang w:eastAsia="en-US"/>
        </w:rPr>
        <w:t xml:space="preserve"> change to focus on façade SHGC</w:t>
      </w:r>
      <w:r>
        <w:rPr>
          <w:lang w:eastAsia="en-US"/>
        </w:rPr>
        <w:t>.</w:t>
      </w:r>
    </w:p>
    <w:p w:rsidR="00612FD3" w:rsidRDefault="00612FD3" w:rsidP="00612FD3">
      <w:pPr>
        <w:pStyle w:val="Caption"/>
      </w:pPr>
      <w:r w:rsidRPr="002B3C0A">
        <w:fldChar w:fldCharType="begin"/>
      </w:r>
      <w:r w:rsidRPr="002B3C0A">
        <w:instrText xml:space="preserve"> IF 1 = 1 "</w:instrText>
      </w:r>
      <w:r w:rsidRPr="002B3C0A">
        <w:fldChar w:fldCharType="begin"/>
      </w:r>
      <w:r w:rsidRPr="002B3C0A">
        <w:instrText xml:space="preserve"> IF </w:instrText>
      </w:r>
      <w:r w:rsidRPr="002B3C0A">
        <w:rPr>
          <w:noProof/>
        </w:rPr>
        <w:fldChar w:fldCharType="begin"/>
      </w:r>
      <w:r w:rsidRPr="002B3C0A">
        <w:rPr>
          <w:noProof/>
        </w:rPr>
        <w:instrText xml:space="preserve"> STYLEREF "Heading 6" \l \n </w:instrText>
      </w:r>
      <w:r w:rsidRPr="002B3C0A">
        <w:rPr>
          <w:noProof/>
        </w:rPr>
        <w:fldChar w:fldCharType="separate"/>
      </w:r>
      <w:r w:rsidR="00B833F1">
        <w:rPr>
          <w:noProof/>
        </w:rPr>
        <w:instrText>0</w:instrText>
      </w:r>
      <w:r w:rsidRPr="002B3C0A">
        <w:rPr>
          <w:noProof/>
        </w:rPr>
        <w:fldChar w:fldCharType="end"/>
      </w:r>
      <w:r w:rsidRPr="002B3C0A">
        <w:instrText xml:space="preserve"> = 0 "</w:instrText>
      </w:r>
      <w:r w:rsidRPr="002B3C0A">
        <w:fldChar w:fldCharType="begin"/>
      </w:r>
      <w:r w:rsidRPr="002B3C0A">
        <w:instrText xml:space="preserve"> IF </w:instrText>
      </w:r>
      <w:r w:rsidRPr="002B3C0A">
        <w:rPr>
          <w:noProof/>
        </w:rPr>
        <w:fldChar w:fldCharType="begin"/>
      </w:r>
      <w:r w:rsidRPr="002B3C0A">
        <w:rPr>
          <w:noProof/>
        </w:rPr>
        <w:instrText xml:space="preserve"> STYLEREF "Heading 1" \l \n </w:instrText>
      </w:r>
      <w:r w:rsidRPr="002B3C0A">
        <w:rPr>
          <w:noProof/>
        </w:rPr>
        <w:fldChar w:fldCharType="separate"/>
      </w:r>
      <w:r w:rsidR="00B833F1">
        <w:rPr>
          <w:noProof/>
        </w:rPr>
        <w:instrText>5</w:instrText>
      </w:r>
      <w:r w:rsidRPr="002B3C0A">
        <w:rPr>
          <w:noProof/>
        </w:rPr>
        <w:fldChar w:fldCharType="end"/>
      </w:r>
      <w:r w:rsidRPr="002B3C0A">
        <w:instrText xml:space="preserve"> = 0 "" "</w:instrText>
      </w:r>
      <w:r w:rsidRPr="002B3C0A">
        <w:rPr>
          <w:noProof/>
        </w:rPr>
        <w:fldChar w:fldCharType="begin"/>
      </w:r>
      <w:r w:rsidRPr="002B3C0A">
        <w:rPr>
          <w:noProof/>
        </w:rPr>
        <w:instrText xml:space="preserve"> STYLEREF "Heading 1" \l \n </w:instrText>
      </w:r>
      <w:r w:rsidRPr="002B3C0A">
        <w:rPr>
          <w:noProof/>
        </w:rPr>
        <w:fldChar w:fldCharType="separate"/>
      </w:r>
      <w:r w:rsidR="00B833F1">
        <w:rPr>
          <w:noProof/>
        </w:rPr>
        <w:instrText>5</w:instrText>
      </w:r>
      <w:r w:rsidRPr="002B3C0A">
        <w:rPr>
          <w:noProof/>
        </w:rPr>
        <w:fldChar w:fldCharType="end"/>
      </w:r>
      <w:r w:rsidRPr="002B3C0A">
        <w:instrText xml:space="preserve">." </w:instrText>
      </w:r>
      <w:r w:rsidRPr="002B3C0A">
        <w:fldChar w:fldCharType="separate"/>
      </w:r>
      <w:r w:rsidR="00B833F1">
        <w:rPr>
          <w:noProof/>
        </w:rPr>
        <w:instrText>5</w:instrText>
      </w:r>
      <w:r w:rsidR="00B833F1" w:rsidRPr="002B3C0A">
        <w:rPr>
          <w:noProof/>
        </w:rPr>
        <w:instrText>.</w:instrText>
      </w:r>
      <w:r w:rsidRPr="002B3C0A">
        <w:fldChar w:fldCharType="end"/>
      </w:r>
      <w:r w:rsidRPr="002B3C0A">
        <w:instrText>" "</w:instrText>
      </w:r>
      <w:r w:rsidR="001F6F43">
        <w:fldChar w:fldCharType="begin"/>
      </w:r>
      <w:r w:rsidR="001F6F43">
        <w:instrText xml:space="preserve"> STYLEREF "Heading 6" \l \n </w:instrText>
      </w:r>
      <w:r w:rsidR="001F6F43">
        <w:fldChar w:fldCharType="separate"/>
      </w:r>
      <w:r w:rsidRPr="002B3C0A">
        <w:instrText>B</w:instrText>
      </w:r>
      <w:r w:rsidR="001F6F43">
        <w:fldChar w:fldCharType="end"/>
      </w:r>
      <w:r w:rsidRPr="002B3C0A">
        <w:instrText xml:space="preserve">." </w:instrText>
      </w:r>
      <w:r w:rsidRPr="002B3C0A">
        <w:fldChar w:fldCharType="separate"/>
      </w:r>
      <w:r w:rsidR="00EA42ED">
        <w:rPr>
          <w:noProof/>
        </w:rPr>
        <w:instrText>5</w:instrText>
      </w:r>
      <w:r w:rsidR="00EA42ED" w:rsidRPr="002B3C0A">
        <w:rPr>
          <w:noProof/>
        </w:rPr>
        <w:instrText>.</w:instrText>
      </w:r>
      <w:r w:rsidRPr="002B3C0A">
        <w:fldChar w:fldCharType="end"/>
      </w:r>
      <w:r w:rsidRPr="002B3C0A">
        <w:fldChar w:fldCharType="begin"/>
      </w:r>
      <w:r w:rsidRPr="002B3C0A">
        <w:instrText xml:space="preserve"> SEQ Item \* ARABIC \s </w:instrText>
      </w:r>
      <w:r w:rsidRPr="002B3C0A">
        <w:fldChar w:fldCharType="begin"/>
      </w:r>
      <w:r w:rsidRPr="002B3C0A">
        <w:instrText xml:space="preserve"> IF </w:instrText>
      </w:r>
      <w:r w:rsidRPr="002B3C0A">
        <w:rPr>
          <w:noProof/>
        </w:rPr>
        <w:fldChar w:fldCharType="begin"/>
      </w:r>
      <w:r w:rsidRPr="002B3C0A">
        <w:rPr>
          <w:noProof/>
        </w:rPr>
        <w:instrText xml:space="preserve"> STYLEREF "Heading 6" \l \n </w:instrText>
      </w:r>
      <w:r w:rsidRPr="002B3C0A">
        <w:rPr>
          <w:noProof/>
        </w:rPr>
        <w:fldChar w:fldCharType="separate"/>
      </w:r>
      <w:r w:rsidR="00B833F1">
        <w:rPr>
          <w:noProof/>
        </w:rPr>
        <w:instrText>0</w:instrText>
      </w:r>
      <w:r w:rsidRPr="002B3C0A">
        <w:rPr>
          <w:noProof/>
        </w:rPr>
        <w:fldChar w:fldCharType="end"/>
      </w:r>
      <w:r w:rsidRPr="002B3C0A">
        <w:instrText xml:space="preserve"> = 0 "</w:instrText>
      </w:r>
      <w:r w:rsidRPr="002B3C0A">
        <w:fldChar w:fldCharType="begin"/>
      </w:r>
      <w:r w:rsidRPr="002B3C0A">
        <w:instrText xml:space="preserve"> IF </w:instrText>
      </w:r>
      <w:r w:rsidRPr="002B3C0A">
        <w:rPr>
          <w:noProof/>
        </w:rPr>
        <w:fldChar w:fldCharType="begin"/>
      </w:r>
      <w:r w:rsidRPr="002B3C0A">
        <w:rPr>
          <w:noProof/>
        </w:rPr>
        <w:instrText xml:space="preserve"> STYLEREF "Heading 1" \l \n </w:instrText>
      </w:r>
      <w:r w:rsidRPr="002B3C0A">
        <w:rPr>
          <w:noProof/>
        </w:rPr>
        <w:fldChar w:fldCharType="separate"/>
      </w:r>
      <w:r w:rsidR="00B833F1">
        <w:rPr>
          <w:noProof/>
        </w:rPr>
        <w:instrText>5</w:instrText>
      </w:r>
      <w:r w:rsidRPr="002B3C0A">
        <w:rPr>
          <w:noProof/>
        </w:rPr>
        <w:fldChar w:fldCharType="end"/>
      </w:r>
      <w:r w:rsidRPr="002B3C0A">
        <w:instrText xml:space="preserve"> = 0 "" "1" </w:instrText>
      </w:r>
      <w:r w:rsidRPr="002B3C0A">
        <w:fldChar w:fldCharType="separate"/>
      </w:r>
      <w:r w:rsidR="00EA42ED" w:rsidRPr="002B3C0A">
        <w:rPr>
          <w:noProof/>
        </w:rPr>
        <w:instrText>1</w:instrText>
      </w:r>
      <w:r w:rsidRPr="002B3C0A">
        <w:fldChar w:fldCharType="end"/>
      </w:r>
      <w:r w:rsidRPr="002B3C0A">
        <w:instrText xml:space="preserve">" "6" </w:instrText>
      </w:r>
      <w:r w:rsidRPr="002B3C0A">
        <w:fldChar w:fldCharType="separate"/>
      </w:r>
      <w:r w:rsidR="00EA42ED" w:rsidRPr="002B3C0A">
        <w:rPr>
          <w:noProof/>
        </w:rPr>
        <w:instrText>1</w:instrText>
      </w:r>
      <w:r w:rsidRPr="002B3C0A">
        <w:fldChar w:fldCharType="end"/>
      </w:r>
      <w:r w:rsidRPr="002B3C0A">
        <w:instrText xml:space="preserve"> </w:instrText>
      </w:r>
      <w:r w:rsidRPr="002B3C0A">
        <w:fldChar w:fldCharType="separate"/>
      </w:r>
      <w:r w:rsidR="00B833F1">
        <w:rPr>
          <w:noProof/>
        </w:rPr>
        <w:instrText>7</w:instrText>
      </w:r>
      <w:r w:rsidRPr="002B3C0A">
        <w:fldChar w:fldCharType="end"/>
      </w:r>
      <w:r w:rsidRPr="002B3C0A">
        <w:instrText xml:space="preserve">" "" </w:instrText>
      </w:r>
      <w:r w:rsidRPr="002B3C0A">
        <w:fldChar w:fldCharType="separate"/>
      </w:r>
      <w:bookmarkStart w:id="1827" w:name="_Caption2169"/>
      <w:bookmarkStart w:id="1828" w:name="_Caption8094"/>
      <w:bookmarkStart w:id="1829" w:name="_Caption7997"/>
      <w:bookmarkStart w:id="1830" w:name="_Caption8725"/>
      <w:bookmarkStart w:id="1831" w:name="_Caption6013"/>
      <w:bookmarkStart w:id="1832" w:name="_Caption3942"/>
      <w:bookmarkStart w:id="1833" w:name="_Caption1131"/>
      <w:bookmarkStart w:id="1834" w:name="_Caption4238"/>
      <w:bookmarkStart w:id="1835" w:name="_Caption2416"/>
      <w:bookmarkStart w:id="1836" w:name="_Caption5516"/>
      <w:bookmarkStart w:id="1837" w:name="_Caption3259"/>
      <w:bookmarkStart w:id="1838" w:name="_Caption8435"/>
      <w:bookmarkStart w:id="1839" w:name="_Caption7056"/>
      <w:bookmarkStart w:id="1840" w:name="_Caption7806"/>
      <w:bookmarkStart w:id="1841" w:name="_Caption1272"/>
      <w:bookmarkStart w:id="1842" w:name="_Caption2395"/>
      <w:bookmarkStart w:id="1843" w:name="_Caption9342"/>
      <w:bookmarkStart w:id="1844" w:name="_Caption4319"/>
      <w:bookmarkStart w:id="1845" w:name="_Caption2078"/>
      <w:bookmarkStart w:id="1846" w:name="_Caption3496"/>
      <w:bookmarkStart w:id="1847" w:name="_Caption5408"/>
      <w:bookmarkStart w:id="1848" w:name="_Caption3180"/>
      <w:bookmarkStart w:id="1849" w:name="_Caption0915"/>
      <w:bookmarkStart w:id="1850" w:name="_Caption6280"/>
      <w:bookmarkStart w:id="1851" w:name="_Caption8962"/>
      <w:bookmarkStart w:id="1852" w:name="_Caption2622"/>
      <w:bookmarkStart w:id="1853" w:name="_Caption8573"/>
      <w:bookmarkStart w:id="1854" w:name="_Caption7065"/>
      <w:bookmarkStart w:id="1855" w:name="_Caption2492"/>
      <w:bookmarkStart w:id="1856" w:name="_Caption0056"/>
      <w:bookmarkStart w:id="1857" w:name="_Caption7090"/>
      <w:bookmarkStart w:id="1858" w:name="_Caption4354"/>
      <w:bookmarkStart w:id="1859" w:name="_Caption9146"/>
      <w:bookmarkStart w:id="1860" w:name="_Caption5107"/>
      <w:bookmarkStart w:id="1861" w:name="_Caption8245"/>
      <w:bookmarkStart w:id="1862" w:name="_Caption8967"/>
      <w:bookmarkStart w:id="1863" w:name="_Caption1099"/>
      <w:bookmarkStart w:id="1864" w:name="_Caption5530"/>
      <w:bookmarkStart w:id="1865" w:name="_Caption8473"/>
      <w:bookmarkStart w:id="1866" w:name="_Caption3133"/>
      <w:bookmarkStart w:id="1867" w:name="_Caption4018"/>
      <w:bookmarkStart w:id="1868" w:name="_Caption5591"/>
      <w:bookmarkStart w:id="1869" w:name="_Caption7130"/>
      <w:bookmarkStart w:id="1870" w:name="_Caption2352"/>
      <w:bookmarkStart w:id="1871" w:name="_Caption4245"/>
      <w:bookmarkStart w:id="1872" w:name="_Caption1200"/>
      <w:bookmarkStart w:id="1873" w:name="_Caption4325"/>
      <w:bookmarkStart w:id="1874" w:name="_Caption8690"/>
      <w:bookmarkStart w:id="1875" w:name="_Caption2650"/>
      <w:bookmarkStart w:id="1876" w:name="_Caption1206"/>
      <w:bookmarkStart w:id="1877" w:name="_Caption8148"/>
      <w:bookmarkStart w:id="1878" w:name="_Caption8546"/>
      <w:bookmarkStart w:id="1879" w:name="_Caption5890"/>
      <w:bookmarkStart w:id="1880" w:name="_Caption9241"/>
      <w:bookmarkStart w:id="1881" w:name="_Caption5872"/>
      <w:bookmarkStart w:id="1882" w:name="_Caption1046"/>
      <w:bookmarkStart w:id="1883" w:name="_Caption7710"/>
      <w:bookmarkStart w:id="1884" w:name="_Caption2132"/>
      <w:bookmarkStart w:id="1885" w:name="_Caption9353"/>
      <w:bookmarkStart w:id="1886" w:name="_Caption9624"/>
      <w:bookmarkStart w:id="1887" w:name="_Caption7223"/>
      <w:bookmarkStart w:id="1888" w:name="_Caption8027"/>
      <w:bookmarkStart w:id="1889" w:name="_Caption7114"/>
      <w:bookmarkStart w:id="1890" w:name="_Caption1547"/>
      <w:bookmarkStart w:id="1891" w:name="_Caption8049"/>
      <w:bookmarkStart w:id="1892" w:name="_Caption0713"/>
      <w:bookmarkStart w:id="1893" w:name="_Caption3477"/>
      <w:bookmarkStart w:id="1894" w:name="_Toc529869915"/>
      <w:bookmarkStart w:id="1895" w:name="_Toc530748411"/>
      <w:r w:rsidR="00EA42ED">
        <w:rPr>
          <w:noProof/>
        </w:rPr>
        <w:t>5</w:t>
      </w:r>
      <w:r w:rsidR="00EA42ED" w:rsidRPr="002B3C0A">
        <w:rPr>
          <w:noProof/>
        </w:rPr>
        <w:t>.</w:t>
      </w:r>
      <w:r w:rsidR="00EA42ED">
        <w:rPr>
          <w:noProof/>
        </w:rPr>
        <w:t>7</w:t>
      </w:r>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r w:rsidRPr="002B3C0A">
        <w:fldChar w:fldCharType="end"/>
      </w:r>
      <w:r w:rsidRPr="002B3C0A">
        <w:tab/>
        <w:t>Change in construction costs — healthcare building (9aC)</w:t>
      </w:r>
      <w:bookmarkEnd w:id="1894"/>
      <w:bookmarkEnd w:id="1895"/>
    </w:p>
    <w:tbl>
      <w:tblPr>
        <w:tblW w:w="7939" w:type="dxa"/>
        <w:tblLayout w:type="fixed"/>
        <w:tblLook w:val="0000" w:firstRow="0" w:lastRow="0" w:firstColumn="0" w:lastColumn="0" w:noHBand="0" w:noVBand="0"/>
        <w:tblCaption w:val="Table 5.7: Change in construction costs - healthcare building (9aC)"/>
        <w:tblDescription w:val="This table identifies the change in construction costs based on building element for healthcare buildings. It finds that there is considerable savings in glazing in addition to savings in services."/>
      </w:tblPr>
      <w:tblGrid>
        <w:gridCol w:w="2177"/>
        <w:gridCol w:w="823"/>
        <w:gridCol w:w="823"/>
        <w:gridCol w:w="823"/>
        <w:gridCol w:w="824"/>
        <w:gridCol w:w="823"/>
        <w:gridCol w:w="823"/>
        <w:gridCol w:w="823"/>
      </w:tblGrid>
      <w:tr w:rsidR="00612FD3" w:rsidTr="00301B6D">
        <w:trPr>
          <w:trHeight w:val="230"/>
          <w:tblHeader/>
        </w:trPr>
        <w:tc>
          <w:tcPr>
            <w:tcW w:w="2177" w:type="dxa"/>
            <w:shd w:val="clear" w:color="auto" w:fill="6F6652"/>
            <w:tcMar>
              <w:left w:w="57" w:type="dxa"/>
              <w:right w:w="57" w:type="dxa"/>
            </w:tcMar>
          </w:tcPr>
          <w:p w:rsidR="00612FD3" w:rsidRDefault="00612FD3" w:rsidP="00301B6D">
            <w:pPr>
              <w:pStyle w:val="TableDataColumnHeading"/>
              <w:jc w:val="left"/>
              <w:rPr>
                <w:lang w:val="en-GB"/>
              </w:rPr>
            </w:pPr>
          </w:p>
        </w:tc>
        <w:tc>
          <w:tcPr>
            <w:tcW w:w="823" w:type="dxa"/>
            <w:shd w:val="clear" w:color="auto" w:fill="6F6652"/>
            <w:tcMar>
              <w:left w:w="57" w:type="dxa"/>
              <w:right w:w="57" w:type="dxa"/>
            </w:tcMar>
          </w:tcPr>
          <w:p w:rsidR="00612FD3" w:rsidRDefault="00E31EE8" w:rsidP="00301B6D">
            <w:pPr>
              <w:pStyle w:val="TableDataColumnHeading"/>
              <w:rPr>
                <w:lang w:val="en-GB"/>
              </w:rPr>
            </w:pPr>
            <w:r>
              <w:rPr>
                <w:lang w:val="en-GB"/>
              </w:rPr>
              <w:t>Climate Zone</w:t>
            </w:r>
            <w:r w:rsidR="00612FD3">
              <w:rPr>
                <w:lang w:val="en-GB"/>
              </w:rPr>
              <w:t xml:space="preserve"> 1</w:t>
            </w:r>
          </w:p>
        </w:tc>
        <w:tc>
          <w:tcPr>
            <w:tcW w:w="823" w:type="dxa"/>
            <w:shd w:val="clear" w:color="auto" w:fill="6F6652"/>
            <w:tcMar>
              <w:left w:w="57" w:type="dxa"/>
              <w:right w:w="57" w:type="dxa"/>
            </w:tcMar>
          </w:tcPr>
          <w:p w:rsidR="00612FD3" w:rsidRDefault="00E31EE8" w:rsidP="00301B6D">
            <w:pPr>
              <w:pStyle w:val="TableDataColumnHeading"/>
              <w:rPr>
                <w:lang w:val="en-GB"/>
              </w:rPr>
            </w:pPr>
            <w:r>
              <w:rPr>
                <w:lang w:val="en-GB"/>
              </w:rPr>
              <w:t>Climate Zone</w:t>
            </w:r>
            <w:r w:rsidR="00612FD3">
              <w:rPr>
                <w:lang w:val="en-GB"/>
              </w:rPr>
              <w:t xml:space="preserve"> 2</w:t>
            </w:r>
          </w:p>
        </w:tc>
        <w:tc>
          <w:tcPr>
            <w:tcW w:w="823" w:type="dxa"/>
            <w:shd w:val="clear" w:color="auto" w:fill="6F6652"/>
            <w:tcMar>
              <w:left w:w="57" w:type="dxa"/>
              <w:right w:w="57" w:type="dxa"/>
            </w:tcMar>
          </w:tcPr>
          <w:p w:rsidR="00612FD3" w:rsidRDefault="00E31EE8" w:rsidP="00301B6D">
            <w:pPr>
              <w:pStyle w:val="TableDataColumnHeading"/>
              <w:rPr>
                <w:lang w:val="en-GB"/>
              </w:rPr>
            </w:pPr>
            <w:r>
              <w:rPr>
                <w:lang w:val="en-GB"/>
              </w:rPr>
              <w:t>Climate Zone</w:t>
            </w:r>
            <w:r w:rsidR="00612FD3">
              <w:rPr>
                <w:lang w:val="en-GB"/>
              </w:rPr>
              <w:t xml:space="preserve"> 3</w:t>
            </w:r>
          </w:p>
        </w:tc>
        <w:tc>
          <w:tcPr>
            <w:tcW w:w="824" w:type="dxa"/>
            <w:shd w:val="clear" w:color="auto" w:fill="6F6652"/>
            <w:tcMar>
              <w:left w:w="57" w:type="dxa"/>
              <w:right w:w="57" w:type="dxa"/>
            </w:tcMar>
          </w:tcPr>
          <w:p w:rsidR="00612FD3" w:rsidRDefault="00E31EE8" w:rsidP="00301B6D">
            <w:pPr>
              <w:pStyle w:val="TableDataColumnHeading"/>
              <w:rPr>
                <w:lang w:val="en-GB"/>
              </w:rPr>
            </w:pPr>
            <w:r>
              <w:rPr>
                <w:lang w:val="en-GB"/>
              </w:rPr>
              <w:t>Climate Zone</w:t>
            </w:r>
            <w:r w:rsidR="00612FD3">
              <w:rPr>
                <w:lang w:val="en-GB"/>
              </w:rPr>
              <w:t xml:space="preserve"> 4</w:t>
            </w:r>
          </w:p>
        </w:tc>
        <w:tc>
          <w:tcPr>
            <w:tcW w:w="823" w:type="dxa"/>
            <w:shd w:val="clear" w:color="auto" w:fill="6F6652"/>
            <w:tcMar>
              <w:left w:w="57" w:type="dxa"/>
              <w:right w:w="57" w:type="dxa"/>
            </w:tcMar>
          </w:tcPr>
          <w:p w:rsidR="00612FD3" w:rsidRDefault="00E31EE8" w:rsidP="00301B6D">
            <w:pPr>
              <w:pStyle w:val="TableDataColumnHeading"/>
              <w:rPr>
                <w:lang w:val="en-GB"/>
              </w:rPr>
            </w:pPr>
            <w:r>
              <w:rPr>
                <w:lang w:val="en-GB"/>
              </w:rPr>
              <w:t>Climate Zone</w:t>
            </w:r>
            <w:r w:rsidR="00612FD3">
              <w:rPr>
                <w:lang w:val="en-GB"/>
              </w:rPr>
              <w:t xml:space="preserve"> 5</w:t>
            </w:r>
          </w:p>
        </w:tc>
        <w:tc>
          <w:tcPr>
            <w:tcW w:w="823" w:type="dxa"/>
            <w:shd w:val="clear" w:color="auto" w:fill="6F6652"/>
            <w:tcMar>
              <w:left w:w="57" w:type="dxa"/>
              <w:right w:w="57" w:type="dxa"/>
            </w:tcMar>
          </w:tcPr>
          <w:p w:rsidR="00612FD3" w:rsidRDefault="00E31EE8" w:rsidP="00301B6D">
            <w:pPr>
              <w:pStyle w:val="TableDataColumnHeading"/>
              <w:rPr>
                <w:lang w:val="en-GB"/>
              </w:rPr>
            </w:pPr>
            <w:r>
              <w:rPr>
                <w:lang w:val="en-GB"/>
              </w:rPr>
              <w:t>Climate Zone</w:t>
            </w:r>
            <w:r w:rsidR="00612FD3">
              <w:rPr>
                <w:lang w:val="en-GB"/>
              </w:rPr>
              <w:t xml:space="preserve"> 6</w:t>
            </w:r>
          </w:p>
        </w:tc>
        <w:tc>
          <w:tcPr>
            <w:tcW w:w="823" w:type="dxa"/>
            <w:shd w:val="clear" w:color="auto" w:fill="6F6652"/>
            <w:tcMar>
              <w:left w:w="57" w:type="dxa"/>
              <w:right w:w="57" w:type="dxa"/>
            </w:tcMar>
          </w:tcPr>
          <w:p w:rsidR="00612FD3" w:rsidRDefault="00E31EE8" w:rsidP="00301B6D">
            <w:pPr>
              <w:pStyle w:val="TableDataColumnHeading"/>
              <w:rPr>
                <w:lang w:val="en-GB"/>
              </w:rPr>
            </w:pPr>
            <w:r>
              <w:rPr>
                <w:lang w:val="en-GB"/>
              </w:rPr>
              <w:t>Climate Zone</w:t>
            </w:r>
            <w:r w:rsidR="00612FD3">
              <w:rPr>
                <w:lang w:val="en-GB"/>
              </w:rPr>
              <w:t xml:space="preserve"> 7</w:t>
            </w:r>
          </w:p>
        </w:tc>
      </w:tr>
      <w:tr w:rsidR="00612FD3" w:rsidTr="00301B6D">
        <w:trPr>
          <w:trHeight w:val="230"/>
          <w:tblHeader/>
        </w:trPr>
        <w:tc>
          <w:tcPr>
            <w:tcW w:w="2177"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jc w:val="left"/>
              <w:rPr>
                <w:lang w:val="en-GB"/>
              </w:rPr>
            </w:pPr>
          </w:p>
        </w:tc>
        <w:tc>
          <w:tcPr>
            <w:tcW w:w="82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$'000</w:t>
            </w:r>
          </w:p>
        </w:tc>
        <w:tc>
          <w:tcPr>
            <w:tcW w:w="82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$'000</w:t>
            </w:r>
          </w:p>
        </w:tc>
        <w:tc>
          <w:tcPr>
            <w:tcW w:w="82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$'000</w:t>
            </w:r>
          </w:p>
        </w:tc>
        <w:tc>
          <w:tcPr>
            <w:tcW w:w="824"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$'000</w:t>
            </w:r>
          </w:p>
        </w:tc>
        <w:tc>
          <w:tcPr>
            <w:tcW w:w="82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$'000</w:t>
            </w:r>
          </w:p>
        </w:tc>
        <w:tc>
          <w:tcPr>
            <w:tcW w:w="82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$'000</w:t>
            </w:r>
          </w:p>
        </w:tc>
        <w:tc>
          <w:tcPr>
            <w:tcW w:w="82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$'000</w:t>
            </w:r>
          </w:p>
        </w:tc>
      </w:tr>
      <w:tr w:rsidR="00612FD3" w:rsidTr="00301B6D">
        <w:trPr>
          <w:trHeight w:val="230"/>
        </w:trPr>
        <w:tc>
          <w:tcPr>
            <w:tcW w:w="2177"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r>
              <w:rPr>
                <w:lang w:val="en-GB"/>
              </w:rPr>
              <w:t>Façade</w:t>
            </w:r>
          </w:p>
        </w:tc>
        <w:tc>
          <w:tcPr>
            <w:tcW w:w="82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82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82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824"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82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82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82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r>
      <w:tr w:rsidR="002B7F27" w:rsidTr="0045144D">
        <w:trPr>
          <w:trHeight w:val="230"/>
        </w:trPr>
        <w:tc>
          <w:tcPr>
            <w:tcW w:w="217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B7F27" w:rsidRDefault="002B7F27" w:rsidP="002B7F27">
            <w:pPr>
              <w:pStyle w:val="TableDataEntries"/>
              <w:jc w:val="left"/>
              <w:rPr>
                <w:lang w:val="en-GB"/>
              </w:rPr>
            </w:pPr>
            <w:r>
              <w:rPr>
                <w:lang w:val="en-GB"/>
              </w:rPr>
              <w:t>Roof</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0.0</w:t>
            </w:r>
          </w:p>
        </w:tc>
        <w:tc>
          <w:tcPr>
            <w:tcW w:w="8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0.0</w:t>
            </w:r>
          </w:p>
        </w:tc>
      </w:tr>
      <w:tr w:rsidR="002B7F27" w:rsidTr="0045144D">
        <w:trPr>
          <w:trHeight w:val="230"/>
        </w:trPr>
        <w:tc>
          <w:tcPr>
            <w:tcW w:w="217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B7F27" w:rsidRDefault="002B7F27" w:rsidP="002B7F27">
            <w:pPr>
              <w:pStyle w:val="TableDataEntries"/>
              <w:jc w:val="left"/>
              <w:rPr>
                <w:lang w:val="en-GB"/>
              </w:rPr>
            </w:pPr>
            <w:r>
              <w:rPr>
                <w:lang w:val="en-GB"/>
              </w:rPr>
              <w:t>Floor</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0.0</w:t>
            </w:r>
          </w:p>
        </w:tc>
        <w:tc>
          <w:tcPr>
            <w:tcW w:w="8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0.0</w:t>
            </w:r>
          </w:p>
        </w:tc>
      </w:tr>
      <w:tr w:rsidR="002B7F27" w:rsidTr="0045144D">
        <w:trPr>
          <w:trHeight w:val="230"/>
        </w:trPr>
        <w:tc>
          <w:tcPr>
            <w:tcW w:w="217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B7F27" w:rsidRDefault="002B7F27" w:rsidP="002B7F27">
            <w:pPr>
              <w:pStyle w:val="TableDataEntries"/>
              <w:jc w:val="left"/>
              <w:rPr>
                <w:lang w:val="en-GB"/>
              </w:rPr>
            </w:pPr>
            <w:r>
              <w:rPr>
                <w:lang w:val="en-GB"/>
              </w:rPr>
              <w:t>Walls</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3.1</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3.1</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3.1</w:t>
            </w:r>
          </w:p>
        </w:tc>
        <w:tc>
          <w:tcPr>
            <w:tcW w:w="8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1.7</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1.7</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1.7</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1.7</w:t>
            </w:r>
          </w:p>
        </w:tc>
      </w:tr>
      <w:tr w:rsidR="002B7F27" w:rsidTr="0045144D">
        <w:trPr>
          <w:trHeight w:val="230"/>
        </w:trPr>
        <w:tc>
          <w:tcPr>
            <w:tcW w:w="217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B7F27" w:rsidRDefault="002B7F27" w:rsidP="002B7F27">
            <w:pPr>
              <w:pStyle w:val="TableDataEntries"/>
              <w:jc w:val="left"/>
              <w:rPr>
                <w:lang w:val="en-GB"/>
              </w:rPr>
            </w:pPr>
            <w:r>
              <w:rPr>
                <w:lang w:val="en-GB"/>
              </w:rPr>
              <w:t>Glazing</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1.0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- 2.5</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- 2.5</w:t>
            </w:r>
          </w:p>
        </w:tc>
        <w:tc>
          <w:tcPr>
            <w:tcW w:w="8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0.5</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- 2.5</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10.7</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15.0</w:t>
            </w:r>
          </w:p>
        </w:tc>
      </w:tr>
      <w:tr w:rsidR="002B7F27" w:rsidRPr="002B7F27" w:rsidTr="0045144D">
        <w:trPr>
          <w:trHeight w:val="230"/>
        </w:trPr>
        <w:tc>
          <w:tcPr>
            <w:tcW w:w="217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B7F27" w:rsidRPr="002B7F27" w:rsidRDefault="002B7F27" w:rsidP="002B7F27">
            <w:pPr>
              <w:pStyle w:val="TableDataEntries"/>
              <w:jc w:val="left"/>
              <w:rPr>
                <w:rFonts w:ascii="Franklin Gothic Demi" w:hAnsi="Franklin Gothic Demi"/>
                <w:lang w:val="en-GB"/>
              </w:rPr>
            </w:pPr>
            <w:r w:rsidRPr="002B7F27">
              <w:rPr>
                <w:rFonts w:ascii="Franklin Gothic Demi" w:hAnsi="Franklin Gothic Demi"/>
                <w:lang w:val="en-GB"/>
              </w:rPr>
              <w:t>Façade total</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Pr="002B7F27" w:rsidRDefault="002B7F27" w:rsidP="002B7F27">
            <w:pPr>
              <w:pStyle w:val="TableDataEntries"/>
              <w:rPr>
                <w:rFonts w:ascii="Franklin Gothic Demi" w:hAnsi="Franklin Gothic Demi"/>
                <w:lang w:val="en-GB"/>
              </w:rPr>
            </w:pPr>
            <w:r w:rsidRPr="002B7F27">
              <w:rPr>
                <w:rFonts w:ascii="Franklin Gothic Demi" w:hAnsi="Franklin Gothic Demi"/>
              </w:rPr>
              <w:t xml:space="preserve"> 4.1</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Pr="002B7F27" w:rsidRDefault="002B7F27" w:rsidP="002B7F27">
            <w:pPr>
              <w:pStyle w:val="TableDataEntries"/>
              <w:rPr>
                <w:rFonts w:ascii="Franklin Gothic Demi" w:hAnsi="Franklin Gothic Demi"/>
                <w:lang w:val="en-GB"/>
              </w:rPr>
            </w:pPr>
            <w:r w:rsidRPr="002B7F27">
              <w:rPr>
                <w:rFonts w:ascii="Franklin Gothic Demi" w:hAnsi="Franklin Gothic Demi"/>
              </w:rPr>
              <w:t xml:space="preserve"> 0.6</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Pr="002B7F27" w:rsidRDefault="002B7F27" w:rsidP="002B7F27">
            <w:pPr>
              <w:pStyle w:val="TableDataEntries"/>
              <w:rPr>
                <w:rFonts w:ascii="Franklin Gothic Demi" w:hAnsi="Franklin Gothic Demi"/>
                <w:lang w:val="en-GB"/>
              </w:rPr>
            </w:pPr>
            <w:r w:rsidRPr="002B7F27">
              <w:rPr>
                <w:rFonts w:ascii="Franklin Gothic Demi" w:hAnsi="Franklin Gothic Demi"/>
              </w:rPr>
              <w:t xml:space="preserve"> 0.6</w:t>
            </w:r>
          </w:p>
        </w:tc>
        <w:tc>
          <w:tcPr>
            <w:tcW w:w="8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Pr="002B7F27" w:rsidRDefault="002B7F27" w:rsidP="002B7F27">
            <w:pPr>
              <w:pStyle w:val="TableDataEntries"/>
              <w:rPr>
                <w:rFonts w:ascii="Franklin Gothic Demi" w:hAnsi="Franklin Gothic Demi"/>
                <w:lang w:val="en-GB"/>
              </w:rPr>
            </w:pPr>
            <w:r w:rsidRPr="002B7F27">
              <w:rPr>
                <w:rFonts w:ascii="Franklin Gothic Demi" w:hAnsi="Franklin Gothic Demi"/>
              </w:rPr>
              <w:t xml:space="preserve"> 2.3</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Pr="002B7F27" w:rsidRDefault="002B7F27" w:rsidP="002B7F27">
            <w:pPr>
              <w:pStyle w:val="TableDataEntries"/>
              <w:rPr>
                <w:rFonts w:ascii="Franklin Gothic Demi" w:hAnsi="Franklin Gothic Demi"/>
                <w:lang w:val="en-GB"/>
              </w:rPr>
            </w:pPr>
            <w:r w:rsidRPr="002B7F27">
              <w:rPr>
                <w:rFonts w:ascii="Franklin Gothic Demi" w:hAnsi="Franklin Gothic Demi"/>
              </w:rPr>
              <w:t>- 0.8</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Pr="002B7F27" w:rsidRDefault="002B7F27" w:rsidP="002B7F27">
            <w:pPr>
              <w:pStyle w:val="TableDataEntries"/>
              <w:rPr>
                <w:rFonts w:ascii="Franklin Gothic Demi" w:hAnsi="Franklin Gothic Demi"/>
                <w:lang w:val="en-GB"/>
              </w:rPr>
            </w:pPr>
            <w:r w:rsidRPr="002B7F27">
              <w:rPr>
                <w:rFonts w:ascii="Franklin Gothic Demi" w:hAnsi="Franklin Gothic Demi"/>
              </w:rPr>
              <w:t xml:space="preserve"> 12.4</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Pr="002B7F27" w:rsidRDefault="002B7F27" w:rsidP="002B7F27">
            <w:pPr>
              <w:pStyle w:val="TableDataEntries"/>
              <w:rPr>
                <w:rFonts w:ascii="Franklin Gothic Demi" w:hAnsi="Franklin Gothic Demi"/>
                <w:lang w:val="en-GB"/>
              </w:rPr>
            </w:pPr>
            <w:r w:rsidRPr="002B7F27">
              <w:rPr>
                <w:rFonts w:ascii="Franklin Gothic Demi" w:hAnsi="Franklin Gothic Demi"/>
              </w:rPr>
              <w:t xml:space="preserve"> 16.7</w:t>
            </w:r>
          </w:p>
        </w:tc>
      </w:tr>
      <w:tr w:rsidR="002B7F27" w:rsidTr="00301B6D">
        <w:trPr>
          <w:trHeight w:val="230"/>
        </w:trPr>
        <w:tc>
          <w:tcPr>
            <w:tcW w:w="2177"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2B7F27" w:rsidRDefault="002B7F27" w:rsidP="002B7F27">
            <w:pPr>
              <w:pStyle w:val="TableHeading1"/>
              <w:rPr>
                <w:lang w:val="en-GB"/>
              </w:rPr>
            </w:pPr>
            <w:r>
              <w:rPr>
                <w:lang w:val="en-GB"/>
              </w:rPr>
              <w:t>Services</w:t>
            </w:r>
          </w:p>
        </w:tc>
        <w:tc>
          <w:tcPr>
            <w:tcW w:w="82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B7F27" w:rsidRDefault="002B7F27" w:rsidP="002B7F27">
            <w:pPr>
              <w:pStyle w:val="TableDataEntries"/>
              <w:rPr>
                <w:lang w:val="en-GB"/>
              </w:rPr>
            </w:pPr>
          </w:p>
        </w:tc>
        <w:tc>
          <w:tcPr>
            <w:tcW w:w="82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B7F27" w:rsidRDefault="002B7F27" w:rsidP="002B7F27">
            <w:pPr>
              <w:pStyle w:val="TableDataEntries"/>
              <w:rPr>
                <w:lang w:val="en-GB"/>
              </w:rPr>
            </w:pPr>
          </w:p>
        </w:tc>
        <w:tc>
          <w:tcPr>
            <w:tcW w:w="82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B7F27" w:rsidRDefault="002B7F27" w:rsidP="002B7F27">
            <w:pPr>
              <w:pStyle w:val="TableDataEntries"/>
              <w:rPr>
                <w:lang w:val="en-GB"/>
              </w:rPr>
            </w:pPr>
          </w:p>
        </w:tc>
        <w:tc>
          <w:tcPr>
            <w:tcW w:w="824"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B7F27" w:rsidRDefault="002B7F27" w:rsidP="002B7F27">
            <w:pPr>
              <w:pStyle w:val="TableDataEntries"/>
              <w:rPr>
                <w:lang w:val="en-GB"/>
              </w:rPr>
            </w:pPr>
          </w:p>
        </w:tc>
        <w:tc>
          <w:tcPr>
            <w:tcW w:w="82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B7F27" w:rsidRDefault="002B7F27" w:rsidP="002B7F27">
            <w:pPr>
              <w:pStyle w:val="TableDataEntries"/>
              <w:rPr>
                <w:lang w:val="en-GB"/>
              </w:rPr>
            </w:pPr>
          </w:p>
        </w:tc>
        <w:tc>
          <w:tcPr>
            <w:tcW w:w="82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B7F27" w:rsidRDefault="002B7F27" w:rsidP="002B7F27">
            <w:pPr>
              <w:pStyle w:val="TableDataEntries"/>
              <w:rPr>
                <w:lang w:val="en-GB"/>
              </w:rPr>
            </w:pPr>
          </w:p>
        </w:tc>
        <w:tc>
          <w:tcPr>
            <w:tcW w:w="82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B7F27" w:rsidRDefault="002B7F27" w:rsidP="002B7F27">
            <w:pPr>
              <w:pStyle w:val="TableDataEntries"/>
              <w:rPr>
                <w:lang w:val="en-GB"/>
              </w:rPr>
            </w:pPr>
          </w:p>
        </w:tc>
      </w:tr>
      <w:tr w:rsidR="002B7F27" w:rsidTr="00301B6D">
        <w:trPr>
          <w:trHeight w:val="230"/>
        </w:trPr>
        <w:tc>
          <w:tcPr>
            <w:tcW w:w="217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B7F27" w:rsidRDefault="002B7F27" w:rsidP="002B7F27">
            <w:pPr>
              <w:pStyle w:val="TableDataEntries"/>
              <w:jc w:val="left"/>
              <w:rPr>
                <w:lang w:val="en-GB"/>
              </w:rPr>
            </w:pPr>
            <w:r>
              <w:rPr>
                <w:lang w:val="en-GB"/>
              </w:rPr>
              <w:t>FCU</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- 10.3</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- 9.0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- 12.6</w:t>
            </w:r>
          </w:p>
        </w:tc>
        <w:tc>
          <w:tcPr>
            <w:tcW w:w="8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- 17.4</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- 12.5</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- 25.2</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- 30.4</w:t>
            </w:r>
          </w:p>
        </w:tc>
      </w:tr>
      <w:tr w:rsidR="002B7F27" w:rsidTr="00301B6D">
        <w:trPr>
          <w:trHeight w:val="230"/>
        </w:trPr>
        <w:tc>
          <w:tcPr>
            <w:tcW w:w="217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B7F27" w:rsidRDefault="002B7F27" w:rsidP="002B7F27">
            <w:pPr>
              <w:pStyle w:val="TableDataEntries"/>
              <w:jc w:val="left"/>
              <w:rPr>
                <w:lang w:val="en-GB"/>
              </w:rPr>
            </w:pPr>
            <w:r>
              <w:rPr>
                <w:lang w:val="en-GB"/>
              </w:rPr>
              <w:t>Cooling Tower</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- 4.1</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- 1.7</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- 4.5</w:t>
            </w:r>
          </w:p>
        </w:tc>
        <w:tc>
          <w:tcPr>
            <w:tcW w:w="8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- 3.1</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- 3.0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- 6.4</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- 3.9</w:t>
            </w:r>
          </w:p>
        </w:tc>
      </w:tr>
      <w:tr w:rsidR="002B7F27" w:rsidTr="00301B6D">
        <w:trPr>
          <w:trHeight w:val="230"/>
        </w:trPr>
        <w:tc>
          <w:tcPr>
            <w:tcW w:w="217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B7F27" w:rsidRDefault="002B7F27" w:rsidP="002B7F27">
            <w:pPr>
              <w:pStyle w:val="TableDataEntries"/>
              <w:jc w:val="left"/>
              <w:rPr>
                <w:lang w:val="en-GB"/>
              </w:rPr>
            </w:pPr>
            <w:r>
              <w:rPr>
                <w:lang w:val="en-GB"/>
              </w:rPr>
              <w:t>Chiller</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- 2.0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- 2.3</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- 2.7</w:t>
            </w:r>
          </w:p>
        </w:tc>
        <w:tc>
          <w:tcPr>
            <w:tcW w:w="8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- 2.9</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- 2.2</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- 3.1</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- 4.8</w:t>
            </w:r>
          </w:p>
        </w:tc>
      </w:tr>
      <w:tr w:rsidR="002B7F27" w:rsidTr="0045144D">
        <w:trPr>
          <w:trHeight w:val="230"/>
        </w:trPr>
        <w:tc>
          <w:tcPr>
            <w:tcW w:w="217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B7F27" w:rsidRDefault="002B7F27" w:rsidP="002B7F27">
            <w:pPr>
              <w:pStyle w:val="TableDataEntries"/>
              <w:jc w:val="left"/>
              <w:rPr>
                <w:lang w:val="en-GB"/>
              </w:rPr>
            </w:pPr>
            <w:r>
              <w:rPr>
                <w:lang w:val="en-GB"/>
              </w:rPr>
              <w:t>Boiler</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- 1.6</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- 1.0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- 1.5</w:t>
            </w:r>
          </w:p>
        </w:tc>
        <w:tc>
          <w:tcPr>
            <w:tcW w:w="8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- 1.2</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- 1.3</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- 2.1</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- 1.7</w:t>
            </w:r>
          </w:p>
        </w:tc>
      </w:tr>
      <w:tr w:rsidR="002B7F27" w:rsidTr="0045144D">
        <w:trPr>
          <w:trHeight w:val="230"/>
        </w:trPr>
        <w:tc>
          <w:tcPr>
            <w:tcW w:w="217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B7F27" w:rsidRDefault="002B7F27" w:rsidP="002B7F27">
            <w:pPr>
              <w:pStyle w:val="TableDataEntries"/>
              <w:jc w:val="left"/>
              <w:rPr>
                <w:lang w:val="en-GB"/>
              </w:rPr>
            </w:pPr>
            <w:r>
              <w:rPr>
                <w:lang w:val="en-GB"/>
              </w:rPr>
              <w:t>Economy Cycle</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4.3</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5.5</w:t>
            </w:r>
          </w:p>
        </w:tc>
        <w:tc>
          <w:tcPr>
            <w:tcW w:w="8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5.7</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4.5</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- 0.7</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- 0.8</w:t>
            </w:r>
          </w:p>
        </w:tc>
      </w:tr>
      <w:tr w:rsidR="002B7F27" w:rsidTr="0045144D">
        <w:trPr>
          <w:trHeight w:val="230"/>
        </w:trPr>
        <w:tc>
          <w:tcPr>
            <w:tcW w:w="217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B7F27" w:rsidRDefault="002B7F27" w:rsidP="002B7F27">
            <w:pPr>
              <w:pStyle w:val="TableDataEntries"/>
              <w:jc w:val="left"/>
              <w:rPr>
                <w:lang w:val="en-GB"/>
              </w:rPr>
            </w:pPr>
            <w:r>
              <w:rPr>
                <w:lang w:val="en-GB"/>
              </w:rPr>
              <w:t>CO</w:t>
            </w:r>
            <w:r w:rsidRPr="00542DAA">
              <w:rPr>
                <w:vertAlign w:val="subscript"/>
                <w:lang w:val="en-GB"/>
              </w:rPr>
              <w:t>2</w:t>
            </w:r>
            <w:r>
              <w:rPr>
                <w:lang w:val="en-GB"/>
              </w:rPr>
              <w:t xml:space="preserve"> Sensor</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0.0</w:t>
            </w:r>
          </w:p>
        </w:tc>
        <w:tc>
          <w:tcPr>
            <w:tcW w:w="8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- 2.0</w:t>
            </w:r>
          </w:p>
        </w:tc>
      </w:tr>
      <w:tr w:rsidR="002B7F27" w:rsidTr="0045144D">
        <w:trPr>
          <w:trHeight w:val="230"/>
        </w:trPr>
        <w:tc>
          <w:tcPr>
            <w:tcW w:w="217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B7F27" w:rsidRDefault="002B7F27" w:rsidP="002B7F27">
            <w:pPr>
              <w:pStyle w:val="TableDataEntries"/>
              <w:jc w:val="left"/>
              <w:rPr>
                <w:lang w:val="en-GB"/>
              </w:rPr>
            </w:pPr>
            <w:r>
              <w:rPr>
                <w:lang w:val="en-GB"/>
              </w:rPr>
              <w:t>Lighting</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0.0</w:t>
            </w:r>
          </w:p>
        </w:tc>
        <w:tc>
          <w:tcPr>
            <w:tcW w:w="8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0.0</w:t>
            </w:r>
          </w:p>
        </w:tc>
      </w:tr>
      <w:tr w:rsidR="002B7F27" w:rsidTr="0045144D">
        <w:trPr>
          <w:trHeight w:val="230"/>
        </w:trPr>
        <w:tc>
          <w:tcPr>
            <w:tcW w:w="217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B7F27" w:rsidRDefault="002B7F27" w:rsidP="002B7F27">
            <w:pPr>
              <w:pStyle w:val="TableDataEntries"/>
              <w:jc w:val="left"/>
              <w:rPr>
                <w:lang w:val="en-GB"/>
              </w:rPr>
            </w:pPr>
            <w:r>
              <w:rPr>
                <w:lang w:val="en-GB"/>
              </w:rPr>
              <w:t>Lifts</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0.0</w:t>
            </w:r>
          </w:p>
        </w:tc>
        <w:tc>
          <w:tcPr>
            <w:tcW w:w="8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0.0</w:t>
            </w:r>
          </w:p>
        </w:tc>
      </w:tr>
      <w:tr w:rsidR="002B7F27" w:rsidRPr="002B7F27" w:rsidTr="0045144D">
        <w:trPr>
          <w:trHeight w:val="230"/>
        </w:trPr>
        <w:tc>
          <w:tcPr>
            <w:tcW w:w="217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B7F27" w:rsidRPr="002B7F27" w:rsidRDefault="002B7F27" w:rsidP="002B7F27">
            <w:pPr>
              <w:pStyle w:val="TableDataEntries"/>
              <w:jc w:val="left"/>
              <w:rPr>
                <w:rFonts w:ascii="Franklin Gothic Demi" w:hAnsi="Franklin Gothic Demi"/>
                <w:lang w:val="en-GB"/>
              </w:rPr>
            </w:pPr>
            <w:r w:rsidRPr="002B7F27">
              <w:rPr>
                <w:rFonts w:ascii="Franklin Gothic Demi" w:hAnsi="Franklin Gothic Demi"/>
                <w:lang w:val="en-GB"/>
              </w:rPr>
              <w:t>Services total</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Pr="002B7F27" w:rsidRDefault="002B7F27" w:rsidP="002B7F27">
            <w:pPr>
              <w:pStyle w:val="TableDataEntries"/>
              <w:rPr>
                <w:rFonts w:ascii="Franklin Gothic Demi" w:hAnsi="Franklin Gothic Demi"/>
                <w:lang w:val="en-GB"/>
              </w:rPr>
            </w:pPr>
            <w:r w:rsidRPr="002B7F27">
              <w:rPr>
                <w:rFonts w:ascii="Franklin Gothic Demi" w:hAnsi="Franklin Gothic Demi"/>
              </w:rPr>
              <w:t>- 18.0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Pr="002B7F27" w:rsidRDefault="002B7F27" w:rsidP="002B7F27">
            <w:pPr>
              <w:pStyle w:val="TableDataEntries"/>
              <w:rPr>
                <w:rFonts w:ascii="Franklin Gothic Demi" w:hAnsi="Franklin Gothic Demi"/>
                <w:lang w:val="en-GB"/>
              </w:rPr>
            </w:pPr>
            <w:r w:rsidRPr="002B7F27">
              <w:rPr>
                <w:rFonts w:ascii="Franklin Gothic Demi" w:hAnsi="Franklin Gothic Demi"/>
              </w:rPr>
              <w:t>- 9.8</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Pr="002B7F27" w:rsidRDefault="002B7F27" w:rsidP="002B7F27">
            <w:pPr>
              <w:pStyle w:val="TableDataEntries"/>
              <w:rPr>
                <w:rFonts w:ascii="Franklin Gothic Demi" w:hAnsi="Franklin Gothic Demi"/>
                <w:lang w:val="en-GB"/>
              </w:rPr>
            </w:pPr>
            <w:r w:rsidRPr="002B7F27">
              <w:rPr>
                <w:rFonts w:ascii="Franklin Gothic Demi" w:hAnsi="Franklin Gothic Demi"/>
              </w:rPr>
              <w:t>- 15.8</w:t>
            </w:r>
          </w:p>
        </w:tc>
        <w:tc>
          <w:tcPr>
            <w:tcW w:w="8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Pr="002B7F27" w:rsidRDefault="002B7F27" w:rsidP="002B7F27">
            <w:pPr>
              <w:pStyle w:val="TableDataEntries"/>
              <w:rPr>
                <w:rFonts w:ascii="Franklin Gothic Demi" w:hAnsi="Franklin Gothic Demi"/>
                <w:lang w:val="en-GB"/>
              </w:rPr>
            </w:pPr>
            <w:r w:rsidRPr="002B7F27">
              <w:rPr>
                <w:rFonts w:ascii="Franklin Gothic Demi" w:hAnsi="Franklin Gothic Demi"/>
              </w:rPr>
              <w:t>- 18.9</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Pr="002B7F27" w:rsidRDefault="002B7F27" w:rsidP="002B7F27">
            <w:pPr>
              <w:pStyle w:val="TableDataEntries"/>
              <w:rPr>
                <w:rFonts w:ascii="Franklin Gothic Demi" w:hAnsi="Franklin Gothic Demi"/>
                <w:lang w:val="en-GB"/>
              </w:rPr>
            </w:pPr>
            <w:r w:rsidRPr="002B7F27">
              <w:rPr>
                <w:rFonts w:ascii="Franklin Gothic Demi" w:hAnsi="Franklin Gothic Demi"/>
              </w:rPr>
              <w:t>- 14.6</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Pr="002B7F27" w:rsidRDefault="002B7F27" w:rsidP="002B7F27">
            <w:pPr>
              <w:pStyle w:val="TableDataEntries"/>
              <w:rPr>
                <w:rFonts w:ascii="Franklin Gothic Demi" w:hAnsi="Franklin Gothic Demi"/>
                <w:lang w:val="en-GB"/>
              </w:rPr>
            </w:pPr>
            <w:r w:rsidRPr="002B7F27">
              <w:rPr>
                <w:rFonts w:ascii="Franklin Gothic Demi" w:hAnsi="Franklin Gothic Demi"/>
              </w:rPr>
              <w:t>- 37.6</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Pr="002B7F27" w:rsidRDefault="002B7F27" w:rsidP="002B7F27">
            <w:pPr>
              <w:pStyle w:val="TableDataEntries"/>
              <w:rPr>
                <w:rFonts w:ascii="Franklin Gothic Demi" w:hAnsi="Franklin Gothic Demi"/>
                <w:lang w:val="en-GB"/>
              </w:rPr>
            </w:pPr>
            <w:r w:rsidRPr="002B7F27">
              <w:rPr>
                <w:rFonts w:ascii="Franklin Gothic Demi" w:hAnsi="Franklin Gothic Demi"/>
              </w:rPr>
              <w:t>- 43.7</w:t>
            </w:r>
          </w:p>
        </w:tc>
      </w:tr>
      <w:tr w:rsidR="002B7F27" w:rsidRPr="002B7F27" w:rsidTr="00301B6D">
        <w:trPr>
          <w:trHeight w:val="230"/>
        </w:trPr>
        <w:tc>
          <w:tcPr>
            <w:tcW w:w="2177"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rsidR="002B7F27" w:rsidRPr="002B7F27" w:rsidRDefault="002B7F27" w:rsidP="002B7F27">
            <w:pPr>
              <w:pStyle w:val="TableDataEntries"/>
              <w:jc w:val="left"/>
              <w:rPr>
                <w:rFonts w:ascii="Franklin Gothic Demi" w:hAnsi="Franklin Gothic Demi"/>
                <w:lang w:val="en-GB"/>
              </w:rPr>
            </w:pPr>
            <w:r w:rsidRPr="002B7F27">
              <w:rPr>
                <w:rFonts w:ascii="Franklin Gothic Demi" w:hAnsi="Franklin Gothic Demi"/>
                <w:lang w:val="en-GB"/>
              </w:rPr>
              <w:t>Total</w:t>
            </w:r>
          </w:p>
        </w:tc>
        <w:tc>
          <w:tcPr>
            <w:tcW w:w="82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2B7F27" w:rsidRPr="002B7F27" w:rsidRDefault="002B7F27" w:rsidP="002B7F27">
            <w:pPr>
              <w:pStyle w:val="TableDataEntries"/>
              <w:rPr>
                <w:rFonts w:ascii="Franklin Gothic Demi" w:hAnsi="Franklin Gothic Demi"/>
                <w:lang w:val="en-GB"/>
              </w:rPr>
            </w:pPr>
            <w:r w:rsidRPr="002B7F27">
              <w:rPr>
                <w:rFonts w:ascii="Franklin Gothic Demi" w:hAnsi="Franklin Gothic Demi"/>
              </w:rPr>
              <w:t>- 13.9</w:t>
            </w:r>
          </w:p>
        </w:tc>
        <w:tc>
          <w:tcPr>
            <w:tcW w:w="82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2B7F27" w:rsidRPr="002B7F27" w:rsidRDefault="002B7F27" w:rsidP="002B7F27">
            <w:pPr>
              <w:pStyle w:val="TableDataEntries"/>
              <w:rPr>
                <w:rFonts w:ascii="Franklin Gothic Demi" w:hAnsi="Franklin Gothic Demi"/>
                <w:lang w:val="en-GB"/>
              </w:rPr>
            </w:pPr>
            <w:r w:rsidRPr="002B7F27">
              <w:rPr>
                <w:rFonts w:ascii="Franklin Gothic Demi" w:hAnsi="Franklin Gothic Demi"/>
              </w:rPr>
              <w:t>- 9.1</w:t>
            </w:r>
          </w:p>
        </w:tc>
        <w:tc>
          <w:tcPr>
            <w:tcW w:w="82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2B7F27" w:rsidRPr="002B7F27" w:rsidRDefault="002B7F27" w:rsidP="002B7F27">
            <w:pPr>
              <w:pStyle w:val="TableDataEntries"/>
              <w:rPr>
                <w:rFonts w:ascii="Franklin Gothic Demi" w:hAnsi="Franklin Gothic Demi"/>
                <w:lang w:val="en-GB"/>
              </w:rPr>
            </w:pPr>
            <w:r w:rsidRPr="002B7F27">
              <w:rPr>
                <w:rFonts w:ascii="Franklin Gothic Demi" w:hAnsi="Franklin Gothic Demi"/>
              </w:rPr>
              <w:t>- 15.2</w:t>
            </w:r>
          </w:p>
        </w:tc>
        <w:tc>
          <w:tcPr>
            <w:tcW w:w="824"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2B7F27" w:rsidRPr="002B7F27" w:rsidRDefault="002B7F27" w:rsidP="002B7F27">
            <w:pPr>
              <w:pStyle w:val="TableDataEntries"/>
              <w:rPr>
                <w:rFonts w:ascii="Franklin Gothic Demi" w:hAnsi="Franklin Gothic Demi"/>
                <w:lang w:val="en-GB"/>
              </w:rPr>
            </w:pPr>
            <w:r w:rsidRPr="002B7F27">
              <w:rPr>
                <w:rFonts w:ascii="Franklin Gothic Demi" w:hAnsi="Franklin Gothic Demi"/>
              </w:rPr>
              <w:t>- 16.6</w:t>
            </w:r>
          </w:p>
        </w:tc>
        <w:tc>
          <w:tcPr>
            <w:tcW w:w="82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2B7F27" w:rsidRPr="002B7F27" w:rsidRDefault="002B7F27" w:rsidP="002B7F27">
            <w:pPr>
              <w:pStyle w:val="TableDataEntries"/>
              <w:rPr>
                <w:rFonts w:ascii="Franklin Gothic Demi" w:hAnsi="Franklin Gothic Demi"/>
                <w:lang w:val="en-GB"/>
              </w:rPr>
            </w:pPr>
            <w:r w:rsidRPr="002B7F27">
              <w:rPr>
                <w:rFonts w:ascii="Franklin Gothic Demi" w:hAnsi="Franklin Gothic Demi"/>
              </w:rPr>
              <w:t>- 15.4</w:t>
            </w:r>
          </w:p>
        </w:tc>
        <w:tc>
          <w:tcPr>
            <w:tcW w:w="82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2B7F27" w:rsidRPr="002B7F27" w:rsidRDefault="002B7F27" w:rsidP="002B7F27">
            <w:pPr>
              <w:pStyle w:val="TableDataEntries"/>
              <w:rPr>
                <w:rFonts w:ascii="Franklin Gothic Demi" w:hAnsi="Franklin Gothic Demi"/>
                <w:lang w:val="en-GB"/>
              </w:rPr>
            </w:pPr>
            <w:r w:rsidRPr="002B7F27">
              <w:rPr>
                <w:rFonts w:ascii="Franklin Gothic Demi" w:hAnsi="Franklin Gothic Demi"/>
              </w:rPr>
              <w:t>- 25.2</w:t>
            </w:r>
          </w:p>
        </w:tc>
        <w:tc>
          <w:tcPr>
            <w:tcW w:w="82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2B7F27" w:rsidRPr="002B7F27" w:rsidRDefault="002B7F27" w:rsidP="002B7F27">
            <w:pPr>
              <w:pStyle w:val="TableDataEntries"/>
              <w:rPr>
                <w:rFonts w:ascii="Franklin Gothic Demi" w:hAnsi="Franklin Gothic Demi"/>
                <w:lang w:val="en-GB"/>
              </w:rPr>
            </w:pPr>
            <w:r w:rsidRPr="002B7F27">
              <w:rPr>
                <w:rFonts w:ascii="Franklin Gothic Demi" w:hAnsi="Franklin Gothic Demi"/>
              </w:rPr>
              <w:t>- 26.9</w:t>
            </w:r>
          </w:p>
        </w:tc>
      </w:tr>
    </w:tbl>
    <w:p w:rsidR="00612FD3" w:rsidRDefault="00612FD3" w:rsidP="00612FD3">
      <w:pPr>
        <w:pStyle w:val="Note"/>
        <w:rPr>
          <w:lang w:bidi="fa-IR"/>
        </w:rPr>
      </w:pPr>
      <w:r w:rsidRPr="007D1B4F">
        <w:rPr>
          <w:i/>
        </w:rPr>
        <w:t>Note:</w:t>
      </w:r>
      <w:r w:rsidRPr="00E879B8">
        <w:t xml:space="preserve"> </w:t>
      </w:r>
      <w:r w:rsidR="00C50E98">
        <w:t>Cost increases are reported as a negative value and cost savings are reported as a positive value.</w:t>
      </w:r>
    </w:p>
    <w:p w:rsidR="00612FD3" w:rsidRDefault="00612FD3" w:rsidP="00612FD3">
      <w:pPr>
        <w:pStyle w:val="Source"/>
        <w:rPr>
          <w:lang w:bidi="fa-IR"/>
        </w:rPr>
      </w:pPr>
      <w:r w:rsidRPr="00593EDD">
        <w:rPr>
          <w:i/>
          <w:lang w:bidi="fa-IR"/>
        </w:rPr>
        <w:t>Source:</w:t>
      </w:r>
      <w:r>
        <w:rPr>
          <w:lang w:bidi="fa-IR"/>
        </w:rPr>
        <w:t xml:space="preserve"> </w:t>
      </w:r>
      <w:r w:rsidR="003F28DD">
        <w:rPr>
          <w:lang w:bidi="fa-IR"/>
        </w:rPr>
        <w:t>EA</w:t>
      </w:r>
      <w:r>
        <w:rPr>
          <w:lang w:bidi="fa-IR"/>
        </w:rPr>
        <w:t xml:space="preserve"> modelling.</w:t>
      </w:r>
    </w:p>
    <w:p w:rsidR="00612FD3" w:rsidRDefault="00612FD3" w:rsidP="00612FD3">
      <w:pPr>
        <w:pStyle w:val="Heading3"/>
        <w:numPr>
          <w:ilvl w:val="2"/>
          <w:numId w:val="5"/>
        </w:numPr>
        <w:rPr>
          <w:lang w:eastAsia="en-US"/>
        </w:rPr>
      </w:pPr>
      <w:r>
        <w:rPr>
          <w:lang w:eastAsia="en-US"/>
        </w:rPr>
        <w:t>School classrooms</w:t>
      </w:r>
    </w:p>
    <w:p w:rsidR="00612FD3" w:rsidRDefault="00612FD3" w:rsidP="00612FD3">
      <w:pPr>
        <w:pStyle w:val="BodyText"/>
        <w:rPr>
          <w:lang w:eastAsia="en-US"/>
        </w:rPr>
      </w:pPr>
      <w:r>
        <w:rPr>
          <w:lang w:eastAsia="en-US"/>
        </w:rPr>
        <w:t xml:space="preserve">Construction costs are estimated to be higher </w:t>
      </w:r>
      <w:r w:rsidR="00EE351B">
        <w:rPr>
          <w:lang w:eastAsia="en-US"/>
        </w:rPr>
        <w:t>across all</w:t>
      </w:r>
      <w:r>
        <w:rPr>
          <w:lang w:eastAsia="en-US"/>
        </w:rPr>
        <w:t xml:space="preserve"> </w:t>
      </w:r>
      <w:r w:rsidR="00E31EE8">
        <w:rPr>
          <w:lang w:eastAsia="en-US"/>
        </w:rPr>
        <w:t>Climate Zone</w:t>
      </w:r>
      <w:r>
        <w:rPr>
          <w:lang w:eastAsia="en-US"/>
        </w:rPr>
        <w:t>s (table </w:t>
      </w:r>
      <w:r w:rsidR="00C07C84">
        <w:rPr>
          <w:lang w:eastAsia="en-US"/>
        </w:rPr>
        <w:fldChar w:fldCharType="begin"/>
      </w:r>
      <w:r w:rsidR="00C07C84">
        <w:rPr>
          <w:lang w:eastAsia="en-US"/>
        </w:rPr>
        <w:instrText xml:space="preserve"> REF _Caption3820 </w:instrText>
      </w:r>
      <w:r w:rsidR="00C07C84">
        <w:rPr>
          <w:lang w:eastAsia="en-US"/>
        </w:rPr>
        <w:fldChar w:fldCharType="separate"/>
      </w:r>
      <w:r w:rsidR="006B79B8">
        <w:rPr>
          <w:noProof/>
        </w:rPr>
        <w:t>5</w:t>
      </w:r>
      <w:r w:rsidR="006B79B8" w:rsidRPr="002B7F27">
        <w:rPr>
          <w:noProof/>
        </w:rPr>
        <w:t>.</w:t>
      </w:r>
      <w:r w:rsidR="006B79B8">
        <w:rPr>
          <w:noProof/>
        </w:rPr>
        <w:t>8</w:t>
      </w:r>
      <w:r w:rsidR="00C07C84">
        <w:rPr>
          <w:lang w:eastAsia="en-US"/>
        </w:rPr>
        <w:fldChar w:fldCharType="end"/>
      </w:r>
      <w:r>
        <w:rPr>
          <w:lang w:eastAsia="en-US"/>
        </w:rPr>
        <w:t xml:space="preserve">). </w:t>
      </w:r>
      <w:r w:rsidR="00EE351B">
        <w:rPr>
          <w:lang w:eastAsia="en-US"/>
        </w:rPr>
        <w:t xml:space="preserve">This </w:t>
      </w:r>
      <w:r w:rsidR="001143E2">
        <w:rPr>
          <w:lang w:eastAsia="en-US"/>
        </w:rPr>
        <w:t>is</w:t>
      </w:r>
      <w:r w:rsidR="00EE351B">
        <w:rPr>
          <w:lang w:eastAsia="en-US"/>
        </w:rPr>
        <w:t xml:space="preserve"> mostly driven by more expensive services (particularly FCUs and cooling towers)</w:t>
      </w:r>
      <w:r>
        <w:rPr>
          <w:lang w:eastAsia="en-US"/>
        </w:rPr>
        <w:t>.</w:t>
      </w:r>
      <w:r w:rsidR="00EE351B">
        <w:rPr>
          <w:lang w:eastAsia="en-US"/>
        </w:rPr>
        <w:t xml:space="preserve"> These cost increases are only partly offset by façade cost savings in </w:t>
      </w:r>
      <w:r w:rsidR="00E31EE8">
        <w:rPr>
          <w:lang w:eastAsia="en-US"/>
        </w:rPr>
        <w:t>Climate Zone</w:t>
      </w:r>
      <w:r w:rsidR="00EE351B">
        <w:rPr>
          <w:lang w:eastAsia="en-US"/>
        </w:rPr>
        <w:t xml:space="preserve"> 6 and 7</w:t>
      </w:r>
      <w:r w:rsidR="00CC0CF9">
        <w:rPr>
          <w:lang w:eastAsia="en-US"/>
        </w:rPr>
        <w:t xml:space="preserve"> driven by </w:t>
      </w:r>
      <w:r w:rsidR="008927DE">
        <w:rPr>
          <w:lang w:eastAsia="en-US"/>
        </w:rPr>
        <w:t xml:space="preserve">the </w:t>
      </w:r>
      <w:r w:rsidR="00BB30D0">
        <w:rPr>
          <w:lang w:eastAsia="en-US"/>
        </w:rPr>
        <w:t>methodology</w:t>
      </w:r>
      <w:r w:rsidR="008927DE">
        <w:rPr>
          <w:lang w:eastAsia="en-US"/>
        </w:rPr>
        <w:t xml:space="preserve"> change to focus on SHGC and </w:t>
      </w:r>
      <w:r w:rsidR="00CC0CF9">
        <w:rPr>
          <w:lang w:eastAsia="en-US"/>
        </w:rPr>
        <w:t xml:space="preserve">a relative ‘over stringency’ in the NCC 2016 glazing provisions (see </w:t>
      </w:r>
      <w:r w:rsidR="003F28DD">
        <w:rPr>
          <w:lang w:eastAsia="en-US"/>
        </w:rPr>
        <w:t>EA</w:t>
      </w:r>
      <w:r w:rsidR="00CC0CF9">
        <w:rPr>
          <w:lang w:eastAsia="en-US"/>
        </w:rPr>
        <w:t>’s report)</w:t>
      </w:r>
      <w:r w:rsidR="00EE351B">
        <w:rPr>
          <w:lang w:eastAsia="en-US"/>
        </w:rPr>
        <w:t xml:space="preserve">; there is estimated to be minimal change in façade costs in the remaining </w:t>
      </w:r>
      <w:r w:rsidR="00E31EE8">
        <w:rPr>
          <w:lang w:eastAsia="en-US"/>
        </w:rPr>
        <w:t>Climate Zone</w:t>
      </w:r>
      <w:r w:rsidR="00EE351B">
        <w:rPr>
          <w:lang w:eastAsia="en-US"/>
        </w:rPr>
        <w:t>s.</w:t>
      </w:r>
    </w:p>
    <w:p w:rsidR="00612FD3" w:rsidRDefault="00612FD3" w:rsidP="00612FD3">
      <w:pPr>
        <w:pStyle w:val="Caption"/>
      </w:pPr>
      <w:r w:rsidRPr="002B7F27">
        <w:fldChar w:fldCharType="begin"/>
      </w:r>
      <w:r w:rsidRPr="002B7F27">
        <w:instrText xml:space="preserve"> IF 1 = 1 "</w:instrText>
      </w:r>
      <w:r w:rsidRPr="002B7F27">
        <w:fldChar w:fldCharType="begin"/>
      </w:r>
      <w:r w:rsidRPr="002B7F27">
        <w:instrText xml:space="preserve"> IF </w:instrText>
      </w:r>
      <w:r w:rsidRPr="002B7F27">
        <w:rPr>
          <w:noProof/>
        </w:rPr>
        <w:fldChar w:fldCharType="begin"/>
      </w:r>
      <w:r w:rsidRPr="002B7F27">
        <w:rPr>
          <w:noProof/>
        </w:rPr>
        <w:instrText xml:space="preserve"> STYLEREF "Heading 6" \l \n </w:instrText>
      </w:r>
      <w:r w:rsidRPr="002B7F27">
        <w:rPr>
          <w:noProof/>
        </w:rPr>
        <w:fldChar w:fldCharType="separate"/>
      </w:r>
      <w:r w:rsidR="00B833F1">
        <w:rPr>
          <w:noProof/>
        </w:rPr>
        <w:instrText>0</w:instrText>
      </w:r>
      <w:r w:rsidRPr="002B7F27">
        <w:rPr>
          <w:noProof/>
        </w:rPr>
        <w:fldChar w:fldCharType="end"/>
      </w:r>
      <w:r w:rsidRPr="002B7F27">
        <w:instrText xml:space="preserve"> = 0 "</w:instrText>
      </w:r>
      <w:r w:rsidRPr="002B7F27">
        <w:fldChar w:fldCharType="begin"/>
      </w:r>
      <w:r w:rsidRPr="002B7F27">
        <w:instrText xml:space="preserve"> IF </w:instrText>
      </w:r>
      <w:r w:rsidRPr="002B7F27">
        <w:rPr>
          <w:noProof/>
        </w:rPr>
        <w:fldChar w:fldCharType="begin"/>
      </w:r>
      <w:r w:rsidRPr="002B7F27">
        <w:rPr>
          <w:noProof/>
        </w:rPr>
        <w:instrText xml:space="preserve"> STYLEREF "Heading 1" \l \n </w:instrText>
      </w:r>
      <w:r w:rsidRPr="002B7F27">
        <w:rPr>
          <w:noProof/>
        </w:rPr>
        <w:fldChar w:fldCharType="separate"/>
      </w:r>
      <w:r w:rsidR="00B833F1">
        <w:rPr>
          <w:noProof/>
        </w:rPr>
        <w:instrText>5</w:instrText>
      </w:r>
      <w:r w:rsidRPr="002B7F27">
        <w:rPr>
          <w:noProof/>
        </w:rPr>
        <w:fldChar w:fldCharType="end"/>
      </w:r>
      <w:r w:rsidRPr="002B7F27">
        <w:instrText xml:space="preserve"> = 0 "" "</w:instrText>
      </w:r>
      <w:r w:rsidRPr="002B7F27">
        <w:rPr>
          <w:noProof/>
        </w:rPr>
        <w:fldChar w:fldCharType="begin"/>
      </w:r>
      <w:r w:rsidRPr="002B7F27">
        <w:rPr>
          <w:noProof/>
        </w:rPr>
        <w:instrText xml:space="preserve"> STYLEREF "Heading 1" \l \n </w:instrText>
      </w:r>
      <w:r w:rsidRPr="002B7F27">
        <w:rPr>
          <w:noProof/>
        </w:rPr>
        <w:fldChar w:fldCharType="separate"/>
      </w:r>
      <w:r w:rsidR="00B833F1">
        <w:rPr>
          <w:noProof/>
        </w:rPr>
        <w:instrText>5</w:instrText>
      </w:r>
      <w:r w:rsidRPr="002B7F27">
        <w:rPr>
          <w:noProof/>
        </w:rPr>
        <w:fldChar w:fldCharType="end"/>
      </w:r>
      <w:r w:rsidRPr="002B7F27">
        <w:instrText xml:space="preserve">." </w:instrText>
      </w:r>
      <w:r w:rsidRPr="002B7F27">
        <w:fldChar w:fldCharType="separate"/>
      </w:r>
      <w:r w:rsidR="00B833F1">
        <w:rPr>
          <w:noProof/>
        </w:rPr>
        <w:instrText>5</w:instrText>
      </w:r>
      <w:r w:rsidR="00B833F1" w:rsidRPr="002B7F27">
        <w:rPr>
          <w:noProof/>
        </w:rPr>
        <w:instrText>.</w:instrText>
      </w:r>
      <w:r w:rsidRPr="002B7F27">
        <w:fldChar w:fldCharType="end"/>
      </w:r>
      <w:r w:rsidRPr="002B7F27">
        <w:instrText>" "</w:instrText>
      </w:r>
      <w:r w:rsidR="001F6F43">
        <w:fldChar w:fldCharType="begin"/>
      </w:r>
      <w:r w:rsidR="001F6F43">
        <w:instrText xml:space="preserve"> STYLEREF "Heading 6" \l \n </w:instrText>
      </w:r>
      <w:r w:rsidR="001F6F43">
        <w:fldChar w:fldCharType="separate"/>
      </w:r>
      <w:r w:rsidRPr="002B7F27">
        <w:instrText>B</w:instrText>
      </w:r>
      <w:r w:rsidR="001F6F43">
        <w:fldChar w:fldCharType="end"/>
      </w:r>
      <w:r w:rsidRPr="002B7F27">
        <w:instrText xml:space="preserve">." </w:instrText>
      </w:r>
      <w:r w:rsidRPr="002B7F27">
        <w:fldChar w:fldCharType="separate"/>
      </w:r>
      <w:r w:rsidR="00EA42ED">
        <w:rPr>
          <w:noProof/>
        </w:rPr>
        <w:instrText>5</w:instrText>
      </w:r>
      <w:r w:rsidR="00EA42ED" w:rsidRPr="002B7F27">
        <w:rPr>
          <w:noProof/>
        </w:rPr>
        <w:instrText>.</w:instrText>
      </w:r>
      <w:r w:rsidRPr="002B7F27">
        <w:fldChar w:fldCharType="end"/>
      </w:r>
      <w:r w:rsidRPr="002B7F27">
        <w:fldChar w:fldCharType="begin"/>
      </w:r>
      <w:r w:rsidRPr="002B7F27">
        <w:instrText xml:space="preserve"> SEQ Item \* ARABIC \s </w:instrText>
      </w:r>
      <w:r w:rsidRPr="002B7F27">
        <w:fldChar w:fldCharType="begin"/>
      </w:r>
      <w:r w:rsidRPr="002B7F27">
        <w:instrText xml:space="preserve"> IF </w:instrText>
      </w:r>
      <w:r w:rsidRPr="002B7F27">
        <w:rPr>
          <w:noProof/>
        </w:rPr>
        <w:fldChar w:fldCharType="begin"/>
      </w:r>
      <w:r w:rsidRPr="002B7F27">
        <w:rPr>
          <w:noProof/>
        </w:rPr>
        <w:instrText xml:space="preserve"> STYLEREF "Heading 6" \l \n </w:instrText>
      </w:r>
      <w:r w:rsidRPr="002B7F27">
        <w:rPr>
          <w:noProof/>
        </w:rPr>
        <w:fldChar w:fldCharType="separate"/>
      </w:r>
      <w:r w:rsidR="00B833F1">
        <w:rPr>
          <w:noProof/>
        </w:rPr>
        <w:instrText>0</w:instrText>
      </w:r>
      <w:r w:rsidRPr="002B7F27">
        <w:rPr>
          <w:noProof/>
        </w:rPr>
        <w:fldChar w:fldCharType="end"/>
      </w:r>
      <w:r w:rsidRPr="002B7F27">
        <w:instrText xml:space="preserve"> = 0 "</w:instrText>
      </w:r>
      <w:r w:rsidRPr="002B7F27">
        <w:fldChar w:fldCharType="begin"/>
      </w:r>
      <w:r w:rsidRPr="002B7F27">
        <w:instrText xml:space="preserve"> IF </w:instrText>
      </w:r>
      <w:r w:rsidRPr="002B7F27">
        <w:rPr>
          <w:noProof/>
        </w:rPr>
        <w:fldChar w:fldCharType="begin"/>
      </w:r>
      <w:r w:rsidRPr="002B7F27">
        <w:rPr>
          <w:noProof/>
        </w:rPr>
        <w:instrText xml:space="preserve"> STYLEREF "Heading 1" \l \n </w:instrText>
      </w:r>
      <w:r w:rsidRPr="002B7F27">
        <w:rPr>
          <w:noProof/>
        </w:rPr>
        <w:fldChar w:fldCharType="separate"/>
      </w:r>
      <w:r w:rsidR="00B833F1">
        <w:rPr>
          <w:noProof/>
        </w:rPr>
        <w:instrText>5</w:instrText>
      </w:r>
      <w:r w:rsidRPr="002B7F27">
        <w:rPr>
          <w:noProof/>
        </w:rPr>
        <w:fldChar w:fldCharType="end"/>
      </w:r>
      <w:r w:rsidRPr="002B7F27">
        <w:instrText xml:space="preserve"> = 0 "" "1" </w:instrText>
      </w:r>
      <w:r w:rsidRPr="002B7F27">
        <w:fldChar w:fldCharType="separate"/>
      </w:r>
      <w:r w:rsidR="00EA42ED" w:rsidRPr="002B7F27">
        <w:rPr>
          <w:noProof/>
        </w:rPr>
        <w:instrText>1</w:instrText>
      </w:r>
      <w:r w:rsidRPr="002B7F27">
        <w:fldChar w:fldCharType="end"/>
      </w:r>
      <w:r w:rsidRPr="002B7F27">
        <w:instrText xml:space="preserve">" "6" </w:instrText>
      </w:r>
      <w:r w:rsidRPr="002B7F27">
        <w:fldChar w:fldCharType="separate"/>
      </w:r>
      <w:r w:rsidR="00EA42ED" w:rsidRPr="002B7F27">
        <w:rPr>
          <w:noProof/>
        </w:rPr>
        <w:instrText>1</w:instrText>
      </w:r>
      <w:r w:rsidRPr="002B7F27">
        <w:fldChar w:fldCharType="end"/>
      </w:r>
      <w:r w:rsidRPr="002B7F27">
        <w:instrText xml:space="preserve"> </w:instrText>
      </w:r>
      <w:r w:rsidRPr="002B7F27">
        <w:fldChar w:fldCharType="separate"/>
      </w:r>
      <w:r w:rsidR="00B833F1">
        <w:rPr>
          <w:noProof/>
        </w:rPr>
        <w:instrText>8</w:instrText>
      </w:r>
      <w:r w:rsidRPr="002B7F27">
        <w:fldChar w:fldCharType="end"/>
      </w:r>
      <w:r w:rsidRPr="002B7F27">
        <w:instrText xml:space="preserve">" "" </w:instrText>
      </w:r>
      <w:r w:rsidRPr="002B7F27">
        <w:fldChar w:fldCharType="separate"/>
      </w:r>
      <w:bookmarkStart w:id="1896" w:name="_Caption0809"/>
      <w:bookmarkStart w:id="1897" w:name="_Caption6829"/>
      <w:bookmarkStart w:id="1898" w:name="_Caption8060"/>
      <w:bookmarkStart w:id="1899" w:name="_Caption2263"/>
      <w:bookmarkStart w:id="1900" w:name="_Caption0649"/>
      <w:bookmarkStart w:id="1901" w:name="_Caption5446"/>
      <w:bookmarkStart w:id="1902" w:name="_Caption0707"/>
      <w:bookmarkStart w:id="1903" w:name="_Caption6759"/>
      <w:bookmarkStart w:id="1904" w:name="_Caption3552"/>
      <w:bookmarkStart w:id="1905" w:name="_Caption0117"/>
      <w:bookmarkStart w:id="1906" w:name="_Caption2376"/>
      <w:bookmarkStart w:id="1907" w:name="_Caption1440"/>
      <w:bookmarkStart w:id="1908" w:name="_Caption0477"/>
      <w:bookmarkStart w:id="1909" w:name="_Caption4598"/>
      <w:bookmarkStart w:id="1910" w:name="_Caption1223"/>
      <w:bookmarkStart w:id="1911" w:name="_Caption4998"/>
      <w:bookmarkStart w:id="1912" w:name="_Caption3993"/>
      <w:bookmarkStart w:id="1913" w:name="_Caption8956"/>
      <w:bookmarkStart w:id="1914" w:name="_Caption5718"/>
      <w:bookmarkStart w:id="1915" w:name="_Caption9781"/>
      <w:bookmarkStart w:id="1916" w:name="_Caption4246"/>
      <w:bookmarkStart w:id="1917" w:name="_Caption2436"/>
      <w:bookmarkStart w:id="1918" w:name="_Caption3633"/>
      <w:bookmarkStart w:id="1919" w:name="_Caption3820"/>
      <w:bookmarkStart w:id="1920" w:name="_Caption6274"/>
      <w:bookmarkStart w:id="1921" w:name="_Caption5153"/>
      <w:bookmarkStart w:id="1922" w:name="_Caption2559"/>
      <w:bookmarkStart w:id="1923" w:name="_Caption9770"/>
      <w:bookmarkStart w:id="1924" w:name="_Caption8868"/>
      <w:bookmarkStart w:id="1925" w:name="_Caption4505"/>
      <w:bookmarkStart w:id="1926" w:name="_Caption2994"/>
      <w:bookmarkStart w:id="1927" w:name="_Caption5858"/>
      <w:bookmarkStart w:id="1928" w:name="_Caption5119"/>
      <w:bookmarkStart w:id="1929" w:name="_Caption6538"/>
      <w:bookmarkStart w:id="1930" w:name="_Caption8834"/>
      <w:bookmarkStart w:id="1931" w:name="_Caption4039"/>
      <w:bookmarkStart w:id="1932" w:name="_Caption6566"/>
      <w:bookmarkStart w:id="1933" w:name="_Caption9437"/>
      <w:bookmarkStart w:id="1934" w:name="_Caption3268"/>
      <w:bookmarkStart w:id="1935" w:name="_Caption6985"/>
      <w:bookmarkStart w:id="1936" w:name="_Caption7689"/>
      <w:bookmarkStart w:id="1937" w:name="_Caption2364"/>
      <w:bookmarkStart w:id="1938" w:name="_Caption3257"/>
      <w:bookmarkStart w:id="1939" w:name="_Caption7212"/>
      <w:bookmarkStart w:id="1940" w:name="_Caption9442"/>
      <w:bookmarkStart w:id="1941" w:name="_Caption2767"/>
      <w:bookmarkStart w:id="1942" w:name="_Caption1068"/>
      <w:bookmarkStart w:id="1943" w:name="_Caption3428"/>
      <w:bookmarkStart w:id="1944" w:name="_Caption1030"/>
      <w:bookmarkStart w:id="1945" w:name="_Caption3778"/>
      <w:bookmarkStart w:id="1946" w:name="_Caption1315"/>
      <w:bookmarkStart w:id="1947" w:name="_Caption0385"/>
      <w:bookmarkStart w:id="1948" w:name="_Caption7938"/>
      <w:bookmarkStart w:id="1949" w:name="_Caption9720"/>
      <w:bookmarkStart w:id="1950" w:name="_Caption1851"/>
      <w:bookmarkStart w:id="1951" w:name="_Caption3266"/>
      <w:bookmarkStart w:id="1952" w:name="_Caption2788"/>
      <w:bookmarkStart w:id="1953" w:name="_Caption6719"/>
      <w:bookmarkStart w:id="1954" w:name="_Caption2001"/>
      <w:bookmarkStart w:id="1955" w:name="_Caption5484"/>
      <w:bookmarkStart w:id="1956" w:name="_Caption6605"/>
      <w:bookmarkStart w:id="1957" w:name="_Caption0186"/>
      <w:bookmarkStart w:id="1958" w:name="_Caption4209"/>
      <w:bookmarkStart w:id="1959" w:name="_Caption5228"/>
      <w:bookmarkStart w:id="1960" w:name="_Caption8525"/>
      <w:bookmarkStart w:id="1961" w:name="_Caption1651"/>
      <w:bookmarkStart w:id="1962" w:name="_Caption0978"/>
      <w:bookmarkStart w:id="1963" w:name="_Toc529869916"/>
      <w:bookmarkStart w:id="1964" w:name="_Toc530748412"/>
      <w:r w:rsidR="00EA42ED">
        <w:rPr>
          <w:noProof/>
        </w:rPr>
        <w:t>5</w:t>
      </w:r>
      <w:r w:rsidR="00EA42ED" w:rsidRPr="002B7F27">
        <w:rPr>
          <w:noProof/>
        </w:rPr>
        <w:t>.</w:t>
      </w:r>
      <w:r w:rsidR="00EA42ED">
        <w:rPr>
          <w:noProof/>
        </w:rPr>
        <w:t>8</w:t>
      </w:r>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r w:rsidRPr="002B7F27">
        <w:fldChar w:fldCharType="end"/>
      </w:r>
      <w:r w:rsidRPr="002B7F27">
        <w:tab/>
        <w:t>Change in construction costs — school classroom (9bH)</w:t>
      </w:r>
      <w:bookmarkEnd w:id="1963"/>
      <w:bookmarkEnd w:id="1964"/>
    </w:p>
    <w:tbl>
      <w:tblPr>
        <w:tblW w:w="7939" w:type="dxa"/>
        <w:tblLayout w:type="fixed"/>
        <w:tblLook w:val="0000" w:firstRow="0" w:lastRow="0" w:firstColumn="0" w:lastColumn="0" w:noHBand="0" w:noVBand="0"/>
        <w:tblCaption w:val="Table 5.8: Change in construction costs - school classroom (9bH)"/>
        <w:tblDescription w:val="This table identifies the change in construction costs based on building element for school buildings. It finds that there is considerable savings in glazing in addition to savings in services."/>
      </w:tblPr>
      <w:tblGrid>
        <w:gridCol w:w="2177"/>
        <w:gridCol w:w="823"/>
        <w:gridCol w:w="823"/>
        <w:gridCol w:w="823"/>
        <w:gridCol w:w="824"/>
        <w:gridCol w:w="823"/>
        <w:gridCol w:w="823"/>
        <w:gridCol w:w="823"/>
      </w:tblGrid>
      <w:tr w:rsidR="00612FD3" w:rsidTr="00301B6D">
        <w:trPr>
          <w:trHeight w:val="230"/>
          <w:tblHeader/>
        </w:trPr>
        <w:tc>
          <w:tcPr>
            <w:tcW w:w="2177" w:type="dxa"/>
            <w:shd w:val="clear" w:color="auto" w:fill="6F6652"/>
            <w:tcMar>
              <w:left w:w="57" w:type="dxa"/>
              <w:right w:w="57" w:type="dxa"/>
            </w:tcMar>
          </w:tcPr>
          <w:p w:rsidR="00612FD3" w:rsidRDefault="00612FD3" w:rsidP="00301B6D">
            <w:pPr>
              <w:pStyle w:val="TableDataColumnHeading"/>
              <w:jc w:val="left"/>
              <w:rPr>
                <w:lang w:val="en-GB"/>
              </w:rPr>
            </w:pPr>
          </w:p>
        </w:tc>
        <w:tc>
          <w:tcPr>
            <w:tcW w:w="823" w:type="dxa"/>
            <w:shd w:val="clear" w:color="auto" w:fill="6F6652"/>
            <w:tcMar>
              <w:left w:w="57" w:type="dxa"/>
              <w:right w:w="57" w:type="dxa"/>
            </w:tcMar>
          </w:tcPr>
          <w:p w:rsidR="00612FD3" w:rsidRDefault="00E31EE8" w:rsidP="00301B6D">
            <w:pPr>
              <w:pStyle w:val="TableDataColumnHeading"/>
              <w:rPr>
                <w:lang w:val="en-GB"/>
              </w:rPr>
            </w:pPr>
            <w:r>
              <w:rPr>
                <w:lang w:val="en-GB"/>
              </w:rPr>
              <w:t>Climate Zone</w:t>
            </w:r>
            <w:r w:rsidR="00612FD3">
              <w:rPr>
                <w:lang w:val="en-GB"/>
              </w:rPr>
              <w:t xml:space="preserve"> 1</w:t>
            </w:r>
          </w:p>
        </w:tc>
        <w:tc>
          <w:tcPr>
            <w:tcW w:w="823" w:type="dxa"/>
            <w:shd w:val="clear" w:color="auto" w:fill="6F6652"/>
            <w:tcMar>
              <w:left w:w="57" w:type="dxa"/>
              <w:right w:w="57" w:type="dxa"/>
            </w:tcMar>
          </w:tcPr>
          <w:p w:rsidR="00612FD3" w:rsidRDefault="00E31EE8" w:rsidP="00301B6D">
            <w:pPr>
              <w:pStyle w:val="TableDataColumnHeading"/>
              <w:rPr>
                <w:lang w:val="en-GB"/>
              </w:rPr>
            </w:pPr>
            <w:r>
              <w:rPr>
                <w:lang w:val="en-GB"/>
              </w:rPr>
              <w:t>Climate Zone</w:t>
            </w:r>
            <w:r w:rsidR="00612FD3">
              <w:rPr>
                <w:lang w:val="en-GB"/>
              </w:rPr>
              <w:t xml:space="preserve"> 2</w:t>
            </w:r>
          </w:p>
        </w:tc>
        <w:tc>
          <w:tcPr>
            <w:tcW w:w="823" w:type="dxa"/>
            <w:shd w:val="clear" w:color="auto" w:fill="6F6652"/>
            <w:tcMar>
              <w:left w:w="57" w:type="dxa"/>
              <w:right w:w="57" w:type="dxa"/>
            </w:tcMar>
          </w:tcPr>
          <w:p w:rsidR="00612FD3" w:rsidRDefault="00E31EE8" w:rsidP="00301B6D">
            <w:pPr>
              <w:pStyle w:val="TableDataColumnHeading"/>
              <w:rPr>
                <w:lang w:val="en-GB"/>
              </w:rPr>
            </w:pPr>
            <w:r>
              <w:rPr>
                <w:lang w:val="en-GB"/>
              </w:rPr>
              <w:t>Climate Zone</w:t>
            </w:r>
            <w:r w:rsidR="00612FD3">
              <w:rPr>
                <w:lang w:val="en-GB"/>
              </w:rPr>
              <w:t xml:space="preserve"> 3</w:t>
            </w:r>
          </w:p>
        </w:tc>
        <w:tc>
          <w:tcPr>
            <w:tcW w:w="824" w:type="dxa"/>
            <w:shd w:val="clear" w:color="auto" w:fill="6F6652"/>
            <w:tcMar>
              <w:left w:w="57" w:type="dxa"/>
              <w:right w:w="57" w:type="dxa"/>
            </w:tcMar>
          </w:tcPr>
          <w:p w:rsidR="00612FD3" w:rsidRDefault="00E31EE8" w:rsidP="00301B6D">
            <w:pPr>
              <w:pStyle w:val="TableDataColumnHeading"/>
              <w:rPr>
                <w:lang w:val="en-GB"/>
              </w:rPr>
            </w:pPr>
            <w:r>
              <w:rPr>
                <w:lang w:val="en-GB"/>
              </w:rPr>
              <w:t>Climate Zone</w:t>
            </w:r>
            <w:r w:rsidR="00612FD3">
              <w:rPr>
                <w:lang w:val="en-GB"/>
              </w:rPr>
              <w:t xml:space="preserve"> 4</w:t>
            </w:r>
          </w:p>
        </w:tc>
        <w:tc>
          <w:tcPr>
            <w:tcW w:w="823" w:type="dxa"/>
            <w:shd w:val="clear" w:color="auto" w:fill="6F6652"/>
            <w:tcMar>
              <w:left w:w="57" w:type="dxa"/>
              <w:right w:w="57" w:type="dxa"/>
            </w:tcMar>
          </w:tcPr>
          <w:p w:rsidR="00612FD3" w:rsidRDefault="00E31EE8" w:rsidP="00301B6D">
            <w:pPr>
              <w:pStyle w:val="TableDataColumnHeading"/>
              <w:rPr>
                <w:lang w:val="en-GB"/>
              </w:rPr>
            </w:pPr>
            <w:r>
              <w:rPr>
                <w:lang w:val="en-GB"/>
              </w:rPr>
              <w:t>Climate Zone</w:t>
            </w:r>
            <w:r w:rsidR="00612FD3">
              <w:rPr>
                <w:lang w:val="en-GB"/>
              </w:rPr>
              <w:t xml:space="preserve"> 5</w:t>
            </w:r>
          </w:p>
        </w:tc>
        <w:tc>
          <w:tcPr>
            <w:tcW w:w="823" w:type="dxa"/>
            <w:shd w:val="clear" w:color="auto" w:fill="6F6652"/>
            <w:tcMar>
              <w:left w:w="57" w:type="dxa"/>
              <w:right w:w="57" w:type="dxa"/>
            </w:tcMar>
          </w:tcPr>
          <w:p w:rsidR="00612FD3" w:rsidRDefault="00E31EE8" w:rsidP="00301B6D">
            <w:pPr>
              <w:pStyle w:val="TableDataColumnHeading"/>
              <w:rPr>
                <w:lang w:val="en-GB"/>
              </w:rPr>
            </w:pPr>
            <w:r>
              <w:rPr>
                <w:lang w:val="en-GB"/>
              </w:rPr>
              <w:t>Climate Zone</w:t>
            </w:r>
            <w:r w:rsidR="00612FD3">
              <w:rPr>
                <w:lang w:val="en-GB"/>
              </w:rPr>
              <w:t xml:space="preserve"> 6</w:t>
            </w:r>
          </w:p>
        </w:tc>
        <w:tc>
          <w:tcPr>
            <w:tcW w:w="823" w:type="dxa"/>
            <w:shd w:val="clear" w:color="auto" w:fill="6F6652"/>
            <w:tcMar>
              <w:left w:w="57" w:type="dxa"/>
              <w:right w:w="57" w:type="dxa"/>
            </w:tcMar>
          </w:tcPr>
          <w:p w:rsidR="00612FD3" w:rsidRDefault="00E31EE8" w:rsidP="00301B6D">
            <w:pPr>
              <w:pStyle w:val="TableDataColumnHeading"/>
              <w:rPr>
                <w:lang w:val="en-GB"/>
              </w:rPr>
            </w:pPr>
            <w:r>
              <w:rPr>
                <w:lang w:val="en-GB"/>
              </w:rPr>
              <w:t>Climate Zone</w:t>
            </w:r>
            <w:r w:rsidR="00612FD3">
              <w:rPr>
                <w:lang w:val="en-GB"/>
              </w:rPr>
              <w:t xml:space="preserve"> 7</w:t>
            </w:r>
          </w:p>
        </w:tc>
      </w:tr>
      <w:tr w:rsidR="00612FD3" w:rsidTr="00301B6D">
        <w:trPr>
          <w:trHeight w:val="230"/>
          <w:tblHeader/>
        </w:trPr>
        <w:tc>
          <w:tcPr>
            <w:tcW w:w="2177"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jc w:val="left"/>
              <w:rPr>
                <w:lang w:val="en-GB"/>
              </w:rPr>
            </w:pPr>
          </w:p>
        </w:tc>
        <w:tc>
          <w:tcPr>
            <w:tcW w:w="82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$'000</w:t>
            </w:r>
          </w:p>
        </w:tc>
        <w:tc>
          <w:tcPr>
            <w:tcW w:w="82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$'000</w:t>
            </w:r>
          </w:p>
        </w:tc>
        <w:tc>
          <w:tcPr>
            <w:tcW w:w="82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$'000</w:t>
            </w:r>
          </w:p>
        </w:tc>
        <w:tc>
          <w:tcPr>
            <w:tcW w:w="824"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$'000</w:t>
            </w:r>
          </w:p>
        </w:tc>
        <w:tc>
          <w:tcPr>
            <w:tcW w:w="82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$'000</w:t>
            </w:r>
          </w:p>
        </w:tc>
        <w:tc>
          <w:tcPr>
            <w:tcW w:w="82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$'000</w:t>
            </w:r>
          </w:p>
        </w:tc>
        <w:tc>
          <w:tcPr>
            <w:tcW w:w="82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$'000</w:t>
            </w:r>
          </w:p>
        </w:tc>
      </w:tr>
      <w:tr w:rsidR="00612FD3" w:rsidTr="00301B6D">
        <w:trPr>
          <w:trHeight w:val="230"/>
        </w:trPr>
        <w:tc>
          <w:tcPr>
            <w:tcW w:w="2177"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r>
              <w:rPr>
                <w:lang w:val="en-GB"/>
              </w:rPr>
              <w:t>Façade</w:t>
            </w:r>
          </w:p>
        </w:tc>
        <w:tc>
          <w:tcPr>
            <w:tcW w:w="82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82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82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824"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82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82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82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r>
      <w:tr w:rsidR="002B7F27" w:rsidTr="00301B6D">
        <w:trPr>
          <w:trHeight w:val="230"/>
        </w:trPr>
        <w:tc>
          <w:tcPr>
            <w:tcW w:w="217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B7F27" w:rsidRDefault="002B7F27" w:rsidP="002B7F27">
            <w:pPr>
              <w:pStyle w:val="TableDataEntries"/>
              <w:jc w:val="left"/>
              <w:rPr>
                <w:lang w:val="en-GB"/>
              </w:rPr>
            </w:pPr>
            <w:r>
              <w:rPr>
                <w:lang w:val="en-GB"/>
              </w:rPr>
              <w:t>Roof</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0.0</w:t>
            </w:r>
          </w:p>
        </w:tc>
        <w:tc>
          <w:tcPr>
            <w:tcW w:w="8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0.0</w:t>
            </w:r>
          </w:p>
        </w:tc>
      </w:tr>
      <w:tr w:rsidR="002B7F27" w:rsidTr="0045144D">
        <w:trPr>
          <w:trHeight w:val="230"/>
        </w:trPr>
        <w:tc>
          <w:tcPr>
            <w:tcW w:w="217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B7F27" w:rsidRDefault="002B7F27" w:rsidP="002B7F27">
            <w:pPr>
              <w:pStyle w:val="TableDataEntries"/>
              <w:jc w:val="left"/>
              <w:rPr>
                <w:lang w:val="en-GB"/>
              </w:rPr>
            </w:pPr>
            <w:r>
              <w:rPr>
                <w:lang w:val="en-GB"/>
              </w:rPr>
              <w:t>Floor</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0.0</w:t>
            </w:r>
          </w:p>
        </w:tc>
        <w:tc>
          <w:tcPr>
            <w:tcW w:w="8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0.0</w:t>
            </w:r>
          </w:p>
        </w:tc>
      </w:tr>
      <w:tr w:rsidR="002B7F27" w:rsidTr="0045144D">
        <w:trPr>
          <w:trHeight w:val="230"/>
        </w:trPr>
        <w:tc>
          <w:tcPr>
            <w:tcW w:w="217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B7F27" w:rsidRDefault="002B7F27" w:rsidP="002B7F27">
            <w:pPr>
              <w:pStyle w:val="TableDataEntries"/>
              <w:jc w:val="left"/>
              <w:rPr>
                <w:lang w:val="en-GB"/>
              </w:rPr>
            </w:pPr>
            <w:r>
              <w:rPr>
                <w:lang w:val="en-GB"/>
              </w:rPr>
              <w:t>Walls</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7.9</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7.9</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16.3</w:t>
            </w:r>
          </w:p>
        </w:tc>
        <w:tc>
          <w:tcPr>
            <w:tcW w:w="8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4.6</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4.6</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4.6</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4.6</w:t>
            </w:r>
          </w:p>
        </w:tc>
      </w:tr>
      <w:tr w:rsidR="002B7F27" w:rsidTr="0045144D">
        <w:trPr>
          <w:trHeight w:val="230"/>
        </w:trPr>
        <w:tc>
          <w:tcPr>
            <w:tcW w:w="217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B7F27" w:rsidRDefault="002B7F27" w:rsidP="002B7F27">
            <w:pPr>
              <w:pStyle w:val="TableDataEntries"/>
              <w:jc w:val="left"/>
              <w:rPr>
                <w:lang w:val="en-GB"/>
              </w:rPr>
            </w:pPr>
            <w:r>
              <w:rPr>
                <w:lang w:val="en-GB"/>
              </w:rPr>
              <w:t>Glazing</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- 5.2</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- 8.7</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- 8.7</w:t>
            </w:r>
          </w:p>
        </w:tc>
        <w:tc>
          <w:tcPr>
            <w:tcW w:w="8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- 5.2</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- 8.7</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18.4</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33.3</w:t>
            </w:r>
          </w:p>
        </w:tc>
      </w:tr>
      <w:tr w:rsidR="002B7F27" w:rsidRPr="002B7F27" w:rsidTr="0045144D">
        <w:trPr>
          <w:trHeight w:val="230"/>
        </w:trPr>
        <w:tc>
          <w:tcPr>
            <w:tcW w:w="217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B7F27" w:rsidRPr="002B7F27" w:rsidRDefault="002B7F27" w:rsidP="002B7F27">
            <w:pPr>
              <w:pStyle w:val="TableDataEntries"/>
              <w:jc w:val="left"/>
              <w:rPr>
                <w:rFonts w:ascii="Franklin Gothic Demi" w:hAnsi="Franklin Gothic Demi"/>
                <w:lang w:val="en-GB"/>
              </w:rPr>
            </w:pPr>
            <w:r w:rsidRPr="002B7F27">
              <w:rPr>
                <w:rFonts w:ascii="Franklin Gothic Demi" w:hAnsi="Franklin Gothic Demi"/>
                <w:lang w:val="en-GB"/>
              </w:rPr>
              <w:t>Façade total</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Pr="002B7F27" w:rsidRDefault="002B7F27" w:rsidP="002B7F27">
            <w:pPr>
              <w:pStyle w:val="TableDataEntries"/>
              <w:rPr>
                <w:rFonts w:ascii="Franklin Gothic Demi" w:hAnsi="Franklin Gothic Demi"/>
                <w:lang w:val="en-GB"/>
              </w:rPr>
            </w:pPr>
            <w:r w:rsidRPr="002B7F27">
              <w:rPr>
                <w:rFonts w:ascii="Franklin Gothic Demi" w:hAnsi="Franklin Gothic Demi"/>
              </w:rPr>
              <w:t xml:space="preserve"> 2.7</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Pr="002B7F27" w:rsidRDefault="002B7F27" w:rsidP="002B7F27">
            <w:pPr>
              <w:pStyle w:val="TableDataEntries"/>
              <w:rPr>
                <w:rFonts w:ascii="Franklin Gothic Demi" w:hAnsi="Franklin Gothic Demi"/>
                <w:lang w:val="en-GB"/>
              </w:rPr>
            </w:pPr>
            <w:r w:rsidRPr="002B7F27">
              <w:rPr>
                <w:rFonts w:ascii="Franklin Gothic Demi" w:hAnsi="Franklin Gothic Demi"/>
              </w:rPr>
              <w:t>- 0.8</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Pr="002B7F27" w:rsidRDefault="002B7F27" w:rsidP="002B7F27">
            <w:pPr>
              <w:pStyle w:val="TableDataEntries"/>
              <w:rPr>
                <w:rFonts w:ascii="Franklin Gothic Demi" w:hAnsi="Franklin Gothic Demi"/>
                <w:lang w:val="en-GB"/>
              </w:rPr>
            </w:pPr>
            <w:r w:rsidRPr="002B7F27">
              <w:rPr>
                <w:rFonts w:ascii="Franklin Gothic Demi" w:hAnsi="Franklin Gothic Demi"/>
              </w:rPr>
              <w:t xml:space="preserve"> 7.6</w:t>
            </w:r>
          </w:p>
        </w:tc>
        <w:tc>
          <w:tcPr>
            <w:tcW w:w="8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Pr="002B7F27" w:rsidRDefault="002B7F27" w:rsidP="002B7F27">
            <w:pPr>
              <w:pStyle w:val="TableDataEntries"/>
              <w:rPr>
                <w:rFonts w:ascii="Franklin Gothic Demi" w:hAnsi="Franklin Gothic Demi"/>
                <w:lang w:val="en-GB"/>
              </w:rPr>
            </w:pPr>
            <w:r w:rsidRPr="002B7F27">
              <w:rPr>
                <w:rFonts w:ascii="Franklin Gothic Demi" w:hAnsi="Franklin Gothic Demi"/>
              </w:rPr>
              <w:t>- 0.6</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Pr="002B7F27" w:rsidRDefault="002B7F27" w:rsidP="002B7F27">
            <w:pPr>
              <w:pStyle w:val="TableDataEntries"/>
              <w:rPr>
                <w:rFonts w:ascii="Franklin Gothic Demi" w:hAnsi="Franklin Gothic Demi"/>
                <w:lang w:val="en-GB"/>
              </w:rPr>
            </w:pPr>
            <w:r w:rsidRPr="002B7F27">
              <w:rPr>
                <w:rFonts w:ascii="Franklin Gothic Demi" w:hAnsi="Franklin Gothic Demi"/>
              </w:rPr>
              <w:t>- 4.1</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Pr="002B7F27" w:rsidRDefault="002B7F27" w:rsidP="002B7F27">
            <w:pPr>
              <w:pStyle w:val="TableDataEntries"/>
              <w:rPr>
                <w:rFonts w:ascii="Franklin Gothic Demi" w:hAnsi="Franklin Gothic Demi"/>
                <w:lang w:val="en-GB"/>
              </w:rPr>
            </w:pPr>
            <w:r w:rsidRPr="002B7F27">
              <w:rPr>
                <w:rFonts w:ascii="Franklin Gothic Demi" w:hAnsi="Franklin Gothic Demi"/>
              </w:rPr>
              <w:t xml:space="preserve"> 23.0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Pr="002B7F27" w:rsidRDefault="002B7F27" w:rsidP="002B7F27">
            <w:pPr>
              <w:pStyle w:val="TableDataEntries"/>
              <w:rPr>
                <w:rFonts w:ascii="Franklin Gothic Demi" w:hAnsi="Franklin Gothic Demi"/>
                <w:lang w:val="en-GB"/>
              </w:rPr>
            </w:pPr>
            <w:r w:rsidRPr="002B7F27">
              <w:rPr>
                <w:rFonts w:ascii="Franklin Gothic Demi" w:hAnsi="Franklin Gothic Demi"/>
              </w:rPr>
              <w:t xml:space="preserve"> 37.9</w:t>
            </w:r>
          </w:p>
        </w:tc>
      </w:tr>
      <w:tr w:rsidR="002B7F27" w:rsidTr="00301B6D">
        <w:trPr>
          <w:trHeight w:val="230"/>
        </w:trPr>
        <w:tc>
          <w:tcPr>
            <w:tcW w:w="2177"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2B7F27" w:rsidRDefault="002B7F27" w:rsidP="002B7F27">
            <w:pPr>
              <w:pStyle w:val="TableHeading1"/>
              <w:rPr>
                <w:lang w:val="en-GB"/>
              </w:rPr>
            </w:pPr>
            <w:r>
              <w:rPr>
                <w:lang w:val="en-GB"/>
              </w:rPr>
              <w:t>Services</w:t>
            </w:r>
          </w:p>
        </w:tc>
        <w:tc>
          <w:tcPr>
            <w:tcW w:w="82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B7F27" w:rsidRDefault="002B7F27" w:rsidP="002B7F27">
            <w:pPr>
              <w:pStyle w:val="TableDataEntries"/>
              <w:rPr>
                <w:lang w:val="en-GB"/>
              </w:rPr>
            </w:pPr>
          </w:p>
        </w:tc>
        <w:tc>
          <w:tcPr>
            <w:tcW w:w="82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B7F27" w:rsidRDefault="002B7F27" w:rsidP="002B7F27">
            <w:pPr>
              <w:pStyle w:val="TableDataEntries"/>
              <w:rPr>
                <w:lang w:val="en-GB"/>
              </w:rPr>
            </w:pPr>
          </w:p>
        </w:tc>
        <w:tc>
          <w:tcPr>
            <w:tcW w:w="82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B7F27" w:rsidRDefault="002B7F27" w:rsidP="002B7F27">
            <w:pPr>
              <w:pStyle w:val="TableDataEntries"/>
              <w:rPr>
                <w:lang w:val="en-GB"/>
              </w:rPr>
            </w:pPr>
          </w:p>
        </w:tc>
        <w:tc>
          <w:tcPr>
            <w:tcW w:w="824"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B7F27" w:rsidRDefault="002B7F27" w:rsidP="002B7F27">
            <w:pPr>
              <w:pStyle w:val="TableDataEntries"/>
              <w:rPr>
                <w:lang w:val="en-GB"/>
              </w:rPr>
            </w:pPr>
          </w:p>
        </w:tc>
        <w:tc>
          <w:tcPr>
            <w:tcW w:w="82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B7F27" w:rsidRDefault="002B7F27" w:rsidP="002B7F27">
            <w:pPr>
              <w:pStyle w:val="TableDataEntries"/>
              <w:rPr>
                <w:lang w:val="en-GB"/>
              </w:rPr>
            </w:pPr>
          </w:p>
        </w:tc>
        <w:tc>
          <w:tcPr>
            <w:tcW w:w="82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B7F27" w:rsidRDefault="002B7F27" w:rsidP="002B7F27">
            <w:pPr>
              <w:pStyle w:val="TableDataEntries"/>
              <w:rPr>
                <w:lang w:val="en-GB"/>
              </w:rPr>
            </w:pPr>
          </w:p>
        </w:tc>
        <w:tc>
          <w:tcPr>
            <w:tcW w:w="82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B7F27" w:rsidRDefault="002B7F27" w:rsidP="002B7F27">
            <w:pPr>
              <w:pStyle w:val="TableDataEntries"/>
              <w:rPr>
                <w:lang w:val="en-GB"/>
              </w:rPr>
            </w:pPr>
          </w:p>
        </w:tc>
      </w:tr>
      <w:tr w:rsidR="002B7F27" w:rsidTr="00301B6D">
        <w:trPr>
          <w:trHeight w:val="230"/>
        </w:trPr>
        <w:tc>
          <w:tcPr>
            <w:tcW w:w="217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B7F27" w:rsidRDefault="002B7F27" w:rsidP="002B7F27">
            <w:pPr>
              <w:pStyle w:val="TableDataEntries"/>
              <w:jc w:val="left"/>
              <w:rPr>
                <w:lang w:val="en-GB"/>
              </w:rPr>
            </w:pPr>
            <w:r>
              <w:rPr>
                <w:lang w:val="en-GB"/>
              </w:rPr>
              <w:t>FCU</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- 2.8</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- 18.0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- 13.7</w:t>
            </w:r>
          </w:p>
        </w:tc>
        <w:tc>
          <w:tcPr>
            <w:tcW w:w="8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- 13.8</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- 5.8</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- 11.1</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- 12.5</w:t>
            </w:r>
          </w:p>
        </w:tc>
      </w:tr>
      <w:tr w:rsidR="002B7F27" w:rsidTr="00301B6D">
        <w:trPr>
          <w:trHeight w:val="230"/>
        </w:trPr>
        <w:tc>
          <w:tcPr>
            <w:tcW w:w="217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B7F27" w:rsidRDefault="002B7F27" w:rsidP="002B7F27">
            <w:pPr>
              <w:pStyle w:val="TableDataEntries"/>
              <w:jc w:val="left"/>
              <w:rPr>
                <w:lang w:val="en-GB"/>
              </w:rPr>
            </w:pPr>
            <w:r>
              <w:rPr>
                <w:lang w:val="en-GB"/>
              </w:rPr>
              <w:t>Cooling Tower</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- 2.6</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- 24.4</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- 10.6</w:t>
            </w:r>
          </w:p>
        </w:tc>
        <w:tc>
          <w:tcPr>
            <w:tcW w:w="8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- 19.3</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- 26.9</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- 19.4</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- 30.8</w:t>
            </w:r>
          </w:p>
        </w:tc>
      </w:tr>
      <w:tr w:rsidR="002B7F27" w:rsidTr="00301B6D">
        <w:trPr>
          <w:trHeight w:val="230"/>
        </w:trPr>
        <w:tc>
          <w:tcPr>
            <w:tcW w:w="217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B7F27" w:rsidRDefault="002B7F27" w:rsidP="002B7F27">
            <w:pPr>
              <w:pStyle w:val="TableDataEntries"/>
              <w:jc w:val="left"/>
              <w:rPr>
                <w:lang w:val="en-GB"/>
              </w:rPr>
            </w:pPr>
            <w:r>
              <w:rPr>
                <w:lang w:val="en-GB"/>
              </w:rPr>
              <w:t>Chiller</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- 0.7</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- 11.1</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- 5.0</w:t>
            </w:r>
          </w:p>
        </w:tc>
        <w:tc>
          <w:tcPr>
            <w:tcW w:w="8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- 3.3</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- 1.4</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- 1.8</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- 6.7</w:t>
            </w:r>
          </w:p>
        </w:tc>
      </w:tr>
      <w:tr w:rsidR="002B7F27" w:rsidTr="00301B6D">
        <w:trPr>
          <w:trHeight w:val="230"/>
        </w:trPr>
        <w:tc>
          <w:tcPr>
            <w:tcW w:w="217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B7F27" w:rsidRDefault="002B7F27" w:rsidP="002B7F27">
            <w:pPr>
              <w:pStyle w:val="TableDataEntries"/>
              <w:jc w:val="left"/>
              <w:rPr>
                <w:lang w:val="en-GB"/>
              </w:rPr>
            </w:pPr>
            <w:r>
              <w:rPr>
                <w:lang w:val="en-GB"/>
              </w:rPr>
              <w:t>Boiler</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0.0</w:t>
            </w:r>
          </w:p>
        </w:tc>
        <w:tc>
          <w:tcPr>
            <w:tcW w:w="8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0.0</w:t>
            </w:r>
          </w:p>
        </w:tc>
      </w:tr>
      <w:tr w:rsidR="002B7F27" w:rsidTr="00301B6D">
        <w:trPr>
          <w:trHeight w:val="230"/>
        </w:trPr>
        <w:tc>
          <w:tcPr>
            <w:tcW w:w="217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B7F27" w:rsidRDefault="002B7F27" w:rsidP="002B7F27">
            <w:pPr>
              <w:pStyle w:val="TableDataEntries"/>
              <w:jc w:val="left"/>
              <w:rPr>
                <w:lang w:val="en-GB"/>
              </w:rPr>
            </w:pPr>
            <w:r>
              <w:rPr>
                <w:lang w:val="en-GB"/>
              </w:rPr>
              <w:t>Economy Cycle</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0.0</w:t>
            </w:r>
          </w:p>
        </w:tc>
        <w:tc>
          <w:tcPr>
            <w:tcW w:w="8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0.0</w:t>
            </w:r>
          </w:p>
        </w:tc>
      </w:tr>
      <w:tr w:rsidR="002B7F27" w:rsidTr="00301B6D">
        <w:trPr>
          <w:trHeight w:val="230"/>
        </w:trPr>
        <w:tc>
          <w:tcPr>
            <w:tcW w:w="217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B7F27" w:rsidRDefault="002B7F27" w:rsidP="002B7F27">
            <w:pPr>
              <w:pStyle w:val="TableDataEntries"/>
              <w:jc w:val="left"/>
              <w:rPr>
                <w:lang w:val="en-GB"/>
              </w:rPr>
            </w:pPr>
            <w:r>
              <w:rPr>
                <w:lang w:val="en-GB"/>
              </w:rPr>
              <w:t>CO2 Sensor/Heat Exchange</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- 12.2</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- 12.2</w:t>
            </w:r>
          </w:p>
        </w:tc>
        <w:tc>
          <w:tcPr>
            <w:tcW w:w="8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- 12.2</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- 12.2</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- 12.2</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- 12.2</w:t>
            </w:r>
          </w:p>
        </w:tc>
      </w:tr>
      <w:tr w:rsidR="002B7F27" w:rsidTr="0045144D">
        <w:trPr>
          <w:trHeight w:val="230"/>
        </w:trPr>
        <w:tc>
          <w:tcPr>
            <w:tcW w:w="217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B7F27" w:rsidRDefault="002B7F27" w:rsidP="002B7F27">
            <w:pPr>
              <w:pStyle w:val="TableDataEntries"/>
              <w:jc w:val="left"/>
              <w:rPr>
                <w:lang w:val="en-GB"/>
              </w:rPr>
            </w:pPr>
            <w:r>
              <w:rPr>
                <w:lang w:val="en-GB"/>
              </w:rPr>
              <w:t>Lighting</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0.0</w:t>
            </w:r>
          </w:p>
        </w:tc>
        <w:tc>
          <w:tcPr>
            <w:tcW w:w="8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0.0</w:t>
            </w:r>
          </w:p>
        </w:tc>
      </w:tr>
      <w:tr w:rsidR="002B7F27" w:rsidTr="0045144D">
        <w:trPr>
          <w:trHeight w:val="230"/>
        </w:trPr>
        <w:tc>
          <w:tcPr>
            <w:tcW w:w="217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B7F27" w:rsidRDefault="002B7F27" w:rsidP="002B7F27">
            <w:pPr>
              <w:pStyle w:val="TableDataEntries"/>
              <w:jc w:val="left"/>
              <w:rPr>
                <w:lang w:val="en-GB"/>
              </w:rPr>
            </w:pPr>
            <w:r>
              <w:rPr>
                <w:lang w:val="en-GB"/>
              </w:rPr>
              <w:t>Lifts</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0.0</w:t>
            </w:r>
          </w:p>
        </w:tc>
        <w:tc>
          <w:tcPr>
            <w:tcW w:w="8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0.0</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Default="002B7F27" w:rsidP="002B7F27">
            <w:pPr>
              <w:pStyle w:val="TableDataEntries"/>
              <w:rPr>
                <w:lang w:val="en-GB"/>
              </w:rPr>
            </w:pPr>
            <w:r>
              <w:t xml:space="preserve"> 0.0</w:t>
            </w:r>
          </w:p>
        </w:tc>
      </w:tr>
      <w:tr w:rsidR="002B7F27" w:rsidRPr="002B7F27" w:rsidTr="0045144D">
        <w:trPr>
          <w:trHeight w:val="230"/>
        </w:trPr>
        <w:tc>
          <w:tcPr>
            <w:tcW w:w="217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B7F27" w:rsidRPr="002B7F27" w:rsidRDefault="002B7F27" w:rsidP="002B7F27">
            <w:pPr>
              <w:pStyle w:val="TableDataEntries"/>
              <w:jc w:val="left"/>
              <w:rPr>
                <w:rFonts w:ascii="Franklin Gothic Demi" w:hAnsi="Franklin Gothic Demi"/>
                <w:lang w:val="en-GB"/>
              </w:rPr>
            </w:pPr>
            <w:r w:rsidRPr="002B7F27">
              <w:rPr>
                <w:rFonts w:ascii="Franklin Gothic Demi" w:hAnsi="Franklin Gothic Demi"/>
                <w:lang w:val="en-GB"/>
              </w:rPr>
              <w:t>Services total</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Pr="002B7F27" w:rsidRDefault="002B7F27" w:rsidP="002B7F27">
            <w:pPr>
              <w:pStyle w:val="TableDataEntries"/>
              <w:rPr>
                <w:rFonts w:ascii="Franklin Gothic Demi" w:hAnsi="Franklin Gothic Demi"/>
                <w:lang w:val="en-GB"/>
              </w:rPr>
            </w:pPr>
            <w:r w:rsidRPr="002B7F27">
              <w:rPr>
                <w:rFonts w:ascii="Franklin Gothic Demi" w:hAnsi="Franklin Gothic Demi"/>
              </w:rPr>
              <w:t>- 18.3</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Pr="002B7F27" w:rsidRDefault="002B7F27" w:rsidP="002B7F27">
            <w:pPr>
              <w:pStyle w:val="TableDataEntries"/>
              <w:rPr>
                <w:rFonts w:ascii="Franklin Gothic Demi" w:hAnsi="Franklin Gothic Demi"/>
                <w:lang w:val="en-GB"/>
              </w:rPr>
            </w:pPr>
            <w:r w:rsidRPr="002B7F27">
              <w:rPr>
                <w:rFonts w:ascii="Franklin Gothic Demi" w:hAnsi="Franklin Gothic Demi"/>
              </w:rPr>
              <w:t>- 53.5</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Pr="002B7F27" w:rsidRDefault="002B7F27" w:rsidP="002B7F27">
            <w:pPr>
              <w:pStyle w:val="TableDataEntries"/>
              <w:rPr>
                <w:rFonts w:ascii="Franklin Gothic Demi" w:hAnsi="Franklin Gothic Demi"/>
                <w:lang w:val="en-GB"/>
              </w:rPr>
            </w:pPr>
            <w:r w:rsidRPr="002B7F27">
              <w:rPr>
                <w:rFonts w:ascii="Franklin Gothic Demi" w:hAnsi="Franklin Gothic Demi"/>
              </w:rPr>
              <w:t>- 41.5</w:t>
            </w:r>
          </w:p>
        </w:tc>
        <w:tc>
          <w:tcPr>
            <w:tcW w:w="8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Pr="002B7F27" w:rsidRDefault="002B7F27" w:rsidP="002B7F27">
            <w:pPr>
              <w:pStyle w:val="TableDataEntries"/>
              <w:rPr>
                <w:rFonts w:ascii="Franklin Gothic Demi" w:hAnsi="Franklin Gothic Demi"/>
                <w:lang w:val="en-GB"/>
              </w:rPr>
            </w:pPr>
            <w:r w:rsidRPr="002B7F27">
              <w:rPr>
                <w:rFonts w:ascii="Franklin Gothic Demi" w:hAnsi="Franklin Gothic Demi"/>
              </w:rPr>
              <w:t>- 48.7</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Pr="002B7F27" w:rsidRDefault="002B7F27" w:rsidP="002B7F27">
            <w:pPr>
              <w:pStyle w:val="TableDataEntries"/>
              <w:rPr>
                <w:rFonts w:ascii="Franklin Gothic Demi" w:hAnsi="Franklin Gothic Demi"/>
                <w:lang w:val="en-GB"/>
              </w:rPr>
            </w:pPr>
            <w:r w:rsidRPr="002B7F27">
              <w:rPr>
                <w:rFonts w:ascii="Franklin Gothic Demi" w:hAnsi="Franklin Gothic Demi"/>
              </w:rPr>
              <w:t>- 46.4</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Pr="002B7F27" w:rsidRDefault="002B7F27" w:rsidP="002B7F27">
            <w:pPr>
              <w:pStyle w:val="TableDataEntries"/>
              <w:rPr>
                <w:rFonts w:ascii="Franklin Gothic Demi" w:hAnsi="Franklin Gothic Demi"/>
                <w:lang w:val="en-GB"/>
              </w:rPr>
            </w:pPr>
            <w:r w:rsidRPr="002B7F27">
              <w:rPr>
                <w:rFonts w:ascii="Franklin Gothic Demi" w:hAnsi="Franklin Gothic Demi"/>
              </w:rPr>
              <w:t>- 44.5</w:t>
            </w:r>
          </w:p>
        </w:tc>
        <w:tc>
          <w:tcPr>
            <w:tcW w:w="8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B7F27" w:rsidRPr="002B7F27" w:rsidRDefault="002B7F27" w:rsidP="002B7F27">
            <w:pPr>
              <w:pStyle w:val="TableDataEntries"/>
              <w:rPr>
                <w:rFonts w:ascii="Franklin Gothic Demi" w:hAnsi="Franklin Gothic Demi"/>
                <w:lang w:val="en-GB"/>
              </w:rPr>
            </w:pPr>
            <w:r w:rsidRPr="002B7F27">
              <w:rPr>
                <w:rFonts w:ascii="Franklin Gothic Demi" w:hAnsi="Franklin Gothic Demi"/>
              </w:rPr>
              <w:t>- 62.2</w:t>
            </w:r>
          </w:p>
        </w:tc>
      </w:tr>
      <w:tr w:rsidR="002B7F27" w:rsidRPr="002B7F27" w:rsidTr="00301B6D">
        <w:trPr>
          <w:trHeight w:val="230"/>
        </w:trPr>
        <w:tc>
          <w:tcPr>
            <w:tcW w:w="2177"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rsidR="002B7F27" w:rsidRPr="002B7F27" w:rsidRDefault="002B7F27" w:rsidP="002B7F27">
            <w:pPr>
              <w:pStyle w:val="TableDataEntries"/>
              <w:jc w:val="left"/>
              <w:rPr>
                <w:rFonts w:ascii="Franklin Gothic Demi" w:hAnsi="Franklin Gothic Demi"/>
                <w:lang w:val="en-GB"/>
              </w:rPr>
            </w:pPr>
            <w:r w:rsidRPr="002B7F27">
              <w:rPr>
                <w:rFonts w:ascii="Franklin Gothic Demi" w:hAnsi="Franklin Gothic Demi"/>
                <w:lang w:val="en-GB"/>
              </w:rPr>
              <w:t>Total</w:t>
            </w:r>
          </w:p>
        </w:tc>
        <w:tc>
          <w:tcPr>
            <w:tcW w:w="82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2B7F27" w:rsidRPr="002B7F27" w:rsidRDefault="002B7F27" w:rsidP="002B7F27">
            <w:pPr>
              <w:pStyle w:val="TableDataEntries"/>
              <w:rPr>
                <w:rFonts w:ascii="Franklin Gothic Demi" w:hAnsi="Franklin Gothic Demi"/>
                <w:lang w:val="en-GB"/>
              </w:rPr>
            </w:pPr>
            <w:r w:rsidRPr="002B7F27">
              <w:rPr>
                <w:rFonts w:ascii="Franklin Gothic Demi" w:hAnsi="Franklin Gothic Demi"/>
              </w:rPr>
              <w:t>- 15.7</w:t>
            </w:r>
          </w:p>
        </w:tc>
        <w:tc>
          <w:tcPr>
            <w:tcW w:w="82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2B7F27" w:rsidRPr="002B7F27" w:rsidRDefault="002B7F27" w:rsidP="002B7F27">
            <w:pPr>
              <w:pStyle w:val="TableDataEntries"/>
              <w:rPr>
                <w:rFonts w:ascii="Franklin Gothic Demi" w:hAnsi="Franklin Gothic Demi"/>
                <w:lang w:val="en-GB"/>
              </w:rPr>
            </w:pPr>
            <w:r w:rsidRPr="002B7F27">
              <w:rPr>
                <w:rFonts w:ascii="Franklin Gothic Demi" w:hAnsi="Franklin Gothic Demi"/>
              </w:rPr>
              <w:t>- 54.4</w:t>
            </w:r>
          </w:p>
        </w:tc>
        <w:tc>
          <w:tcPr>
            <w:tcW w:w="82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2B7F27" w:rsidRPr="002B7F27" w:rsidRDefault="002B7F27" w:rsidP="002B7F27">
            <w:pPr>
              <w:pStyle w:val="TableDataEntries"/>
              <w:rPr>
                <w:rFonts w:ascii="Franklin Gothic Demi" w:hAnsi="Franklin Gothic Demi"/>
                <w:lang w:val="en-GB"/>
              </w:rPr>
            </w:pPr>
            <w:r w:rsidRPr="002B7F27">
              <w:rPr>
                <w:rFonts w:ascii="Franklin Gothic Demi" w:hAnsi="Franklin Gothic Demi"/>
              </w:rPr>
              <w:t>- 33.9</w:t>
            </w:r>
          </w:p>
        </w:tc>
        <w:tc>
          <w:tcPr>
            <w:tcW w:w="824"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2B7F27" w:rsidRPr="002B7F27" w:rsidRDefault="002B7F27" w:rsidP="002B7F27">
            <w:pPr>
              <w:pStyle w:val="TableDataEntries"/>
              <w:rPr>
                <w:rFonts w:ascii="Franklin Gothic Demi" w:hAnsi="Franklin Gothic Demi"/>
                <w:lang w:val="en-GB"/>
              </w:rPr>
            </w:pPr>
            <w:r w:rsidRPr="002B7F27">
              <w:rPr>
                <w:rFonts w:ascii="Franklin Gothic Demi" w:hAnsi="Franklin Gothic Demi"/>
              </w:rPr>
              <w:t>- 49.3</w:t>
            </w:r>
          </w:p>
        </w:tc>
        <w:tc>
          <w:tcPr>
            <w:tcW w:w="82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2B7F27" w:rsidRPr="002B7F27" w:rsidRDefault="002B7F27" w:rsidP="002B7F27">
            <w:pPr>
              <w:pStyle w:val="TableDataEntries"/>
              <w:rPr>
                <w:rFonts w:ascii="Franklin Gothic Demi" w:hAnsi="Franklin Gothic Demi"/>
                <w:lang w:val="en-GB"/>
              </w:rPr>
            </w:pPr>
            <w:r w:rsidRPr="002B7F27">
              <w:rPr>
                <w:rFonts w:ascii="Franklin Gothic Demi" w:hAnsi="Franklin Gothic Demi"/>
              </w:rPr>
              <w:t>- 50.5</w:t>
            </w:r>
          </w:p>
        </w:tc>
        <w:tc>
          <w:tcPr>
            <w:tcW w:w="82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2B7F27" w:rsidRPr="002B7F27" w:rsidRDefault="002B7F27" w:rsidP="002B7F27">
            <w:pPr>
              <w:pStyle w:val="TableDataEntries"/>
              <w:rPr>
                <w:rFonts w:ascii="Franklin Gothic Demi" w:hAnsi="Franklin Gothic Demi"/>
                <w:lang w:val="en-GB"/>
              </w:rPr>
            </w:pPr>
            <w:r w:rsidRPr="002B7F27">
              <w:rPr>
                <w:rFonts w:ascii="Franklin Gothic Demi" w:hAnsi="Franklin Gothic Demi"/>
              </w:rPr>
              <w:t>- 21.5</w:t>
            </w:r>
          </w:p>
        </w:tc>
        <w:tc>
          <w:tcPr>
            <w:tcW w:w="82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2B7F27" w:rsidRPr="002B7F27" w:rsidRDefault="002B7F27" w:rsidP="002B7F27">
            <w:pPr>
              <w:pStyle w:val="TableDataEntries"/>
              <w:rPr>
                <w:rFonts w:ascii="Franklin Gothic Demi" w:hAnsi="Franklin Gothic Demi"/>
                <w:lang w:val="en-GB"/>
              </w:rPr>
            </w:pPr>
            <w:r w:rsidRPr="002B7F27">
              <w:rPr>
                <w:rFonts w:ascii="Franklin Gothic Demi" w:hAnsi="Franklin Gothic Demi"/>
              </w:rPr>
              <w:t>- 24.3</w:t>
            </w:r>
          </w:p>
        </w:tc>
      </w:tr>
    </w:tbl>
    <w:p w:rsidR="00612FD3" w:rsidRDefault="00612FD3" w:rsidP="00612FD3">
      <w:pPr>
        <w:pStyle w:val="Note"/>
        <w:rPr>
          <w:lang w:bidi="fa-IR"/>
        </w:rPr>
      </w:pPr>
      <w:r w:rsidRPr="007D1B4F">
        <w:rPr>
          <w:i/>
        </w:rPr>
        <w:t>Note:</w:t>
      </w:r>
      <w:r w:rsidRPr="00E879B8">
        <w:t xml:space="preserve"> </w:t>
      </w:r>
      <w:r w:rsidR="00C50E98">
        <w:t>Cost increases are reported as a negative value and cost savings are reported as a positive value.</w:t>
      </w:r>
    </w:p>
    <w:p w:rsidR="00612FD3" w:rsidRDefault="00612FD3" w:rsidP="00612FD3">
      <w:pPr>
        <w:pStyle w:val="Source"/>
        <w:rPr>
          <w:lang w:bidi="fa-IR"/>
        </w:rPr>
      </w:pPr>
      <w:r w:rsidRPr="00593EDD">
        <w:rPr>
          <w:i/>
          <w:lang w:bidi="fa-IR"/>
        </w:rPr>
        <w:t>Source:</w:t>
      </w:r>
      <w:r>
        <w:rPr>
          <w:lang w:bidi="fa-IR"/>
        </w:rPr>
        <w:t xml:space="preserve"> </w:t>
      </w:r>
      <w:r w:rsidR="003F28DD">
        <w:rPr>
          <w:lang w:bidi="fa-IR"/>
        </w:rPr>
        <w:t>EA</w:t>
      </w:r>
      <w:r>
        <w:rPr>
          <w:lang w:bidi="fa-IR"/>
        </w:rPr>
        <w:t xml:space="preserve"> modelling.</w:t>
      </w:r>
    </w:p>
    <w:p w:rsidR="00612FD3" w:rsidRDefault="00612FD3" w:rsidP="00592C11">
      <w:pPr>
        <w:pStyle w:val="Heading2"/>
        <w:rPr>
          <w:lang w:eastAsia="en-US"/>
        </w:rPr>
      </w:pPr>
      <w:bookmarkStart w:id="1965" w:name="_Toc530748561"/>
      <w:r>
        <w:rPr>
          <w:lang w:eastAsia="en-US"/>
        </w:rPr>
        <w:t>Insights from the case studies</w:t>
      </w:r>
      <w:bookmarkEnd w:id="1965"/>
    </w:p>
    <w:p w:rsidR="00612FD3" w:rsidRDefault="00612FD3" w:rsidP="00612FD3">
      <w:pPr>
        <w:pStyle w:val="BodyText"/>
        <w:rPr>
          <w:lang w:eastAsia="en-US"/>
        </w:rPr>
      </w:pPr>
      <w:r>
        <w:rPr>
          <w:lang w:eastAsia="en-US"/>
        </w:rPr>
        <w:t xml:space="preserve">The EA modelling results of cost increase are in general smaller in terms of cost change per square metre than findings from case studies. </w:t>
      </w:r>
    </w:p>
    <w:p w:rsidR="00612FD3" w:rsidRDefault="00612FD3" w:rsidP="00612FD3">
      <w:pPr>
        <w:pStyle w:val="BodyText"/>
        <w:rPr>
          <w:lang w:eastAsia="en-US"/>
        </w:rPr>
      </w:pPr>
      <w:r>
        <w:rPr>
          <w:lang w:eastAsia="en-US"/>
        </w:rPr>
        <w:t>While the majority of the building’s case studies used JV3 as their façade compliance pathway and would comply without design modification, the case studies included an exploration of the impact if they had used the DTS to comply. Table 5.10 summarises the construction cost increase per square metre of floor area from case studies which provide costing information based on compliance using the DTS. One case study found that construction costs could be reduced due to less effective stringency requirement for windows, and cheaper insulation and installation costs. All other studies found that construction cost would increase using the DTS due to the change in the NCC. The cost increase varies significantly across studies, however most of the cost increases lie in the range between $10 and $50/m</w:t>
      </w:r>
      <w:r>
        <w:rPr>
          <w:vertAlign w:val="superscript"/>
          <w:lang w:eastAsia="en-US"/>
        </w:rPr>
        <w:t>2</w:t>
      </w:r>
      <w:r>
        <w:rPr>
          <w:lang w:eastAsia="en-US"/>
        </w:rPr>
        <w:t>.</w:t>
      </w:r>
    </w:p>
    <w:p w:rsidR="00612FD3" w:rsidRDefault="00612FD3" w:rsidP="00612FD3">
      <w:pPr>
        <w:pStyle w:val="Caption"/>
      </w:pPr>
      <w:r w:rsidRPr="002B7F27">
        <w:fldChar w:fldCharType="begin"/>
      </w:r>
      <w:r w:rsidRPr="002B7F27">
        <w:instrText xml:space="preserve"> IF 1 = 1 "</w:instrText>
      </w:r>
      <w:r w:rsidRPr="002B7F27">
        <w:fldChar w:fldCharType="begin"/>
      </w:r>
      <w:r w:rsidRPr="002B7F27">
        <w:instrText xml:space="preserve"> IF </w:instrText>
      </w:r>
      <w:r w:rsidR="00BA0599" w:rsidRPr="002B7F27">
        <w:rPr>
          <w:noProof/>
        </w:rPr>
        <w:fldChar w:fldCharType="begin"/>
      </w:r>
      <w:r w:rsidR="00BA0599" w:rsidRPr="002B7F27">
        <w:rPr>
          <w:noProof/>
        </w:rPr>
        <w:instrText xml:space="preserve"> STYLEREF "Heading 6" \l \n </w:instrText>
      </w:r>
      <w:r w:rsidR="00BA0599" w:rsidRPr="002B7F27">
        <w:rPr>
          <w:noProof/>
        </w:rPr>
        <w:fldChar w:fldCharType="separate"/>
      </w:r>
      <w:r w:rsidR="00B833F1">
        <w:rPr>
          <w:noProof/>
        </w:rPr>
        <w:instrText>0</w:instrText>
      </w:r>
      <w:r w:rsidR="00BA0599" w:rsidRPr="002B7F27">
        <w:rPr>
          <w:noProof/>
        </w:rPr>
        <w:fldChar w:fldCharType="end"/>
      </w:r>
      <w:r w:rsidRPr="002B7F27">
        <w:instrText xml:space="preserve"> = 0 "</w:instrText>
      </w:r>
      <w:r w:rsidRPr="002B7F27">
        <w:fldChar w:fldCharType="begin"/>
      </w:r>
      <w:r w:rsidRPr="002B7F27">
        <w:instrText xml:space="preserve"> IF </w:instrText>
      </w:r>
      <w:r w:rsidR="00BA0599" w:rsidRPr="002B7F27">
        <w:rPr>
          <w:noProof/>
        </w:rPr>
        <w:fldChar w:fldCharType="begin"/>
      </w:r>
      <w:r w:rsidR="00BA0599" w:rsidRPr="002B7F27">
        <w:rPr>
          <w:noProof/>
        </w:rPr>
        <w:instrText xml:space="preserve"> STYLEREF "Heading 1" \l \n </w:instrText>
      </w:r>
      <w:r w:rsidR="00BA0599" w:rsidRPr="002B7F27">
        <w:rPr>
          <w:noProof/>
        </w:rPr>
        <w:fldChar w:fldCharType="separate"/>
      </w:r>
      <w:r w:rsidR="00B833F1">
        <w:rPr>
          <w:noProof/>
        </w:rPr>
        <w:instrText>5</w:instrText>
      </w:r>
      <w:r w:rsidR="00BA0599" w:rsidRPr="002B7F27">
        <w:rPr>
          <w:noProof/>
        </w:rPr>
        <w:fldChar w:fldCharType="end"/>
      </w:r>
      <w:r w:rsidRPr="002B7F27">
        <w:instrText xml:space="preserve"> = 0 "" "</w:instrText>
      </w:r>
      <w:r w:rsidR="00BA0599" w:rsidRPr="002B7F27">
        <w:rPr>
          <w:noProof/>
        </w:rPr>
        <w:fldChar w:fldCharType="begin"/>
      </w:r>
      <w:r w:rsidR="00BA0599" w:rsidRPr="002B7F27">
        <w:rPr>
          <w:noProof/>
        </w:rPr>
        <w:instrText xml:space="preserve"> STYLEREF "Heading 1" \l \n </w:instrText>
      </w:r>
      <w:r w:rsidR="00BA0599" w:rsidRPr="002B7F27">
        <w:rPr>
          <w:noProof/>
        </w:rPr>
        <w:fldChar w:fldCharType="separate"/>
      </w:r>
      <w:r w:rsidR="00B833F1">
        <w:rPr>
          <w:noProof/>
        </w:rPr>
        <w:instrText>5</w:instrText>
      </w:r>
      <w:r w:rsidR="00BA0599" w:rsidRPr="002B7F27">
        <w:rPr>
          <w:noProof/>
        </w:rPr>
        <w:fldChar w:fldCharType="end"/>
      </w:r>
      <w:r w:rsidRPr="002B7F27">
        <w:instrText xml:space="preserve">." </w:instrText>
      </w:r>
      <w:r w:rsidRPr="002B7F27">
        <w:fldChar w:fldCharType="separate"/>
      </w:r>
      <w:r w:rsidR="00B833F1">
        <w:rPr>
          <w:noProof/>
        </w:rPr>
        <w:instrText>5</w:instrText>
      </w:r>
      <w:r w:rsidR="00B833F1" w:rsidRPr="002B7F27">
        <w:rPr>
          <w:noProof/>
        </w:rPr>
        <w:instrText>.</w:instrText>
      </w:r>
      <w:r w:rsidRPr="002B7F27">
        <w:fldChar w:fldCharType="end"/>
      </w:r>
      <w:r w:rsidRPr="002B7F27">
        <w:instrText>" "</w:instrText>
      </w:r>
      <w:r w:rsidR="001F6F43">
        <w:fldChar w:fldCharType="begin"/>
      </w:r>
      <w:r w:rsidR="001F6F43">
        <w:instrText xml:space="preserve"> STYLEREF "Heading 6" \l \n </w:instrText>
      </w:r>
      <w:r w:rsidR="001F6F43">
        <w:fldChar w:fldCharType="separate"/>
      </w:r>
      <w:r w:rsidRPr="002B7F27">
        <w:instrText>B</w:instrText>
      </w:r>
      <w:r w:rsidR="001F6F43">
        <w:fldChar w:fldCharType="end"/>
      </w:r>
      <w:r w:rsidRPr="002B7F27">
        <w:instrText xml:space="preserve">." </w:instrText>
      </w:r>
      <w:r w:rsidRPr="002B7F27">
        <w:fldChar w:fldCharType="separate"/>
      </w:r>
      <w:r w:rsidR="00EA42ED">
        <w:rPr>
          <w:noProof/>
        </w:rPr>
        <w:instrText>5</w:instrText>
      </w:r>
      <w:r w:rsidR="00EA42ED" w:rsidRPr="002B7F27">
        <w:rPr>
          <w:noProof/>
        </w:rPr>
        <w:instrText>.</w:instrText>
      </w:r>
      <w:r w:rsidRPr="002B7F27">
        <w:fldChar w:fldCharType="end"/>
      </w:r>
      <w:r w:rsidRPr="002B7F27">
        <w:fldChar w:fldCharType="begin"/>
      </w:r>
      <w:r w:rsidRPr="002B7F27">
        <w:instrText xml:space="preserve"> SEQ Item \* ARABIC \s </w:instrText>
      </w:r>
      <w:r w:rsidRPr="002B7F27">
        <w:fldChar w:fldCharType="begin"/>
      </w:r>
      <w:r w:rsidRPr="002B7F27">
        <w:instrText xml:space="preserve"> IF </w:instrText>
      </w:r>
      <w:r w:rsidR="00BA0599" w:rsidRPr="002B7F27">
        <w:rPr>
          <w:noProof/>
        </w:rPr>
        <w:fldChar w:fldCharType="begin"/>
      </w:r>
      <w:r w:rsidR="00BA0599" w:rsidRPr="002B7F27">
        <w:rPr>
          <w:noProof/>
        </w:rPr>
        <w:instrText xml:space="preserve"> STYLEREF "Heading 6" \l \n </w:instrText>
      </w:r>
      <w:r w:rsidR="00BA0599" w:rsidRPr="002B7F27">
        <w:rPr>
          <w:noProof/>
        </w:rPr>
        <w:fldChar w:fldCharType="separate"/>
      </w:r>
      <w:r w:rsidR="00B833F1">
        <w:rPr>
          <w:noProof/>
        </w:rPr>
        <w:instrText>0</w:instrText>
      </w:r>
      <w:r w:rsidR="00BA0599" w:rsidRPr="002B7F27">
        <w:rPr>
          <w:noProof/>
        </w:rPr>
        <w:fldChar w:fldCharType="end"/>
      </w:r>
      <w:r w:rsidRPr="002B7F27">
        <w:instrText xml:space="preserve"> = 0 "</w:instrText>
      </w:r>
      <w:r w:rsidRPr="002B7F27">
        <w:fldChar w:fldCharType="begin"/>
      </w:r>
      <w:r w:rsidRPr="002B7F27">
        <w:instrText xml:space="preserve"> IF </w:instrText>
      </w:r>
      <w:r w:rsidR="00BA0599" w:rsidRPr="002B7F27">
        <w:rPr>
          <w:noProof/>
        </w:rPr>
        <w:fldChar w:fldCharType="begin"/>
      </w:r>
      <w:r w:rsidR="00BA0599" w:rsidRPr="002B7F27">
        <w:rPr>
          <w:noProof/>
        </w:rPr>
        <w:instrText xml:space="preserve"> STYLEREF "Heading 1" \l \n </w:instrText>
      </w:r>
      <w:r w:rsidR="00BA0599" w:rsidRPr="002B7F27">
        <w:rPr>
          <w:noProof/>
        </w:rPr>
        <w:fldChar w:fldCharType="separate"/>
      </w:r>
      <w:r w:rsidR="00B833F1">
        <w:rPr>
          <w:noProof/>
        </w:rPr>
        <w:instrText>5</w:instrText>
      </w:r>
      <w:r w:rsidR="00BA0599" w:rsidRPr="002B7F27">
        <w:rPr>
          <w:noProof/>
        </w:rPr>
        <w:fldChar w:fldCharType="end"/>
      </w:r>
      <w:r w:rsidRPr="002B7F27">
        <w:instrText xml:space="preserve"> = 0 "" "1" </w:instrText>
      </w:r>
      <w:r w:rsidRPr="002B7F27">
        <w:fldChar w:fldCharType="separate"/>
      </w:r>
      <w:r w:rsidR="00EA42ED" w:rsidRPr="002B7F27">
        <w:rPr>
          <w:noProof/>
        </w:rPr>
        <w:instrText>1</w:instrText>
      </w:r>
      <w:r w:rsidRPr="002B7F27">
        <w:fldChar w:fldCharType="end"/>
      </w:r>
      <w:r w:rsidRPr="002B7F27">
        <w:instrText xml:space="preserve">" "6" </w:instrText>
      </w:r>
      <w:r w:rsidRPr="002B7F27">
        <w:fldChar w:fldCharType="separate"/>
      </w:r>
      <w:r w:rsidR="00EA42ED" w:rsidRPr="002B7F27">
        <w:rPr>
          <w:noProof/>
        </w:rPr>
        <w:instrText>1</w:instrText>
      </w:r>
      <w:r w:rsidRPr="002B7F27">
        <w:fldChar w:fldCharType="end"/>
      </w:r>
      <w:r w:rsidRPr="002B7F27">
        <w:instrText xml:space="preserve"> </w:instrText>
      </w:r>
      <w:r w:rsidRPr="002B7F27">
        <w:fldChar w:fldCharType="separate"/>
      </w:r>
      <w:r w:rsidR="00B833F1">
        <w:rPr>
          <w:noProof/>
        </w:rPr>
        <w:instrText>9</w:instrText>
      </w:r>
      <w:r w:rsidRPr="002B7F27">
        <w:fldChar w:fldCharType="end"/>
      </w:r>
      <w:r w:rsidRPr="002B7F27">
        <w:instrText xml:space="preserve">" "" </w:instrText>
      </w:r>
      <w:r w:rsidRPr="002B7F27">
        <w:fldChar w:fldCharType="separate"/>
      </w:r>
      <w:bookmarkStart w:id="1966" w:name="_Caption1184"/>
      <w:bookmarkStart w:id="1967" w:name="_Caption3913"/>
      <w:bookmarkStart w:id="1968" w:name="_Caption8352"/>
      <w:bookmarkStart w:id="1969" w:name="_Caption5246"/>
      <w:bookmarkStart w:id="1970" w:name="_Caption0814"/>
      <w:bookmarkStart w:id="1971" w:name="_Caption5323"/>
      <w:bookmarkStart w:id="1972" w:name="_Caption7613"/>
      <w:bookmarkStart w:id="1973" w:name="_Caption8130"/>
      <w:bookmarkStart w:id="1974" w:name="_Caption4536"/>
      <w:bookmarkStart w:id="1975" w:name="_Caption3480"/>
      <w:bookmarkStart w:id="1976" w:name="_Caption9861"/>
      <w:bookmarkStart w:id="1977" w:name="_Caption8522"/>
      <w:bookmarkStart w:id="1978" w:name="_Caption6935"/>
      <w:bookmarkStart w:id="1979" w:name="_Caption0518"/>
      <w:bookmarkStart w:id="1980" w:name="_Caption9018"/>
      <w:bookmarkStart w:id="1981" w:name="_Caption1387"/>
      <w:bookmarkStart w:id="1982" w:name="_Caption1640"/>
      <w:bookmarkStart w:id="1983" w:name="_Caption5536"/>
      <w:bookmarkStart w:id="1984" w:name="_Caption2766"/>
      <w:bookmarkStart w:id="1985" w:name="_Caption1091"/>
      <w:bookmarkStart w:id="1986" w:name="_Caption2747"/>
      <w:bookmarkStart w:id="1987" w:name="_Caption9458"/>
      <w:bookmarkStart w:id="1988" w:name="_Caption3769"/>
      <w:bookmarkStart w:id="1989" w:name="_Caption3639"/>
      <w:bookmarkStart w:id="1990" w:name="_Caption2142"/>
      <w:bookmarkStart w:id="1991" w:name="_Caption8961"/>
      <w:bookmarkStart w:id="1992" w:name="_Caption5126"/>
      <w:bookmarkStart w:id="1993" w:name="_Caption2325"/>
      <w:bookmarkStart w:id="1994" w:name="_Caption0199"/>
      <w:bookmarkStart w:id="1995" w:name="_Caption0535"/>
      <w:bookmarkStart w:id="1996" w:name="_Caption8877"/>
      <w:bookmarkStart w:id="1997" w:name="_Caption0561"/>
      <w:bookmarkStart w:id="1998" w:name="_Caption2051"/>
      <w:bookmarkStart w:id="1999" w:name="_Caption4381"/>
      <w:bookmarkStart w:id="2000" w:name="_Caption6430"/>
      <w:bookmarkStart w:id="2001" w:name="_Caption3867"/>
      <w:bookmarkStart w:id="2002" w:name="_Caption6231"/>
      <w:bookmarkStart w:id="2003" w:name="_Caption0833"/>
      <w:bookmarkStart w:id="2004" w:name="_Caption6565"/>
      <w:bookmarkStart w:id="2005" w:name="_Caption9586"/>
      <w:bookmarkStart w:id="2006" w:name="_Caption8097"/>
      <w:bookmarkStart w:id="2007" w:name="_Caption3567"/>
      <w:bookmarkStart w:id="2008" w:name="_Caption0664"/>
      <w:bookmarkStart w:id="2009" w:name="_Caption6617"/>
      <w:bookmarkStart w:id="2010" w:name="_Caption2417"/>
      <w:bookmarkStart w:id="2011" w:name="_Caption0372"/>
      <w:bookmarkStart w:id="2012" w:name="_Caption9133"/>
      <w:bookmarkStart w:id="2013" w:name="_Caption9540"/>
      <w:bookmarkStart w:id="2014" w:name="_Caption5632"/>
      <w:bookmarkStart w:id="2015" w:name="_Caption3750"/>
      <w:bookmarkStart w:id="2016" w:name="_Caption0051"/>
      <w:bookmarkStart w:id="2017" w:name="_Caption9140"/>
      <w:bookmarkStart w:id="2018" w:name="_Caption4358"/>
      <w:bookmarkStart w:id="2019" w:name="_Caption8811"/>
      <w:bookmarkStart w:id="2020" w:name="_Caption5560"/>
      <w:bookmarkStart w:id="2021" w:name="_Caption8694"/>
      <w:bookmarkStart w:id="2022" w:name="_Caption6291"/>
      <w:bookmarkStart w:id="2023" w:name="_Caption4422"/>
      <w:bookmarkStart w:id="2024" w:name="_Caption2116"/>
      <w:bookmarkStart w:id="2025" w:name="_Caption5069"/>
      <w:bookmarkStart w:id="2026" w:name="_Caption3415"/>
      <w:bookmarkStart w:id="2027" w:name="_Caption0734"/>
      <w:bookmarkStart w:id="2028" w:name="_Caption1097"/>
      <w:bookmarkStart w:id="2029" w:name="_Caption6163"/>
      <w:bookmarkStart w:id="2030" w:name="_Caption0502"/>
      <w:bookmarkStart w:id="2031" w:name="_Caption2630"/>
      <w:bookmarkStart w:id="2032" w:name="_Caption2745"/>
      <w:bookmarkStart w:id="2033" w:name="_Toc529869917"/>
      <w:bookmarkStart w:id="2034" w:name="_Toc530748413"/>
      <w:r w:rsidR="00EA42ED">
        <w:rPr>
          <w:noProof/>
        </w:rPr>
        <w:t>5</w:t>
      </w:r>
      <w:r w:rsidR="00EA42ED" w:rsidRPr="002B7F27">
        <w:rPr>
          <w:noProof/>
        </w:rPr>
        <w:t>.</w:t>
      </w:r>
      <w:r w:rsidR="00EA42ED">
        <w:rPr>
          <w:noProof/>
        </w:rPr>
        <w:t>9</w:t>
      </w:r>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r w:rsidRPr="002B7F27">
        <w:fldChar w:fldCharType="end"/>
      </w:r>
      <w:r w:rsidRPr="002B7F27">
        <w:tab/>
        <w:t>Increase in construction costs from selected case studies</w:t>
      </w:r>
      <w:bookmarkEnd w:id="2033"/>
      <w:bookmarkEnd w:id="2034"/>
    </w:p>
    <w:tbl>
      <w:tblPr>
        <w:tblW w:w="7936" w:type="dxa"/>
        <w:tblLook w:val="04A0" w:firstRow="1" w:lastRow="0" w:firstColumn="1" w:lastColumn="0" w:noHBand="0" w:noVBand="1"/>
        <w:tblCaption w:val="Table 5.9: Increase in construction costs from selected case studies"/>
        <w:tblDescription w:val="This table describes the increase in construction costs based on selected case studies. It shows that most buildings experience an increase in constructions costs which may be due to the case studies out performing the NCC 2019 requirements.  "/>
      </w:tblPr>
      <w:tblGrid>
        <w:gridCol w:w="1701"/>
        <w:gridCol w:w="1134"/>
        <w:gridCol w:w="851"/>
        <w:gridCol w:w="709"/>
        <w:gridCol w:w="708"/>
        <w:gridCol w:w="2833"/>
      </w:tblGrid>
      <w:tr w:rsidR="00612FD3" w:rsidRPr="006620C8" w:rsidTr="0045144D">
        <w:trPr>
          <w:trHeight w:val="245"/>
          <w:tblHeader/>
        </w:trPr>
        <w:tc>
          <w:tcPr>
            <w:tcW w:w="1701" w:type="dxa"/>
            <w:shd w:val="clear" w:color="auto" w:fill="6F6652"/>
            <w:noWrap/>
            <w:tcMar>
              <w:left w:w="57" w:type="dxa"/>
              <w:right w:w="57" w:type="dxa"/>
            </w:tcMar>
            <w:hideMark/>
          </w:tcPr>
          <w:p w:rsidR="00612FD3" w:rsidRPr="006620C8" w:rsidRDefault="00612FD3" w:rsidP="00301B6D">
            <w:pPr>
              <w:pStyle w:val="TableDataColumnHeading"/>
              <w:jc w:val="left"/>
            </w:pPr>
            <w:r>
              <w:t>Project name</w:t>
            </w:r>
          </w:p>
        </w:tc>
        <w:tc>
          <w:tcPr>
            <w:tcW w:w="1134" w:type="dxa"/>
            <w:shd w:val="clear" w:color="auto" w:fill="6F6652"/>
            <w:noWrap/>
            <w:tcMar>
              <w:left w:w="57" w:type="dxa"/>
              <w:right w:w="57" w:type="dxa"/>
            </w:tcMar>
            <w:hideMark/>
          </w:tcPr>
          <w:p w:rsidR="00612FD3" w:rsidRPr="00C74E5B" w:rsidRDefault="00612FD3" w:rsidP="00301B6D">
            <w:pPr>
              <w:pStyle w:val="TableDataColumnHeading"/>
              <w:jc w:val="left"/>
              <w:rPr>
                <w:szCs w:val="16"/>
              </w:rPr>
            </w:pPr>
            <w:r w:rsidRPr="00C74E5B">
              <w:rPr>
                <w:szCs w:val="16"/>
              </w:rPr>
              <w:t>City</w:t>
            </w:r>
          </w:p>
        </w:tc>
        <w:tc>
          <w:tcPr>
            <w:tcW w:w="851" w:type="dxa"/>
            <w:shd w:val="clear" w:color="auto" w:fill="6F6652"/>
            <w:noWrap/>
            <w:tcMar>
              <w:left w:w="57" w:type="dxa"/>
              <w:right w:w="57" w:type="dxa"/>
            </w:tcMar>
            <w:hideMark/>
          </w:tcPr>
          <w:p w:rsidR="00612FD3" w:rsidRPr="00C74E5B" w:rsidRDefault="00612FD3" w:rsidP="00301B6D">
            <w:pPr>
              <w:pStyle w:val="TableDataColumnHeading"/>
              <w:jc w:val="left"/>
              <w:rPr>
                <w:szCs w:val="16"/>
              </w:rPr>
            </w:pPr>
            <w:r>
              <w:rPr>
                <w:szCs w:val="16"/>
              </w:rPr>
              <w:t>Building class</w:t>
            </w:r>
          </w:p>
        </w:tc>
        <w:tc>
          <w:tcPr>
            <w:tcW w:w="709" w:type="dxa"/>
            <w:shd w:val="clear" w:color="auto" w:fill="6F6652"/>
            <w:noWrap/>
            <w:tcMar>
              <w:left w:w="57" w:type="dxa"/>
              <w:right w:w="57" w:type="dxa"/>
            </w:tcMar>
            <w:hideMark/>
          </w:tcPr>
          <w:p w:rsidR="00612FD3" w:rsidRPr="00C74E5B" w:rsidRDefault="00612FD3" w:rsidP="00301B6D">
            <w:pPr>
              <w:pStyle w:val="TableDataColumnHeading"/>
              <w:rPr>
                <w:szCs w:val="16"/>
              </w:rPr>
            </w:pPr>
            <w:r w:rsidRPr="00C74E5B">
              <w:rPr>
                <w:szCs w:val="16"/>
              </w:rPr>
              <w:t>Cost - low</w:t>
            </w:r>
          </w:p>
        </w:tc>
        <w:tc>
          <w:tcPr>
            <w:tcW w:w="708" w:type="dxa"/>
            <w:shd w:val="clear" w:color="auto" w:fill="6F6652"/>
            <w:noWrap/>
            <w:tcMar>
              <w:left w:w="57" w:type="dxa"/>
              <w:right w:w="57" w:type="dxa"/>
            </w:tcMar>
            <w:hideMark/>
          </w:tcPr>
          <w:p w:rsidR="00612FD3" w:rsidRPr="00C74E5B" w:rsidRDefault="00612FD3" w:rsidP="00301B6D">
            <w:pPr>
              <w:pStyle w:val="TableDataColumnHeading"/>
              <w:rPr>
                <w:szCs w:val="16"/>
              </w:rPr>
            </w:pPr>
            <w:r w:rsidRPr="00C74E5B">
              <w:rPr>
                <w:szCs w:val="16"/>
              </w:rPr>
              <w:t>Cost - high</w:t>
            </w:r>
          </w:p>
        </w:tc>
        <w:tc>
          <w:tcPr>
            <w:tcW w:w="2833" w:type="dxa"/>
            <w:shd w:val="clear" w:color="auto" w:fill="6F6652"/>
            <w:noWrap/>
            <w:tcMar>
              <w:left w:w="57" w:type="dxa"/>
              <w:right w:w="57" w:type="dxa"/>
            </w:tcMar>
            <w:hideMark/>
          </w:tcPr>
          <w:p w:rsidR="00612FD3" w:rsidRPr="00C74E5B" w:rsidRDefault="00612FD3" w:rsidP="00301B6D">
            <w:pPr>
              <w:pStyle w:val="TableDataColumnHeading"/>
              <w:jc w:val="left"/>
              <w:rPr>
                <w:szCs w:val="16"/>
              </w:rPr>
            </w:pPr>
            <w:r>
              <w:rPr>
                <w:szCs w:val="16"/>
              </w:rPr>
              <w:t>Note</w:t>
            </w:r>
          </w:p>
        </w:tc>
      </w:tr>
      <w:tr w:rsidR="00612FD3" w:rsidRPr="006620C8" w:rsidTr="0045144D">
        <w:trPr>
          <w:trHeight w:val="245"/>
          <w:tblHeader/>
        </w:trPr>
        <w:tc>
          <w:tcPr>
            <w:tcW w:w="1701" w:type="dxa"/>
            <w:tcBorders>
              <w:bottom w:val="single" w:sz="8" w:space="0" w:color="FFFFFF" w:themeColor="background1"/>
            </w:tcBorders>
            <w:shd w:val="clear" w:color="auto" w:fill="auto"/>
            <w:noWrap/>
            <w:tcMar>
              <w:left w:w="57" w:type="dxa"/>
              <w:right w:w="57" w:type="dxa"/>
            </w:tcMar>
          </w:tcPr>
          <w:p w:rsidR="00612FD3" w:rsidRPr="006620C8" w:rsidRDefault="00612FD3" w:rsidP="00301B6D">
            <w:pPr>
              <w:pStyle w:val="TableUnit"/>
              <w:jc w:val="left"/>
            </w:pPr>
          </w:p>
        </w:tc>
        <w:tc>
          <w:tcPr>
            <w:tcW w:w="1134" w:type="dxa"/>
            <w:tcBorders>
              <w:bottom w:val="single" w:sz="8" w:space="0" w:color="FFFFFF" w:themeColor="background1"/>
            </w:tcBorders>
            <w:shd w:val="clear" w:color="auto" w:fill="auto"/>
            <w:noWrap/>
            <w:tcMar>
              <w:left w:w="57" w:type="dxa"/>
              <w:right w:w="57" w:type="dxa"/>
            </w:tcMar>
          </w:tcPr>
          <w:p w:rsidR="00612FD3" w:rsidRPr="006620C8" w:rsidRDefault="00612FD3" w:rsidP="00301B6D">
            <w:pPr>
              <w:pStyle w:val="TableUnit"/>
              <w:jc w:val="left"/>
            </w:pPr>
          </w:p>
        </w:tc>
        <w:tc>
          <w:tcPr>
            <w:tcW w:w="851" w:type="dxa"/>
            <w:tcBorders>
              <w:bottom w:val="single" w:sz="8" w:space="0" w:color="FFFFFF" w:themeColor="background1"/>
            </w:tcBorders>
            <w:shd w:val="clear" w:color="auto" w:fill="auto"/>
            <w:noWrap/>
            <w:tcMar>
              <w:left w:w="57" w:type="dxa"/>
              <w:right w:w="57" w:type="dxa"/>
            </w:tcMar>
          </w:tcPr>
          <w:p w:rsidR="00612FD3" w:rsidRPr="006620C8" w:rsidRDefault="00612FD3" w:rsidP="00301B6D">
            <w:pPr>
              <w:pStyle w:val="TableUnit"/>
              <w:jc w:val="left"/>
            </w:pPr>
          </w:p>
        </w:tc>
        <w:tc>
          <w:tcPr>
            <w:tcW w:w="709" w:type="dxa"/>
            <w:tcBorders>
              <w:bottom w:val="single" w:sz="8" w:space="0" w:color="FFFFFF" w:themeColor="background1"/>
            </w:tcBorders>
            <w:shd w:val="clear" w:color="auto" w:fill="auto"/>
            <w:noWrap/>
            <w:tcMar>
              <w:left w:w="57" w:type="dxa"/>
              <w:right w:w="57" w:type="dxa"/>
            </w:tcMar>
            <w:hideMark/>
          </w:tcPr>
          <w:p w:rsidR="00612FD3" w:rsidRPr="00C74E5B" w:rsidRDefault="00612FD3" w:rsidP="00301B6D">
            <w:pPr>
              <w:pStyle w:val="TableUnit"/>
              <w:rPr>
                <w:vertAlign w:val="superscript"/>
              </w:rPr>
            </w:pPr>
            <w:r w:rsidRPr="006620C8">
              <w:t>$/m</w:t>
            </w:r>
            <w:r>
              <w:rPr>
                <w:vertAlign w:val="superscript"/>
              </w:rPr>
              <w:t>2</w:t>
            </w:r>
          </w:p>
        </w:tc>
        <w:tc>
          <w:tcPr>
            <w:tcW w:w="708" w:type="dxa"/>
            <w:tcBorders>
              <w:bottom w:val="single" w:sz="8" w:space="0" w:color="FFFFFF" w:themeColor="background1"/>
            </w:tcBorders>
            <w:shd w:val="clear" w:color="auto" w:fill="auto"/>
            <w:noWrap/>
            <w:tcMar>
              <w:left w:w="57" w:type="dxa"/>
              <w:right w:w="57" w:type="dxa"/>
            </w:tcMar>
            <w:hideMark/>
          </w:tcPr>
          <w:p w:rsidR="00612FD3" w:rsidRPr="00C74E5B" w:rsidRDefault="00612FD3" w:rsidP="00301B6D">
            <w:pPr>
              <w:pStyle w:val="TableUnit"/>
              <w:rPr>
                <w:vertAlign w:val="superscript"/>
              </w:rPr>
            </w:pPr>
            <w:r w:rsidRPr="006620C8">
              <w:t>$/m</w:t>
            </w:r>
            <w:r>
              <w:rPr>
                <w:vertAlign w:val="superscript"/>
              </w:rPr>
              <w:t>2</w:t>
            </w:r>
          </w:p>
        </w:tc>
        <w:tc>
          <w:tcPr>
            <w:tcW w:w="2833" w:type="dxa"/>
            <w:tcBorders>
              <w:bottom w:val="single" w:sz="8" w:space="0" w:color="FFFFFF" w:themeColor="background1"/>
            </w:tcBorders>
            <w:shd w:val="clear" w:color="auto" w:fill="auto"/>
            <w:noWrap/>
            <w:tcMar>
              <w:left w:w="57" w:type="dxa"/>
              <w:right w:w="57" w:type="dxa"/>
            </w:tcMar>
            <w:hideMark/>
          </w:tcPr>
          <w:p w:rsidR="00612FD3" w:rsidRPr="006620C8" w:rsidRDefault="00612FD3" w:rsidP="00301B6D">
            <w:pPr>
              <w:pStyle w:val="TableUnit"/>
              <w:jc w:val="left"/>
            </w:pPr>
          </w:p>
        </w:tc>
      </w:tr>
      <w:tr w:rsidR="00612FD3" w:rsidRPr="006620C8" w:rsidTr="0045144D">
        <w:trPr>
          <w:trHeight w:val="245"/>
        </w:trPr>
        <w:tc>
          <w:tcPr>
            <w:tcW w:w="170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12FD3" w:rsidRPr="006620C8" w:rsidRDefault="00612FD3" w:rsidP="0032647A">
            <w:pPr>
              <w:pStyle w:val="TableDataEntries"/>
              <w:spacing w:before="30" w:after="30"/>
              <w:jc w:val="left"/>
            </w:pPr>
            <w:r w:rsidRPr="006620C8">
              <w:t>Quay Quarter Tower</w:t>
            </w:r>
          </w:p>
        </w:tc>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12FD3" w:rsidRPr="006620C8" w:rsidRDefault="00612FD3" w:rsidP="0032647A">
            <w:pPr>
              <w:pStyle w:val="TableDataEntries"/>
              <w:spacing w:before="30" w:after="30"/>
              <w:jc w:val="left"/>
            </w:pPr>
            <w:r w:rsidRPr="006620C8">
              <w:t>Sydney</w:t>
            </w:r>
          </w:p>
        </w:tc>
        <w:tc>
          <w:tcPr>
            <w:tcW w:w="85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12FD3" w:rsidRPr="006620C8" w:rsidRDefault="00612FD3" w:rsidP="0032647A">
            <w:pPr>
              <w:pStyle w:val="TableDataEntries"/>
              <w:spacing w:before="30" w:after="30"/>
              <w:jc w:val="left"/>
            </w:pPr>
            <w:r w:rsidRPr="006620C8">
              <w:t>5, 6</w:t>
            </w:r>
          </w:p>
        </w:tc>
        <w:tc>
          <w:tcPr>
            <w:tcW w:w="70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12FD3" w:rsidRPr="006620C8" w:rsidRDefault="00612FD3" w:rsidP="0032647A">
            <w:pPr>
              <w:pStyle w:val="TableDataEntries"/>
              <w:spacing w:before="30" w:after="30"/>
            </w:pPr>
            <w:r w:rsidRPr="006620C8">
              <w:t>13.6</w:t>
            </w:r>
          </w:p>
        </w:tc>
        <w:tc>
          <w:tcPr>
            <w:tcW w:w="70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12FD3" w:rsidRPr="006620C8" w:rsidRDefault="00612FD3" w:rsidP="0032647A">
            <w:pPr>
              <w:pStyle w:val="TableDataEntries"/>
              <w:spacing w:before="30" w:after="30"/>
            </w:pPr>
            <w:r w:rsidRPr="006620C8">
              <w:t>25.9</w:t>
            </w:r>
          </w:p>
        </w:tc>
        <w:tc>
          <w:tcPr>
            <w:tcW w:w="283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12FD3" w:rsidRPr="008B2C05" w:rsidRDefault="00612FD3" w:rsidP="0032647A">
            <w:pPr>
              <w:pStyle w:val="TableDataEntries"/>
              <w:spacing w:before="30" w:after="30"/>
              <w:jc w:val="left"/>
              <w:rPr>
                <w:vertAlign w:val="superscript"/>
              </w:rPr>
            </w:pPr>
            <w:r>
              <w:t>Fabric cost increase by $7.95-$14.55/m</w:t>
            </w:r>
            <w:r>
              <w:rPr>
                <w:vertAlign w:val="superscript"/>
              </w:rPr>
              <w:t>2</w:t>
            </w:r>
            <w:r>
              <w:t xml:space="preserve"> including shading, body tint for windows; heat reclaim system costs $5.68-$11.36/m</w:t>
            </w:r>
            <w:r>
              <w:rPr>
                <w:vertAlign w:val="superscript"/>
              </w:rPr>
              <w:t>2</w:t>
            </w:r>
          </w:p>
        </w:tc>
      </w:tr>
      <w:tr w:rsidR="00612FD3" w:rsidRPr="006620C8" w:rsidTr="0045144D">
        <w:trPr>
          <w:trHeight w:val="245"/>
        </w:trPr>
        <w:tc>
          <w:tcPr>
            <w:tcW w:w="170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12FD3" w:rsidRPr="006620C8" w:rsidRDefault="00612FD3" w:rsidP="0032647A">
            <w:pPr>
              <w:pStyle w:val="TableDataEntries"/>
              <w:spacing w:before="30" w:after="30"/>
              <w:jc w:val="left"/>
            </w:pPr>
            <w:r w:rsidRPr="006620C8">
              <w:t>Bupa Care Templestowe</w:t>
            </w:r>
            <w:r w:rsidR="00B749FC">
              <w:t>*</w:t>
            </w:r>
          </w:p>
        </w:tc>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12FD3" w:rsidRPr="006620C8" w:rsidRDefault="00612FD3" w:rsidP="0032647A">
            <w:pPr>
              <w:pStyle w:val="TableDataEntries"/>
              <w:spacing w:before="30" w:after="30"/>
              <w:jc w:val="left"/>
            </w:pPr>
            <w:r w:rsidRPr="006620C8">
              <w:t>Templestowe, Vic</w:t>
            </w:r>
          </w:p>
        </w:tc>
        <w:tc>
          <w:tcPr>
            <w:tcW w:w="85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12FD3" w:rsidRPr="006620C8" w:rsidRDefault="00612FD3" w:rsidP="0032647A">
            <w:pPr>
              <w:pStyle w:val="TableDataEntries"/>
              <w:spacing w:before="30" w:after="30"/>
              <w:jc w:val="left"/>
            </w:pPr>
            <w:r w:rsidRPr="006620C8">
              <w:t>9c</w:t>
            </w:r>
          </w:p>
        </w:tc>
        <w:tc>
          <w:tcPr>
            <w:tcW w:w="70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12FD3" w:rsidRPr="006620C8" w:rsidRDefault="00612FD3" w:rsidP="0032647A">
            <w:pPr>
              <w:pStyle w:val="TableDataEntries"/>
              <w:spacing w:before="30" w:after="30"/>
            </w:pPr>
            <w:r w:rsidRPr="006620C8">
              <w:t>39.2</w:t>
            </w:r>
          </w:p>
        </w:tc>
        <w:tc>
          <w:tcPr>
            <w:tcW w:w="70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12FD3" w:rsidRPr="006620C8" w:rsidRDefault="00612FD3" w:rsidP="0032647A">
            <w:pPr>
              <w:pStyle w:val="TableDataEntries"/>
              <w:spacing w:before="30" w:after="30"/>
            </w:pPr>
            <w:r w:rsidRPr="006620C8">
              <w:t>49.1</w:t>
            </w:r>
          </w:p>
        </w:tc>
        <w:tc>
          <w:tcPr>
            <w:tcW w:w="283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12FD3" w:rsidRPr="008B2C05" w:rsidRDefault="00612FD3" w:rsidP="0032647A">
            <w:pPr>
              <w:pStyle w:val="TableDataEntries"/>
              <w:spacing w:before="30" w:after="30"/>
              <w:jc w:val="left"/>
            </w:pPr>
            <w:r>
              <w:t>Fabric costs increase by $20.6/m</w:t>
            </w:r>
            <w:r>
              <w:rPr>
                <w:vertAlign w:val="superscript"/>
              </w:rPr>
              <w:t>2</w:t>
            </w:r>
            <w:r>
              <w:t xml:space="preserve"> including roof and floor insulation, window tint and shading; services and equipment costs up by $18.5-$28.5/m</w:t>
            </w:r>
            <w:r>
              <w:rPr>
                <w:vertAlign w:val="superscript"/>
              </w:rPr>
              <w:t>2</w:t>
            </w:r>
            <w:r>
              <w:t xml:space="preserve"> </w:t>
            </w:r>
          </w:p>
        </w:tc>
      </w:tr>
      <w:tr w:rsidR="00612FD3" w:rsidRPr="006620C8" w:rsidTr="0045144D">
        <w:trPr>
          <w:trHeight w:val="245"/>
        </w:trPr>
        <w:tc>
          <w:tcPr>
            <w:tcW w:w="170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12FD3" w:rsidRPr="006620C8" w:rsidRDefault="00612FD3" w:rsidP="0032647A">
            <w:pPr>
              <w:pStyle w:val="TableDataEntries"/>
              <w:spacing w:before="30" w:after="30"/>
              <w:jc w:val="left"/>
            </w:pPr>
            <w:r w:rsidRPr="006620C8">
              <w:t>Bupa Care Stirling</w:t>
            </w:r>
            <w:r w:rsidR="00B749FC">
              <w:t>*</w:t>
            </w:r>
          </w:p>
        </w:tc>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12FD3" w:rsidRPr="006620C8" w:rsidRDefault="00612FD3" w:rsidP="0032647A">
            <w:pPr>
              <w:pStyle w:val="TableDataEntries"/>
              <w:spacing w:before="30" w:after="30"/>
              <w:jc w:val="left"/>
            </w:pPr>
            <w:r w:rsidRPr="006620C8">
              <w:t>ACT</w:t>
            </w:r>
          </w:p>
        </w:tc>
        <w:tc>
          <w:tcPr>
            <w:tcW w:w="85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12FD3" w:rsidRPr="006620C8" w:rsidRDefault="00612FD3" w:rsidP="0032647A">
            <w:pPr>
              <w:pStyle w:val="TableDataEntries"/>
              <w:spacing w:before="30" w:after="30"/>
              <w:jc w:val="left"/>
            </w:pPr>
            <w:r w:rsidRPr="006620C8">
              <w:t>9c</w:t>
            </w:r>
          </w:p>
        </w:tc>
        <w:tc>
          <w:tcPr>
            <w:tcW w:w="70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12FD3" w:rsidRPr="006620C8" w:rsidRDefault="00612FD3" w:rsidP="0032647A">
            <w:pPr>
              <w:pStyle w:val="TableDataEntries"/>
              <w:spacing w:before="30" w:after="30"/>
            </w:pPr>
            <w:r w:rsidRPr="006620C8">
              <w:t>30.1</w:t>
            </w:r>
          </w:p>
        </w:tc>
        <w:tc>
          <w:tcPr>
            <w:tcW w:w="70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12FD3" w:rsidRPr="006620C8" w:rsidRDefault="00612FD3" w:rsidP="0032647A">
            <w:pPr>
              <w:pStyle w:val="TableDataEntries"/>
              <w:spacing w:before="30" w:after="30"/>
            </w:pPr>
            <w:r w:rsidRPr="006620C8">
              <w:t>39.9</w:t>
            </w:r>
          </w:p>
        </w:tc>
        <w:tc>
          <w:tcPr>
            <w:tcW w:w="283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12FD3" w:rsidRPr="008B2C05" w:rsidRDefault="00612FD3" w:rsidP="0032647A">
            <w:pPr>
              <w:pStyle w:val="TableDataEntries"/>
              <w:spacing w:before="30" w:after="30"/>
              <w:jc w:val="left"/>
            </w:pPr>
            <w:r>
              <w:t>Fabric costs increase by $10.6/m</w:t>
            </w:r>
            <w:r>
              <w:rPr>
                <w:vertAlign w:val="superscript"/>
              </w:rPr>
              <w:t>2</w:t>
            </w:r>
            <w:r>
              <w:t xml:space="preserve"> including roof and external wool insulation; window tint and shading; services and equipment costs up by $19.5-$29.3/m</w:t>
            </w:r>
            <w:r>
              <w:rPr>
                <w:vertAlign w:val="superscript"/>
              </w:rPr>
              <w:t>2</w:t>
            </w:r>
          </w:p>
        </w:tc>
      </w:tr>
      <w:tr w:rsidR="00612FD3" w:rsidRPr="006620C8" w:rsidTr="0045144D">
        <w:trPr>
          <w:trHeight w:val="245"/>
        </w:trPr>
        <w:tc>
          <w:tcPr>
            <w:tcW w:w="170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12FD3" w:rsidRPr="006620C8" w:rsidRDefault="00612FD3" w:rsidP="0032647A">
            <w:pPr>
              <w:pStyle w:val="TableDataEntries"/>
              <w:spacing w:before="30" w:after="30"/>
              <w:jc w:val="left"/>
            </w:pPr>
            <w:r w:rsidRPr="006620C8">
              <w:t>Shellharbour Civic Centre</w:t>
            </w:r>
          </w:p>
        </w:tc>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12FD3" w:rsidRPr="006620C8" w:rsidRDefault="00612FD3" w:rsidP="0032647A">
            <w:pPr>
              <w:pStyle w:val="TableDataEntries"/>
              <w:spacing w:before="30" w:after="30"/>
              <w:jc w:val="left"/>
            </w:pPr>
            <w:r w:rsidRPr="006620C8">
              <w:t>Shellharbour, NSW</w:t>
            </w:r>
          </w:p>
        </w:tc>
        <w:tc>
          <w:tcPr>
            <w:tcW w:w="85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12FD3" w:rsidRPr="006620C8" w:rsidRDefault="00612FD3" w:rsidP="0032647A">
            <w:pPr>
              <w:pStyle w:val="TableDataEntries"/>
              <w:spacing w:before="30" w:after="30"/>
              <w:jc w:val="left"/>
            </w:pPr>
            <w:r w:rsidRPr="006620C8">
              <w:t>5, 9b</w:t>
            </w:r>
          </w:p>
        </w:tc>
        <w:tc>
          <w:tcPr>
            <w:tcW w:w="70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12FD3" w:rsidRPr="006620C8" w:rsidRDefault="00612FD3" w:rsidP="0032647A">
            <w:pPr>
              <w:pStyle w:val="TableDataEntries"/>
              <w:spacing w:before="30" w:after="30"/>
            </w:pPr>
            <w:r w:rsidRPr="006620C8">
              <w:t>4.0</w:t>
            </w:r>
          </w:p>
        </w:tc>
        <w:tc>
          <w:tcPr>
            <w:tcW w:w="70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12FD3" w:rsidRPr="006620C8" w:rsidRDefault="00612FD3" w:rsidP="0032647A">
            <w:pPr>
              <w:pStyle w:val="TableDataEntries"/>
              <w:spacing w:before="30" w:after="30"/>
            </w:pPr>
            <w:r w:rsidRPr="006620C8">
              <w:t>4.0</w:t>
            </w:r>
          </w:p>
        </w:tc>
        <w:tc>
          <w:tcPr>
            <w:tcW w:w="283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12FD3" w:rsidRPr="006620C8" w:rsidRDefault="00612FD3" w:rsidP="0032647A">
            <w:pPr>
              <w:pStyle w:val="TableDataEntries"/>
              <w:spacing w:before="30" w:after="30"/>
              <w:jc w:val="left"/>
            </w:pPr>
            <w:r>
              <w:t xml:space="preserve">No cost change for façade </w:t>
            </w:r>
          </w:p>
        </w:tc>
      </w:tr>
      <w:tr w:rsidR="00612FD3" w:rsidRPr="006620C8" w:rsidTr="0045144D">
        <w:trPr>
          <w:trHeight w:val="245"/>
        </w:trPr>
        <w:tc>
          <w:tcPr>
            <w:tcW w:w="170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12FD3" w:rsidRPr="006620C8" w:rsidRDefault="00612FD3" w:rsidP="0032647A">
            <w:pPr>
              <w:pStyle w:val="TableDataEntries"/>
              <w:spacing w:before="30" w:after="30"/>
              <w:jc w:val="left"/>
            </w:pPr>
            <w:r w:rsidRPr="006620C8">
              <w:t>Mid-tier Office in Nedlands</w:t>
            </w:r>
          </w:p>
        </w:tc>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12FD3" w:rsidRPr="006620C8" w:rsidRDefault="00612FD3" w:rsidP="0032647A">
            <w:pPr>
              <w:pStyle w:val="TableDataEntries"/>
              <w:spacing w:before="30" w:after="30"/>
              <w:jc w:val="left"/>
            </w:pPr>
            <w:r w:rsidRPr="006620C8">
              <w:t>Nedlands, WA</w:t>
            </w:r>
          </w:p>
        </w:tc>
        <w:tc>
          <w:tcPr>
            <w:tcW w:w="85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12FD3" w:rsidRPr="006620C8" w:rsidRDefault="00612FD3" w:rsidP="0032647A">
            <w:pPr>
              <w:pStyle w:val="TableDataEntries"/>
              <w:spacing w:before="30" w:after="30"/>
              <w:jc w:val="left"/>
            </w:pPr>
            <w:r w:rsidRPr="006620C8">
              <w:t>5</w:t>
            </w:r>
          </w:p>
        </w:tc>
        <w:tc>
          <w:tcPr>
            <w:tcW w:w="70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12FD3" w:rsidRPr="006620C8" w:rsidRDefault="00612FD3" w:rsidP="0032647A">
            <w:pPr>
              <w:pStyle w:val="TableDataEntries"/>
              <w:spacing w:before="30" w:after="30"/>
            </w:pPr>
            <w:r w:rsidRPr="006620C8">
              <w:t>55.2</w:t>
            </w:r>
          </w:p>
        </w:tc>
        <w:tc>
          <w:tcPr>
            <w:tcW w:w="70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12FD3" w:rsidRPr="006620C8" w:rsidRDefault="00612FD3" w:rsidP="0032647A">
            <w:pPr>
              <w:pStyle w:val="TableDataEntries"/>
              <w:spacing w:before="30" w:after="30"/>
            </w:pPr>
            <w:r w:rsidRPr="006620C8">
              <w:t>80.7</w:t>
            </w:r>
          </w:p>
        </w:tc>
        <w:tc>
          <w:tcPr>
            <w:tcW w:w="283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12FD3" w:rsidRPr="004B0C47" w:rsidRDefault="00612FD3" w:rsidP="0032647A">
            <w:pPr>
              <w:pStyle w:val="TableDataEntries"/>
              <w:spacing w:before="30" w:after="30"/>
              <w:jc w:val="left"/>
              <w:rPr>
                <w:vertAlign w:val="superscript"/>
              </w:rPr>
            </w:pPr>
            <w:r>
              <w:t>Glass upgrades between $42.5-$63.7/m</w:t>
            </w:r>
            <w:r>
              <w:rPr>
                <w:vertAlign w:val="superscript"/>
              </w:rPr>
              <w:t>2</w:t>
            </w:r>
            <w:r>
              <w:t>; roof top solar panels cost $12.7-$17/m</w:t>
            </w:r>
            <w:r>
              <w:rPr>
                <w:vertAlign w:val="superscript"/>
              </w:rPr>
              <w:t>2</w:t>
            </w:r>
          </w:p>
        </w:tc>
      </w:tr>
      <w:tr w:rsidR="00612FD3" w:rsidRPr="006620C8" w:rsidTr="0045144D">
        <w:trPr>
          <w:trHeight w:val="245"/>
        </w:trPr>
        <w:tc>
          <w:tcPr>
            <w:tcW w:w="170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12FD3" w:rsidRPr="006620C8" w:rsidRDefault="00612FD3" w:rsidP="0032647A">
            <w:pPr>
              <w:pStyle w:val="TableDataEntries"/>
              <w:spacing w:before="30" w:after="30"/>
              <w:jc w:val="left"/>
            </w:pPr>
            <w:r w:rsidRPr="006620C8">
              <w:t>Roselands Boarding House</w:t>
            </w:r>
          </w:p>
        </w:tc>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12FD3" w:rsidRPr="006620C8" w:rsidRDefault="00612FD3" w:rsidP="0032647A">
            <w:pPr>
              <w:pStyle w:val="TableDataEntries"/>
              <w:spacing w:before="30" w:after="30"/>
              <w:jc w:val="left"/>
            </w:pPr>
            <w:r w:rsidRPr="006620C8">
              <w:t>Sydney</w:t>
            </w:r>
          </w:p>
        </w:tc>
        <w:tc>
          <w:tcPr>
            <w:tcW w:w="85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12FD3" w:rsidRPr="006620C8" w:rsidRDefault="00612FD3" w:rsidP="0032647A">
            <w:pPr>
              <w:pStyle w:val="TableDataEntries"/>
              <w:spacing w:before="30" w:after="30"/>
              <w:jc w:val="left"/>
            </w:pPr>
            <w:r w:rsidRPr="006620C8">
              <w:t>3</w:t>
            </w:r>
          </w:p>
        </w:tc>
        <w:tc>
          <w:tcPr>
            <w:tcW w:w="70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12FD3" w:rsidRPr="006620C8" w:rsidRDefault="00612FD3" w:rsidP="0032647A">
            <w:pPr>
              <w:pStyle w:val="TableDataEntries"/>
              <w:spacing w:before="30" w:after="30"/>
            </w:pPr>
            <w:r w:rsidRPr="006620C8">
              <w:t>129.5</w:t>
            </w:r>
          </w:p>
        </w:tc>
        <w:tc>
          <w:tcPr>
            <w:tcW w:w="70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12FD3" w:rsidRPr="006620C8" w:rsidRDefault="00612FD3" w:rsidP="0032647A">
            <w:pPr>
              <w:pStyle w:val="TableDataEntries"/>
              <w:spacing w:before="30" w:after="30"/>
            </w:pPr>
            <w:r w:rsidRPr="006620C8">
              <w:t>194.3</w:t>
            </w:r>
          </w:p>
        </w:tc>
        <w:tc>
          <w:tcPr>
            <w:tcW w:w="283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12FD3" w:rsidRPr="006620C8" w:rsidRDefault="00612FD3" w:rsidP="0032647A">
            <w:pPr>
              <w:pStyle w:val="TableDataEntries"/>
              <w:spacing w:before="30" w:after="30"/>
              <w:jc w:val="left"/>
            </w:pPr>
            <w:r>
              <w:t>Windows costs – upgrade to high performance double glazed systems (U2.5 and SHGC 0.5)</w:t>
            </w:r>
          </w:p>
        </w:tc>
      </w:tr>
      <w:tr w:rsidR="00612FD3" w:rsidRPr="006620C8" w:rsidTr="0045144D">
        <w:trPr>
          <w:trHeight w:val="245"/>
        </w:trPr>
        <w:tc>
          <w:tcPr>
            <w:tcW w:w="1701"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rsidR="00612FD3" w:rsidRPr="006620C8" w:rsidRDefault="00612FD3" w:rsidP="0032647A">
            <w:pPr>
              <w:pStyle w:val="TableDataEntries"/>
              <w:spacing w:before="30" w:after="30"/>
              <w:jc w:val="left"/>
            </w:pPr>
            <w:r w:rsidRPr="006620C8">
              <w:t>Willowdale Community Centre</w:t>
            </w:r>
          </w:p>
        </w:tc>
        <w:tc>
          <w:tcPr>
            <w:tcW w:w="1134"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rsidR="00612FD3" w:rsidRPr="006620C8" w:rsidRDefault="00612FD3" w:rsidP="0032647A">
            <w:pPr>
              <w:pStyle w:val="TableDataEntries"/>
              <w:spacing w:before="30" w:after="30"/>
              <w:jc w:val="left"/>
            </w:pPr>
            <w:r w:rsidRPr="006620C8">
              <w:t>Sydney</w:t>
            </w:r>
          </w:p>
        </w:tc>
        <w:tc>
          <w:tcPr>
            <w:tcW w:w="851"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rsidR="00612FD3" w:rsidRPr="006620C8" w:rsidRDefault="00612FD3" w:rsidP="0032647A">
            <w:pPr>
              <w:pStyle w:val="TableDataEntries"/>
              <w:spacing w:before="30" w:after="30"/>
              <w:jc w:val="left"/>
            </w:pPr>
            <w:r w:rsidRPr="006620C8">
              <w:t>9b</w:t>
            </w:r>
          </w:p>
        </w:tc>
        <w:tc>
          <w:tcPr>
            <w:tcW w:w="709"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rsidR="00612FD3" w:rsidRPr="006620C8" w:rsidRDefault="00612FD3" w:rsidP="0032647A">
            <w:pPr>
              <w:pStyle w:val="TableDataEntries"/>
              <w:spacing w:before="30" w:after="30"/>
            </w:pPr>
            <w:r w:rsidRPr="006620C8">
              <w:t>-13.9</w:t>
            </w:r>
          </w:p>
        </w:tc>
        <w:tc>
          <w:tcPr>
            <w:tcW w:w="708"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rsidR="00612FD3" w:rsidRPr="006620C8" w:rsidRDefault="00612FD3" w:rsidP="0032647A">
            <w:pPr>
              <w:pStyle w:val="TableDataEntries"/>
              <w:spacing w:before="30" w:after="30"/>
            </w:pPr>
            <w:r w:rsidRPr="006620C8">
              <w:t>-13.9</w:t>
            </w:r>
          </w:p>
        </w:tc>
        <w:tc>
          <w:tcPr>
            <w:tcW w:w="2833"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rsidR="00612FD3" w:rsidRPr="006620C8" w:rsidRDefault="00612FD3" w:rsidP="0032647A">
            <w:pPr>
              <w:pStyle w:val="TableDataEntries"/>
              <w:spacing w:before="30" w:after="30"/>
              <w:jc w:val="left"/>
            </w:pPr>
            <w:r w:rsidRPr="006620C8">
              <w:t>cheaper window</w:t>
            </w:r>
            <w:r>
              <w:t>s due to less effective stringency; small reduction in insulation cost and window installation costs (lighter windows used)</w:t>
            </w:r>
          </w:p>
        </w:tc>
      </w:tr>
    </w:tbl>
    <w:p w:rsidR="00612FD3" w:rsidRDefault="00612FD3" w:rsidP="0032647A">
      <w:pPr>
        <w:pStyle w:val="Note"/>
        <w:spacing w:before="20"/>
      </w:pPr>
      <w:r w:rsidRPr="007D1B4F">
        <w:rPr>
          <w:i/>
        </w:rPr>
        <w:t>Note:</w:t>
      </w:r>
      <w:r w:rsidRPr="00E879B8">
        <w:t xml:space="preserve"> </w:t>
      </w:r>
      <w:r>
        <w:t>see notes in table; negative cost indicates cost reduction</w:t>
      </w:r>
    </w:p>
    <w:p w:rsidR="00B749FC" w:rsidRPr="00B749FC" w:rsidRDefault="00B749FC" w:rsidP="0032647A">
      <w:pPr>
        <w:pStyle w:val="Source"/>
        <w:spacing w:before="20"/>
      </w:pPr>
      <w:r w:rsidRPr="00B749FC">
        <w:t>*</w:t>
      </w:r>
      <w:r>
        <w:t xml:space="preserve"> These buildings were compliant without modification under a JV3 </w:t>
      </w:r>
      <w:r w:rsidR="00487211">
        <w:t>compliance</w:t>
      </w:r>
      <w:r>
        <w:t xml:space="preserve"> pathway.</w:t>
      </w:r>
    </w:p>
    <w:p w:rsidR="00612FD3" w:rsidRDefault="00612FD3" w:rsidP="0032647A">
      <w:pPr>
        <w:pStyle w:val="Source"/>
        <w:spacing w:before="20"/>
        <w:rPr>
          <w:lang w:bidi="fa-IR"/>
        </w:rPr>
      </w:pPr>
      <w:r w:rsidRPr="00C74E5B">
        <w:rPr>
          <w:i/>
          <w:lang w:bidi="fa-IR"/>
        </w:rPr>
        <w:t>Source:</w:t>
      </w:r>
      <w:r>
        <w:rPr>
          <w:lang w:bidi="fa-IR"/>
        </w:rPr>
        <w:t xml:space="preserve"> CIE calculation based on case study reports</w:t>
      </w:r>
    </w:p>
    <w:p w:rsidR="00612FD3" w:rsidRDefault="00612FD3" w:rsidP="00612FD3">
      <w:pPr>
        <w:pStyle w:val="BodyText"/>
        <w:rPr>
          <w:lang w:eastAsia="en-US" w:bidi="fa-IR"/>
        </w:rPr>
      </w:pPr>
      <w:r>
        <w:rPr>
          <w:lang w:eastAsia="en-US"/>
        </w:rPr>
        <w:t>One explanation for the larger impact on construction costs in the case studies is that the proposed changes in the case studies often outperform the NCC2019 requirements.</w:t>
      </w:r>
      <w:r w:rsidR="00CA2A37">
        <w:rPr>
          <w:lang w:eastAsia="en-US"/>
        </w:rPr>
        <w:t xml:space="preserve"> </w:t>
      </w:r>
      <w:r>
        <w:rPr>
          <w:lang w:eastAsia="en-US" w:bidi="fa-IR"/>
        </w:rPr>
        <w:t xml:space="preserve">As shown in table </w:t>
      </w:r>
      <w:r>
        <w:rPr>
          <w:lang w:eastAsia="en-US" w:bidi="fa-IR"/>
        </w:rPr>
        <w:fldChar w:fldCharType="begin"/>
      </w:r>
      <w:r>
        <w:rPr>
          <w:lang w:eastAsia="en-US" w:bidi="fa-IR"/>
        </w:rPr>
        <w:instrText xml:space="preserve"> REF _Caption1000 </w:instrText>
      </w:r>
      <w:r>
        <w:rPr>
          <w:lang w:eastAsia="en-US" w:bidi="fa-IR"/>
        </w:rPr>
        <w:fldChar w:fldCharType="separate"/>
      </w:r>
      <w:r w:rsidR="006B79B8">
        <w:rPr>
          <w:noProof/>
        </w:rPr>
        <w:t>5</w:t>
      </w:r>
      <w:r w:rsidR="006B79B8" w:rsidRPr="002B7F27">
        <w:rPr>
          <w:noProof/>
        </w:rPr>
        <w:t>.</w:t>
      </w:r>
      <w:r w:rsidR="006B79B8">
        <w:rPr>
          <w:noProof/>
        </w:rPr>
        <w:t>10</w:t>
      </w:r>
      <w:r>
        <w:rPr>
          <w:lang w:eastAsia="en-US" w:bidi="fa-IR"/>
        </w:rPr>
        <w:fldChar w:fldCharType="end"/>
      </w:r>
      <w:r>
        <w:rPr>
          <w:lang w:eastAsia="en-US" w:bidi="fa-IR"/>
        </w:rPr>
        <w:t>, proposed buildings in all studies except the Bupa Care Templestowe exceed the minimum requirement of the NCC 2019 Reference Building with lower energy consumption and greenhouse gas emissions.</w:t>
      </w:r>
    </w:p>
    <w:p w:rsidR="00612FD3" w:rsidRDefault="00612FD3" w:rsidP="0032647A">
      <w:pPr>
        <w:pStyle w:val="Caption"/>
        <w:spacing w:before="240"/>
      </w:pPr>
      <w:r w:rsidRPr="002B7F27">
        <w:fldChar w:fldCharType="begin"/>
      </w:r>
      <w:r w:rsidRPr="002B7F27">
        <w:instrText xml:space="preserve"> IF 1 = 1 "</w:instrText>
      </w:r>
      <w:r w:rsidRPr="002B7F27">
        <w:fldChar w:fldCharType="begin"/>
      </w:r>
      <w:r w:rsidRPr="002B7F27">
        <w:instrText xml:space="preserve"> IF </w:instrText>
      </w:r>
      <w:r w:rsidR="00BA0599" w:rsidRPr="002B7F27">
        <w:rPr>
          <w:noProof/>
        </w:rPr>
        <w:fldChar w:fldCharType="begin"/>
      </w:r>
      <w:r w:rsidR="00BA0599" w:rsidRPr="002B7F27">
        <w:rPr>
          <w:noProof/>
        </w:rPr>
        <w:instrText xml:space="preserve"> STYLEREF "Heading 6" \l \n </w:instrText>
      </w:r>
      <w:r w:rsidR="00BA0599" w:rsidRPr="002B7F27">
        <w:rPr>
          <w:noProof/>
        </w:rPr>
        <w:fldChar w:fldCharType="separate"/>
      </w:r>
      <w:r w:rsidR="00B833F1">
        <w:rPr>
          <w:noProof/>
        </w:rPr>
        <w:instrText>0</w:instrText>
      </w:r>
      <w:r w:rsidR="00BA0599" w:rsidRPr="002B7F27">
        <w:rPr>
          <w:noProof/>
        </w:rPr>
        <w:fldChar w:fldCharType="end"/>
      </w:r>
      <w:r w:rsidRPr="002B7F27">
        <w:instrText xml:space="preserve"> = 0 "</w:instrText>
      </w:r>
      <w:r w:rsidRPr="002B7F27">
        <w:fldChar w:fldCharType="begin"/>
      </w:r>
      <w:r w:rsidRPr="002B7F27">
        <w:instrText xml:space="preserve"> IF </w:instrText>
      </w:r>
      <w:r w:rsidR="00BA0599" w:rsidRPr="002B7F27">
        <w:rPr>
          <w:noProof/>
        </w:rPr>
        <w:fldChar w:fldCharType="begin"/>
      </w:r>
      <w:r w:rsidR="00BA0599" w:rsidRPr="002B7F27">
        <w:rPr>
          <w:noProof/>
        </w:rPr>
        <w:instrText xml:space="preserve"> STYLEREF "Heading 1" \l \n </w:instrText>
      </w:r>
      <w:r w:rsidR="00BA0599" w:rsidRPr="002B7F27">
        <w:rPr>
          <w:noProof/>
        </w:rPr>
        <w:fldChar w:fldCharType="separate"/>
      </w:r>
      <w:r w:rsidR="00B833F1">
        <w:rPr>
          <w:noProof/>
        </w:rPr>
        <w:instrText>5</w:instrText>
      </w:r>
      <w:r w:rsidR="00BA0599" w:rsidRPr="002B7F27">
        <w:rPr>
          <w:noProof/>
        </w:rPr>
        <w:fldChar w:fldCharType="end"/>
      </w:r>
      <w:r w:rsidRPr="002B7F27">
        <w:instrText xml:space="preserve"> = 0 "" "</w:instrText>
      </w:r>
      <w:r w:rsidR="00BA0599" w:rsidRPr="002B7F27">
        <w:rPr>
          <w:noProof/>
        </w:rPr>
        <w:fldChar w:fldCharType="begin"/>
      </w:r>
      <w:r w:rsidR="00BA0599" w:rsidRPr="002B7F27">
        <w:rPr>
          <w:noProof/>
        </w:rPr>
        <w:instrText xml:space="preserve"> STYLEREF "Heading 1" \l \n </w:instrText>
      </w:r>
      <w:r w:rsidR="00BA0599" w:rsidRPr="002B7F27">
        <w:rPr>
          <w:noProof/>
        </w:rPr>
        <w:fldChar w:fldCharType="separate"/>
      </w:r>
      <w:r w:rsidR="00B833F1">
        <w:rPr>
          <w:noProof/>
        </w:rPr>
        <w:instrText>5</w:instrText>
      </w:r>
      <w:r w:rsidR="00BA0599" w:rsidRPr="002B7F27">
        <w:rPr>
          <w:noProof/>
        </w:rPr>
        <w:fldChar w:fldCharType="end"/>
      </w:r>
      <w:r w:rsidRPr="002B7F27">
        <w:instrText xml:space="preserve">." </w:instrText>
      </w:r>
      <w:r w:rsidRPr="002B7F27">
        <w:fldChar w:fldCharType="separate"/>
      </w:r>
      <w:r w:rsidR="00B833F1">
        <w:rPr>
          <w:noProof/>
        </w:rPr>
        <w:instrText>5</w:instrText>
      </w:r>
      <w:r w:rsidR="00B833F1" w:rsidRPr="002B7F27">
        <w:rPr>
          <w:noProof/>
        </w:rPr>
        <w:instrText>.</w:instrText>
      </w:r>
      <w:r w:rsidRPr="002B7F27">
        <w:fldChar w:fldCharType="end"/>
      </w:r>
      <w:r w:rsidRPr="002B7F27">
        <w:instrText>" "</w:instrText>
      </w:r>
      <w:r w:rsidR="001F6F43">
        <w:fldChar w:fldCharType="begin"/>
      </w:r>
      <w:r w:rsidR="001F6F43">
        <w:instrText xml:space="preserve"> STYLEREF "Heading 6" \l \n </w:instrText>
      </w:r>
      <w:r w:rsidR="001F6F43">
        <w:fldChar w:fldCharType="separate"/>
      </w:r>
      <w:r w:rsidRPr="002B7F27">
        <w:instrText>B</w:instrText>
      </w:r>
      <w:r w:rsidR="001F6F43">
        <w:fldChar w:fldCharType="end"/>
      </w:r>
      <w:r w:rsidRPr="002B7F27">
        <w:instrText xml:space="preserve">." </w:instrText>
      </w:r>
      <w:r w:rsidRPr="002B7F27">
        <w:fldChar w:fldCharType="separate"/>
      </w:r>
      <w:r w:rsidR="00EA42ED">
        <w:rPr>
          <w:noProof/>
        </w:rPr>
        <w:instrText>5</w:instrText>
      </w:r>
      <w:r w:rsidR="00EA42ED" w:rsidRPr="002B7F27">
        <w:rPr>
          <w:noProof/>
        </w:rPr>
        <w:instrText>.</w:instrText>
      </w:r>
      <w:r w:rsidRPr="002B7F27">
        <w:fldChar w:fldCharType="end"/>
      </w:r>
      <w:r w:rsidRPr="002B7F27">
        <w:fldChar w:fldCharType="begin"/>
      </w:r>
      <w:r w:rsidRPr="002B7F27">
        <w:instrText xml:space="preserve"> SEQ Item \* ARABIC \s </w:instrText>
      </w:r>
      <w:r w:rsidRPr="002B7F27">
        <w:fldChar w:fldCharType="begin"/>
      </w:r>
      <w:r w:rsidRPr="002B7F27">
        <w:instrText xml:space="preserve"> IF </w:instrText>
      </w:r>
      <w:r w:rsidR="00BA0599" w:rsidRPr="002B7F27">
        <w:rPr>
          <w:noProof/>
        </w:rPr>
        <w:fldChar w:fldCharType="begin"/>
      </w:r>
      <w:r w:rsidR="00BA0599" w:rsidRPr="002B7F27">
        <w:rPr>
          <w:noProof/>
        </w:rPr>
        <w:instrText xml:space="preserve"> STYLEREF "Heading 6" \l \n </w:instrText>
      </w:r>
      <w:r w:rsidR="00BA0599" w:rsidRPr="002B7F27">
        <w:rPr>
          <w:noProof/>
        </w:rPr>
        <w:fldChar w:fldCharType="separate"/>
      </w:r>
      <w:r w:rsidR="00B833F1">
        <w:rPr>
          <w:noProof/>
        </w:rPr>
        <w:instrText>0</w:instrText>
      </w:r>
      <w:r w:rsidR="00BA0599" w:rsidRPr="002B7F27">
        <w:rPr>
          <w:noProof/>
        </w:rPr>
        <w:fldChar w:fldCharType="end"/>
      </w:r>
      <w:r w:rsidRPr="002B7F27">
        <w:instrText xml:space="preserve"> = 0 "</w:instrText>
      </w:r>
      <w:r w:rsidRPr="002B7F27">
        <w:fldChar w:fldCharType="begin"/>
      </w:r>
      <w:r w:rsidRPr="002B7F27">
        <w:instrText xml:space="preserve"> IF </w:instrText>
      </w:r>
      <w:r w:rsidR="00BA0599" w:rsidRPr="002B7F27">
        <w:rPr>
          <w:noProof/>
        </w:rPr>
        <w:fldChar w:fldCharType="begin"/>
      </w:r>
      <w:r w:rsidR="00BA0599" w:rsidRPr="002B7F27">
        <w:rPr>
          <w:noProof/>
        </w:rPr>
        <w:instrText xml:space="preserve"> STYLEREF "Heading 1" \l \n </w:instrText>
      </w:r>
      <w:r w:rsidR="00BA0599" w:rsidRPr="002B7F27">
        <w:rPr>
          <w:noProof/>
        </w:rPr>
        <w:fldChar w:fldCharType="separate"/>
      </w:r>
      <w:r w:rsidR="00B833F1">
        <w:rPr>
          <w:noProof/>
        </w:rPr>
        <w:instrText>5</w:instrText>
      </w:r>
      <w:r w:rsidR="00BA0599" w:rsidRPr="002B7F27">
        <w:rPr>
          <w:noProof/>
        </w:rPr>
        <w:fldChar w:fldCharType="end"/>
      </w:r>
      <w:r w:rsidRPr="002B7F27">
        <w:instrText xml:space="preserve"> = 0 "" "1" </w:instrText>
      </w:r>
      <w:r w:rsidRPr="002B7F27">
        <w:fldChar w:fldCharType="separate"/>
      </w:r>
      <w:r w:rsidR="00EA42ED" w:rsidRPr="002B7F27">
        <w:rPr>
          <w:noProof/>
        </w:rPr>
        <w:instrText>1</w:instrText>
      </w:r>
      <w:r w:rsidRPr="002B7F27">
        <w:fldChar w:fldCharType="end"/>
      </w:r>
      <w:r w:rsidRPr="002B7F27">
        <w:instrText xml:space="preserve">" "6" </w:instrText>
      </w:r>
      <w:r w:rsidRPr="002B7F27">
        <w:fldChar w:fldCharType="separate"/>
      </w:r>
      <w:r w:rsidR="00EA42ED" w:rsidRPr="002B7F27">
        <w:rPr>
          <w:noProof/>
        </w:rPr>
        <w:instrText>1</w:instrText>
      </w:r>
      <w:r w:rsidRPr="002B7F27">
        <w:fldChar w:fldCharType="end"/>
      </w:r>
      <w:r w:rsidRPr="002B7F27">
        <w:instrText xml:space="preserve"> </w:instrText>
      </w:r>
      <w:r w:rsidRPr="002B7F27">
        <w:fldChar w:fldCharType="separate"/>
      </w:r>
      <w:r w:rsidR="00B833F1">
        <w:rPr>
          <w:noProof/>
        </w:rPr>
        <w:instrText>10</w:instrText>
      </w:r>
      <w:r w:rsidRPr="002B7F27">
        <w:fldChar w:fldCharType="end"/>
      </w:r>
      <w:r w:rsidRPr="002B7F27">
        <w:instrText xml:space="preserve">" "" </w:instrText>
      </w:r>
      <w:r w:rsidRPr="002B7F27">
        <w:fldChar w:fldCharType="separate"/>
      </w:r>
      <w:bookmarkStart w:id="2035" w:name="_Caption5675"/>
      <w:bookmarkStart w:id="2036" w:name="_Caption7597"/>
      <w:bookmarkStart w:id="2037" w:name="_Caption3174"/>
      <w:bookmarkStart w:id="2038" w:name="_Caption7341"/>
      <w:bookmarkStart w:id="2039" w:name="_Caption0855"/>
      <w:bookmarkStart w:id="2040" w:name="_Caption6420"/>
      <w:bookmarkStart w:id="2041" w:name="_Caption0032"/>
      <w:bookmarkStart w:id="2042" w:name="_Caption2046"/>
      <w:bookmarkStart w:id="2043" w:name="_Caption4668"/>
      <w:bookmarkStart w:id="2044" w:name="_Caption0380"/>
      <w:bookmarkStart w:id="2045" w:name="_Caption9988"/>
      <w:bookmarkStart w:id="2046" w:name="_Caption8655"/>
      <w:bookmarkStart w:id="2047" w:name="_Caption9432"/>
      <w:bookmarkStart w:id="2048" w:name="_Caption2069"/>
      <w:bookmarkStart w:id="2049" w:name="_Caption0859"/>
      <w:bookmarkStart w:id="2050" w:name="_Caption6271"/>
      <w:bookmarkStart w:id="2051" w:name="_Caption3620"/>
      <w:bookmarkStart w:id="2052" w:name="_Caption2987"/>
      <w:bookmarkStart w:id="2053" w:name="_Caption8669"/>
      <w:bookmarkStart w:id="2054" w:name="_Caption3665"/>
      <w:bookmarkStart w:id="2055" w:name="_Caption3801"/>
      <w:bookmarkStart w:id="2056" w:name="_Caption9753"/>
      <w:bookmarkStart w:id="2057" w:name="_Caption9165"/>
      <w:bookmarkStart w:id="2058" w:name="_Caption7002"/>
      <w:bookmarkStart w:id="2059" w:name="_Caption7030"/>
      <w:bookmarkStart w:id="2060" w:name="_Caption9148"/>
      <w:bookmarkStart w:id="2061" w:name="_Caption1936"/>
      <w:bookmarkStart w:id="2062" w:name="_Caption1220"/>
      <w:bookmarkStart w:id="2063" w:name="_Caption8077"/>
      <w:bookmarkStart w:id="2064" w:name="_Caption4955"/>
      <w:bookmarkStart w:id="2065" w:name="_Caption4192"/>
      <w:bookmarkStart w:id="2066" w:name="_Caption8485"/>
      <w:bookmarkStart w:id="2067" w:name="_Caption0198"/>
      <w:bookmarkStart w:id="2068" w:name="_Caption1000"/>
      <w:bookmarkStart w:id="2069" w:name="_Caption6967"/>
      <w:bookmarkStart w:id="2070" w:name="_Caption4043"/>
      <w:bookmarkStart w:id="2071" w:name="_Caption6088"/>
      <w:bookmarkStart w:id="2072" w:name="_Caption7179"/>
      <w:bookmarkStart w:id="2073" w:name="_Caption4553"/>
      <w:bookmarkStart w:id="2074" w:name="_Caption6960"/>
      <w:bookmarkStart w:id="2075" w:name="_Caption8009"/>
      <w:bookmarkStart w:id="2076" w:name="_Caption0302"/>
      <w:bookmarkStart w:id="2077" w:name="_Caption9782"/>
      <w:bookmarkStart w:id="2078" w:name="_Caption4489"/>
      <w:bookmarkStart w:id="2079" w:name="_Caption4114"/>
      <w:bookmarkStart w:id="2080" w:name="_Caption5444"/>
      <w:bookmarkStart w:id="2081" w:name="_Caption1027"/>
      <w:bookmarkStart w:id="2082" w:name="_Caption3880"/>
      <w:bookmarkStart w:id="2083" w:name="_Caption0895"/>
      <w:bookmarkStart w:id="2084" w:name="_Caption1561"/>
      <w:bookmarkStart w:id="2085" w:name="_Caption2523"/>
      <w:bookmarkStart w:id="2086" w:name="_Caption3676"/>
      <w:bookmarkStart w:id="2087" w:name="_Caption9472"/>
      <w:bookmarkStart w:id="2088" w:name="_Caption8349"/>
      <w:bookmarkStart w:id="2089" w:name="_Caption2936"/>
      <w:bookmarkStart w:id="2090" w:name="_Caption6109"/>
      <w:bookmarkStart w:id="2091" w:name="_Caption1353"/>
      <w:bookmarkStart w:id="2092" w:name="_Caption2780"/>
      <w:bookmarkStart w:id="2093" w:name="_Caption2234"/>
      <w:bookmarkStart w:id="2094" w:name="_Caption9725"/>
      <w:bookmarkStart w:id="2095" w:name="_Caption5280"/>
      <w:bookmarkStart w:id="2096" w:name="_Caption1847"/>
      <w:bookmarkStart w:id="2097" w:name="_Caption6135"/>
      <w:bookmarkStart w:id="2098" w:name="_Caption4677"/>
      <w:bookmarkStart w:id="2099" w:name="_Caption7580"/>
      <w:bookmarkStart w:id="2100" w:name="_Caption4697"/>
      <w:bookmarkStart w:id="2101" w:name="_Caption9010"/>
      <w:bookmarkStart w:id="2102" w:name="_Caption8207"/>
      <w:bookmarkStart w:id="2103" w:name="_Toc529869918"/>
      <w:bookmarkStart w:id="2104" w:name="_Toc530748414"/>
      <w:r w:rsidR="00EA42ED">
        <w:rPr>
          <w:noProof/>
        </w:rPr>
        <w:t>5</w:t>
      </w:r>
      <w:r w:rsidR="00EA42ED" w:rsidRPr="002B7F27">
        <w:rPr>
          <w:noProof/>
        </w:rPr>
        <w:t>.</w:t>
      </w:r>
      <w:r w:rsidR="00EA42ED">
        <w:rPr>
          <w:noProof/>
        </w:rPr>
        <w:t>10</w:t>
      </w:r>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r w:rsidRPr="002B7F27">
        <w:fldChar w:fldCharType="end"/>
      </w:r>
      <w:r w:rsidRPr="002B7F27">
        <w:tab/>
        <w:t>Proposed building compared to NCC2019 reference building</w:t>
      </w:r>
      <w:bookmarkEnd w:id="2103"/>
      <w:bookmarkEnd w:id="2104"/>
    </w:p>
    <w:tbl>
      <w:tblPr>
        <w:tblW w:w="7937" w:type="dxa"/>
        <w:tblLook w:val="04A0" w:firstRow="1" w:lastRow="0" w:firstColumn="1" w:lastColumn="0" w:noHBand="0" w:noVBand="1"/>
        <w:tblCaption w:val="Table 5.10: Proposed building compared to NCC 2019 reference building"/>
        <w:tblDescription w:val="This table shows the proposed energy consumption and reduction in greenhouse gas emssions as a result of the proposed changes to NCC 2019. It shows that all buildings with the exception of one experience a fall in construction costs as well as a reduction in GHG emissions. "/>
      </w:tblPr>
      <w:tblGrid>
        <w:gridCol w:w="3829"/>
        <w:gridCol w:w="2403"/>
        <w:gridCol w:w="1705"/>
      </w:tblGrid>
      <w:tr w:rsidR="00612FD3" w:rsidRPr="00334646" w:rsidTr="00301B6D">
        <w:trPr>
          <w:trHeight w:val="245"/>
        </w:trPr>
        <w:tc>
          <w:tcPr>
            <w:tcW w:w="3829" w:type="dxa"/>
            <w:shd w:val="clear" w:color="auto" w:fill="6F6652"/>
            <w:noWrap/>
            <w:tcMar>
              <w:left w:w="57" w:type="dxa"/>
              <w:right w:w="57" w:type="dxa"/>
            </w:tcMar>
            <w:hideMark/>
          </w:tcPr>
          <w:p w:rsidR="00612FD3" w:rsidRPr="00334646" w:rsidRDefault="00612FD3" w:rsidP="00301B6D">
            <w:pPr>
              <w:pStyle w:val="TableDataColumnHeading"/>
              <w:jc w:val="left"/>
            </w:pPr>
            <w:r>
              <w:t>Project Name</w:t>
            </w:r>
          </w:p>
        </w:tc>
        <w:tc>
          <w:tcPr>
            <w:tcW w:w="2403" w:type="dxa"/>
            <w:shd w:val="clear" w:color="auto" w:fill="6F6652"/>
            <w:noWrap/>
            <w:tcMar>
              <w:left w:w="57" w:type="dxa"/>
              <w:right w:w="57" w:type="dxa"/>
            </w:tcMar>
            <w:hideMark/>
          </w:tcPr>
          <w:p w:rsidR="00612FD3" w:rsidRPr="00334646" w:rsidRDefault="00612FD3" w:rsidP="00301B6D">
            <w:pPr>
              <w:pStyle w:val="TableDataColumnHeading"/>
              <w:rPr>
                <w:szCs w:val="16"/>
              </w:rPr>
            </w:pPr>
            <w:r w:rsidRPr="00334646">
              <w:rPr>
                <w:szCs w:val="16"/>
              </w:rPr>
              <w:t>Energy</w:t>
            </w:r>
            <w:r>
              <w:rPr>
                <w:szCs w:val="16"/>
              </w:rPr>
              <w:t xml:space="preserve"> consumption</w:t>
            </w:r>
          </w:p>
        </w:tc>
        <w:tc>
          <w:tcPr>
            <w:tcW w:w="1705" w:type="dxa"/>
            <w:shd w:val="clear" w:color="auto" w:fill="6F6652"/>
            <w:noWrap/>
            <w:tcMar>
              <w:left w:w="57" w:type="dxa"/>
              <w:right w:w="57" w:type="dxa"/>
            </w:tcMar>
            <w:hideMark/>
          </w:tcPr>
          <w:p w:rsidR="00612FD3" w:rsidRPr="00334646" w:rsidRDefault="00612FD3" w:rsidP="00301B6D">
            <w:pPr>
              <w:pStyle w:val="TableDataColumnHeading"/>
              <w:rPr>
                <w:szCs w:val="16"/>
              </w:rPr>
            </w:pPr>
            <w:r>
              <w:rPr>
                <w:szCs w:val="16"/>
              </w:rPr>
              <w:t>GHG e</w:t>
            </w:r>
            <w:r w:rsidRPr="00334646">
              <w:rPr>
                <w:szCs w:val="16"/>
              </w:rPr>
              <w:t>missions</w:t>
            </w:r>
          </w:p>
        </w:tc>
      </w:tr>
      <w:tr w:rsidR="00612FD3" w:rsidRPr="00334646" w:rsidTr="00301B6D">
        <w:trPr>
          <w:trHeight w:val="245"/>
        </w:trPr>
        <w:tc>
          <w:tcPr>
            <w:tcW w:w="3829" w:type="dxa"/>
            <w:tcBorders>
              <w:bottom w:val="single" w:sz="8" w:space="0" w:color="FFFFFF" w:themeColor="background1"/>
            </w:tcBorders>
            <w:shd w:val="clear" w:color="auto" w:fill="auto"/>
            <w:noWrap/>
            <w:tcMar>
              <w:left w:w="57" w:type="dxa"/>
              <w:right w:w="57" w:type="dxa"/>
            </w:tcMar>
            <w:hideMark/>
          </w:tcPr>
          <w:p w:rsidR="00612FD3" w:rsidRPr="00334646" w:rsidRDefault="00612FD3" w:rsidP="0032647A">
            <w:pPr>
              <w:pStyle w:val="TableUnit"/>
              <w:spacing w:before="70" w:after="70"/>
              <w:jc w:val="left"/>
            </w:pPr>
          </w:p>
        </w:tc>
        <w:tc>
          <w:tcPr>
            <w:tcW w:w="2403" w:type="dxa"/>
            <w:tcBorders>
              <w:bottom w:val="single" w:sz="8" w:space="0" w:color="FFFFFF" w:themeColor="background1"/>
            </w:tcBorders>
            <w:shd w:val="clear" w:color="auto" w:fill="auto"/>
            <w:noWrap/>
            <w:tcMar>
              <w:left w:w="57" w:type="dxa"/>
              <w:right w:w="57" w:type="dxa"/>
            </w:tcMar>
            <w:hideMark/>
          </w:tcPr>
          <w:p w:rsidR="00612FD3" w:rsidRPr="00334646" w:rsidRDefault="00612FD3" w:rsidP="0032647A">
            <w:pPr>
              <w:pStyle w:val="TableUnit"/>
              <w:spacing w:before="70" w:after="70"/>
            </w:pPr>
            <w:r w:rsidRPr="00334646">
              <w:t>%</w:t>
            </w:r>
          </w:p>
        </w:tc>
        <w:tc>
          <w:tcPr>
            <w:tcW w:w="1705" w:type="dxa"/>
            <w:tcBorders>
              <w:bottom w:val="single" w:sz="8" w:space="0" w:color="FFFFFF" w:themeColor="background1"/>
            </w:tcBorders>
            <w:shd w:val="clear" w:color="auto" w:fill="auto"/>
            <w:noWrap/>
            <w:tcMar>
              <w:left w:w="57" w:type="dxa"/>
              <w:right w:w="57" w:type="dxa"/>
            </w:tcMar>
            <w:hideMark/>
          </w:tcPr>
          <w:p w:rsidR="00612FD3" w:rsidRPr="00334646" w:rsidRDefault="00612FD3" w:rsidP="0032647A">
            <w:pPr>
              <w:pStyle w:val="TableUnit"/>
              <w:spacing w:before="70" w:after="70"/>
            </w:pPr>
            <w:r w:rsidRPr="00334646">
              <w:t>%</w:t>
            </w:r>
          </w:p>
        </w:tc>
      </w:tr>
      <w:tr w:rsidR="00612FD3" w:rsidRPr="00334646" w:rsidTr="00301B6D">
        <w:trPr>
          <w:trHeight w:val="245"/>
        </w:trPr>
        <w:tc>
          <w:tcPr>
            <w:tcW w:w="382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12FD3" w:rsidRPr="00334646" w:rsidRDefault="00612FD3" w:rsidP="00301B6D">
            <w:pPr>
              <w:pStyle w:val="TableDataEntries"/>
              <w:jc w:val="left"/>
            </w:pPr>
            <w:r w:rsidRPr="00334646">
              <w:t>Collins Arch Development</w:t>
            </w:r>
          </w:p>
        </w:tc>
        <w:tc>
          <w:tcPr>
            <w:tcW w:w="240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12FD3" w:rsidRPr="00334646" w:rsidRDefault="00612FD3" w:rsidP="00301B6D">
            <w:pPr>
              <w:pStyle w:val="TableDataEntries"/>
            </w:pPr>
            <w:r w:rsidRPr="00334646">
              <w:t>-4.3</w:t>
            </w:r>
          </w:p>
        </w:tc>
        <w:tc>
          <w:tcPr>
            <w:tcW w:w="170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12FD3" w:rsidRPr="00334646" w:rsidRDefault="00612FD3" w:rsidP="00301B6D">
            <w:pPr>
              <w:pStyle w:val="TableDataEntries"/>
            </w:pPr>
            <w:r w:rsidRPr="00334646">
              <w:t>-6.9</w:t>
            </w:r>
          </w:p>
        </w:tc>
      </w:tr>
      <w:tr w:rsidR="00612FD3" w:rsidRPr="00334646" w:rsidTr="00301B6D">
        <w:trPr>
          <w:trHeight w:val="245"/>
        </w:trPr>
        <w:tc>
          <w:tcPr>
            <w:tcW w:w="382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12FD3" w:rsidRPr="00334646" w:rsidRDefault="00612FD3" w:rsidP="00301B6D">
            <w:pPr>
              <w:pStyle w:val="TableDataEntries"/>
              <w:jc w:val="left"/>
            </w:pPr>
            <w:r w:rsidRPr="00334646">
              <w:t>Quay Quarter Tower</w:t>
            </w:r>
          </w:p>
        </w:tc>
        <w:tc>
          <w:tcPr>
            <w:tcW w:w="240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12FD3" w:rsidRPr="00334646" w:rsidRDefault="00612FD3" w:rsidP="00301B6D">
            <w:pPr>
              <w:pStyle w:val="TableDataEntries"/>
            </w:pPr>
            <w:r w:rsidRPr="00334646">
              <w:t>-0.1</w:t>
            </w:r>
          </w:p>
        </w:tc>
        <w:tc>
          <w:tcPr>
            <w:tcW w:w="170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12FD3" w:rsidRPr="00334646" w:rsidRDefault="00612FD3" w:rsidP="00301B6D">
            <w:pPr>
              <w:pStyle w:val="TableDataEntries"/>
            </w:pPr>
            <w:r w:rsidRPr="00334646">
              <w:t>-0.3</w:t>
            </w:r>
          </w:p>
        </w:tc>
      </w:tr>
      <w:tr w:rsidR="00612FD3" w:rsidRPr="00334646" w:rsidTr="00301B6D">
        <w:trPr>
          <w:trHeight w:val="245"/>
        </w:trPr>
        <w:tc>
          <w:tcPr>
            <w:tcW w:w="382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12FD3" w:rsidRPr="00334646" w:rsidRDefault="00612FD3" w:rsidP="00301B6D">
            <w:pPr>
              <w:pStyle w:val="TableDataEntries"/>
              <w:jc w:val="left"/>
            </w:pPr>
            <w:r w:rsidRPr="00334646">
              <w:t>Bupa Care Templestowe</w:t>
            </w:r>
          </w:p>
        </w:tc>
        <w:tc>
          <w:tcPr>
            <w:tcW w:w="240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12FD3" w:rsidRPr="00334646" w:rsidRDefault="00612FD3" w:rsidP="00301B6D">
            <w:pPr>
              <w:pStyle w:val="TableDataEntries"/>
            </w:pPr>
            <w:r w:rsidRPr="00334646">
              <w:t>0.2</w:t>
            </w:r>
          </w:p>
        </w:tc>
        <w:tc>
          <w:tcPr>
            <w:tcW w:w="170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12FD3" w:rsidRPr="00334646" w:rsidRDefault="00612FD3" w:rsidP="00301B6D">
            <w:pPr>
              <w:pStyle w:val="TableDataEntries"/>
            </w:pPr>
            <w:r w:rsidRPr="00334646">
              <w:t>0.2</w:t>
            </w:r>
          </w:p>
        </w:tc>
      </w:tr>
      <w:tr w:rsidR="00612FD3" w:rsidRPr="00334646" w:rsidTr="00301B6D">
        <w:trPr>
          <w:trHeight w:val="245"/>
        </w:trPr>
        <w:tc>
          <w:tcPr>
            <w:tcW w:w="382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12FD3" w:rsidRPr="00334646" w:rsidRDefault="00612FD3" w:rsidP="00301B6D">
            <w:pPr>
              <w:pStyle w:val="TableDataEntries"/>
              <w:jc w:val="left"/>
            </w:pPr>
            <w:r w:rsidRPr="00334646">
              <w:t>Bupa Care Stirling</w:t>
            </w:r>
          </w:p>
        </w:tc>
        <w:tc>
          <w:tcPr>
            <w:tcW w:w="240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12FD3" w:rsidRPr="00334646" w:rsidRDefault="00612FD3" w:rsidP="00301B6D">
            <w:pPr>
              <w:pStyle w:val="TableDataEntries"/>
            </w:pPr>
            <w:r w:rsidRPr="00334646">
              <w:t>-0.3</w:t>
            </w:r>
          </w:p>
        </w:tc>
        <w:tc>
          <w:tcPr>
            <w:tcW w:w="170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12FD3" w:rsidRPr="00334646" w:rsidRDefault="00612FD3" w:rsidP="00301B6D">
            <w:pPr>
              <w:pStyle w:val="TableDataEntries"/>
            </w:pPr>
            <w:r w:rsidRPr="00334646">
              <w:t>-0.3</w:t>
            </w:r>
          </w:p>
        </w:tc>
      </w:tr>
      <w:tr w:rsidR="00612FD3" w:rsidRPr="00334646" w:rsidTr="00301B6D">
        <w:trPr>
          <w:trHeight w:val="245"/>
        </w:trPr>
        <w:tc>
          <w:tcPr>
            <w:tcW w:w="382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12FD3" w:rsidRPr="00334646" w:rsidRDefault="00612FD3" w:rsidP="00301B6D">
            <w:pPr>
              <w:pStyle w:val="TableDataEntries"/>
              <w:jc w:val="left"/>
            </w:pPr>
            <w:r w:rsidRPr="00334646">
              <w:t>Shellharbour Civic Centre</w:t>
            </w:r>
          </w:p>
        </w:tc>
        <w:tc>
          <w:tcPr>
            <w:tcW w:w="240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12FD3" w:rsidRPr="00334646" w:rsidRDefault="00612FD3" w:rsidP="00301B6D">
            <w:pPr>
              <w:pStyle w:val="TableDataEntries"/>
            </w:pPr>
            <w:r w:rsidRPr="00334646">
              <w:t>-0.4</w:t>
            </w:r>
          </w:p>
        </w:tc>
        <w:tc>
          <w:tcPr>
            <w:tcW w:w="170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12FD3" w:rsidRPr="00334646" w:rsidRDefault="00612FD3" w:rsidP="00301B6D">
            <w:pPr>
              <w:pStyle w:val="TableDataEntries"/>
            </w:pPr>
            <w:r w:rsidRPr="00334646">
              <w:t>-1.3</w:t>
            </w:r>
          </w:p>
        </w:tc>
      </w:tr>
      <w:tr w:rsidR="00612FD3" w:rsidRPr="00334646" w:rsidTr="00301B6D">
        <w:trPr>
          <w:trHeight w:val="245"/>
        </w:trPr>
        <w:tc>
          <w:tcPr>
            <w:tcW w:w="382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12FD3" w:rsidRPr="00334646" w:rsidRDefault="00612FD3" w:rsidP="00301B6D">
            <w:pPr>
              <w:pStyle w:val="TableDataEntries"/>
              <w:jc w:val="left"/>
            </w:pPr>
            <w:r w:rsidRPr="00334646">
              <w:t>Roselands Boarding House</w:t>
            </w:r>
          </w:p>
        </w:tc>
        <w:tc>
          <w:tcPr>
            <w:tcW w:w="240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12FD3" w:rsidRPr="00334646" w:rsidRDefault="00612FD3" w:rsidP="00301B6D">
            <w:pPr>
              <w:pStyle w:val="TableDataEntries"/>
            </w:pPr>
            <w:r w:rsidRPr="00334646">
              <w:t>-0.6</w:t>
            </w:r>
          </w:p>
        </w:tc>
        <w:tc>
          <w:tcPr>
            <w:tcW w:w="170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12FD3" w:rsidRPr="00334646" w:rsidRDefault="00612FD3" w:rsidP="00301B6D">
            <w:pPr>
              <w:pStyle w:val="TableDataEntries"/>
            </w:pPr>
            <w:r w:rsidRPr="00334646">
              <w:t>-0.6</w:t>
            </w:r>
          </w:p>
        </w:tc>
      </w:tr>
      <w:tr w:rsidR="00612FD3" w:rsidRPr="00334646" w:rsidTr="00301B6D">
        <w:trPr>
          <w:trHeight w:val="245"/>
        </w:trPr>
        <w:tc>
          <w:tcPr>
            <w:tcW w:w="382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12FD3" w:rsidRPr="00334646" w:rsidRDefault="00612FD3" w:rsidP="00301B6D">
            <w:pPr>
              <w:pStyle w:val="TableDataEntries"/>
              <w:jc w:val="left"/>
            </w:pPr>
            <w:r w:rsidRPr="00334646">
              <w:t>Willowdale Community Centre</w:t>
            </w:r>
          </w:p>
        </w:tc>
        <w:tc>
          <w:tcPr>
            <w:tcW w:w="240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12FD3" w:rsidRPr="00334646" w:rsidRDefault="00612FD3" w:rsidP="00301B6D">
            <w:pPr>
              <w:pStyle w:val="TableDataEntries"/>
            </w:pPr>
            <w:r w:rsidRPr="00334646">
              <w:t>-17.2</w:t>
            </w:r>
          </w:p>
        </w:tc>
        <w:tc>
          <w:tcPr>
            <w:tcW w:w="170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12FD3" w:rsidRPr="00334646" w:rsidRDefault="00612FD3" w:rsidP="00301B6D">
            <w:pPr>
              <w:pStyle w:val="TableDataEntries"/>
            </w:pPr>
            <w:r w:rsidRPr="00334646">
              <w:t>-17.2</w:t>
            </w:r>
          </w:p>
        </w:tc>
      </w:tr>
      <w:tr w:rsidR="00612FD3" w:rsidRPr="00334646" w:rsidTr="00301B6D">
        <w:trPr>
          <w:trHeight w:val="245"/>
        </w:trPr>
        <w:tc>
          <w:tcPr>
            <w:tcW w:w="3829"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rsidR="00612FD3" w:rsidRPr="00334646" w:rsidRDefault="00612FD3" w:rsidP="00301B6D">
            <w:pPr>
              <w:pStyle w:val="TableDataEntries"/>
              <w:jc w:val="left"/>
            </w:pPr>
            <w:r w:rsidRPr="00334646">
              <w:t>Green Hills Shopping Centre</w:t>
            </w:r>
          </w:p>
        </w:tc>
        <w:tc>
          <w:tcPr>
            <w:tcW w:w="2403"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rsidR="00612FD3" w:rsidRPr="00334646" w:rsidRDefault="00612FD3" w:rsidP="00301B6D">
            <w:pPr>
              <w:pStyle w:val="TableDataEntries"/>
            </w:pPr>
            <w:r w:rsidRPr="00334646">
              <w:t>-8.2</w:t>
            </w:r>
          </w:p>
        </w:tc>
        <w:tc>
          <w:tcPr>
            <w:tcW w:w="1705"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rsidR="00612FD3" w:rsidRPr="00334646" w:rsidRDefault="00612FD3" w:rsidP="00301B6D">
            <w:pPr>
              <w:pStyle w:val="TableDataEntries"/>
            </w:pPr>
            <w:r w:rsidRPr="00334646">
              <w:t>-1.5</w:t>
            </w:r>
          </w:p>
        </w:tc>
      </w:tr>
    </w:tbl>
    <w:p w:rsidR="00612FD3" w:rsidRDefault="00612FD3" w:rsidP="00612FD3">
      <w:pPr>
        <w:pStyle w:val="Note"/>
        <w:rPr>
          <w:lang w:bidi="fa-IR"/>
        </w:rPr>
      </w:pPr>
      <w:r w:rsidRPr="007D1B4F">
        <w:rPr>
          <w:i/>
        </w:rPr>
        <w:t>Note:</w:t>
      </w:r>
      <w:r w:rsidRPr="00E879B8">
        <w:t xml:space="preserve"> </w:t>
      </w:r>
      <w:r>
        <w:t>negative indicates reduction of energy consumption or greenhouse gas emissions from the NCC2019 Reference Building</w:t>
      </w:r>
    </w:p>
    <w:p w:rsidR="00612FD3" w:rsidRDefault="00612FD3" w:rsidP="00612FD3">
      <w:pPr>
        <w:pStyle w:val="Source"/>
        <w:rPr>
          <w:lang w:bidi="fa-IR"/>
        </w:rPr>
      </w:pPr>
      <w:r w:rsidRPr="00334646">
        <w:rPr>
          <w:i/>
          <w:lang w:bidi="fa-IR"/>
        </w:rPr>
        <w:t>Source:</w:t>
      </w:r>
      <w:r>
        <w:rPr>
          <w:lang w:bidi="fa-IR"/>
        </w:rPr>
        <w:t xml:space="preserve"> CIE construction based on case studies</w:t>
      </w:r>
    </w:p>
    <w:p w:rsidR="00612FD3" w:rsidRPr="00E6222F" w:rsidRDefault="00612FD3" w:rsidP="00612FD3">
      <w:pPr>
        <w:pStyle w:val="BodyText"/>
        <w:rPr>
          <w:lang w:bidi="fa-IR"/>
        </w:rPr>
      </w:pPr>
      <w:r>
        <w:rPr>
          <w:lang w:eastAsia="en-US"/>
        </w:rPr>
        <w:t>It should be noted as well that the case studies were based on earlier versions of the proposed changes to the NCC, including (among others) changes to the requirement for Display Glazing (the code now has specific display glazing system minimum levels, the case studies used a whole of façade approach), more stringent lighting requirements and an error in pipe insulation requirements that had been listed as more stringent than the final version.</w:t>
      </w:r>
    </w:p>
    <w:p w:rsidR="00677FEF" w:rsidRPr="00F77DC2" w:rsidRDefault="00677FEF" w:rsidP="00677FEF">
      <w:pPr>
        <w:pStyle w:val="Heading2"/>
        <w:numPr>
          <w:ilvl w:val="1"/>
          <w:numId w:val="5"/>
        </w:numPr>
      </w:pPr>
      <w:bookmarkStart w:id="2105" w:name="_Toc529869844"/>
      <w:bookmarkStart w:id="2106" w:name="_Toc530748562"/>
      <w:r>
        <w:t>Are lower construction costs plausible?</w:t>
      </w:r>
      <w:bookmarkEnd w:id="2105"/>
      <w:bookmarkEnd w:id="2106"/>
    </w:p>
    <w:p w:rsidR="00677FEF" w:rsidRDefault="003F28DD" w:rsidP="00677FEF">
      <w:pPr>
        <w:pStyle w:val="BodyText"/>
      </w:pPr>
      <w:r>
        <w:t>EA</w:t>
      </w:r>
      <w:r w:rsidR="00677FEF">
        <w:t xml:space="preserve">’s modelling suggests that the proposed improvements in energy efficiency can be achieved at ‘negative cost’ for a </w:t>
      </w:r>
      <w:r w:rsidR="00EE351B">
        <w:t xml:space="preserve">small </w:t>
      </w:r>
      <w:r w:rsidR="00677FEF">
        <w:t>number of building type/</w:t>
      </w:r>
      <w:r w:rsidR="00E31EE8">
        <w:t>Climate Zone</w:t>
      </w:r>
      <w:r w:rsidR="00677FEF">
        <w:t xml:space="preserve"> combinations. That is, the proposed changes to the NCC could improve energy performance (and reduce GHG emissions) </w:t>
      </w:r>
      <w:r w:rsidR="00677FEF" w:rsidRPr="005D74B3">
        <w:rPr>
          <w:b/>
        </w:rPr>
        <w:t>and</w:t>
      </w:r>
      <w:r w:rsidR="00677FEF">
        <w:t xml:space="preserve"> reduce construction costs.</w:t>
      </w:r>
    </w:p>
    <w:p w:rsidR="00677FEF" w:rsidRDefault="00677FEF" w:rsidP="00677FEF">
      <w:pPr>
        <w:pStyle w:val="BodyText"/>
      </w:pPr>
      <w:r>
        <w:t>This result is somewhat counter</w:t>
      </w:r>
      <w:r>
        <w:noBreakHyphen/>
        <w:t>intuitive and raises the question: why are building owners not taking up opportunities that are both cheaper and reduce energy consumption without the need for more stringent minimum standards?</w:t>
      </w:r>
      <w:r w:rsidR="003521E9">
        <w:t xml:space="preserve"> </w:t>
      </w:r>
    </w:p>
    <w:p w:rsidR="00677FEF" w:rsidRDefault="00677FEF" w:rsidP="00677FEF">
      <w:pPr>
        <w:pStyle w:val="BodyText"/>
      </w:pPr>
      <w:r>
        <w:t>In general, this type of result would be expected only where there is clear evidence of a market failure or regulatory failure. From our review of the literature on market failures, it is plausible that market failures</w:t>
      </w:r>
      <w:r w:rsidR="00EE351B">
        <w:t>/behavioural anomalies</w:t>
      </w:r>
      <w:r>
        <w:t xml:space="preserve"> exist in relation to energy efficiency (although the direct evidence is limited); however, there is no evidence of market failures</w:t>
      </w:r>
      <w:r w:rsidR="00EE351B">
        <w:t>/behavioural anomalies</w:t>
      </w:r>
      <w:r>
        <w:t xml:space="preserve"> in relation to construction costs and design choices.</w:t>
      </w:r>
    </w:p>
    <w:p w:rsidR="00677FEF" w:rsidRDefault="00677FEF" w:rsidP="00677FEF">
      <w:pPr>
        <w:pStyle w:val="Heading3"/>
        <w:numPr>
          <w:ilvl w:val="2"/>
          <w:numId w:val="5"/>
        </w:numPr>
      </w:pPr>
      <w:r>
        <w:t>Lower costs are not due to technology improvements or design changes</w:t>
      </w:r>
    </w:p>
    <w:p w:rsidR="00677FEF" w:rsidRDefault="00677FEF" w:rsidP="00677FEF">
      <w:pPr>
        <w:pStyle w:val="BodyText"/>
      </w:pPr>
      <w:r>
        <w:t>In the Consultation RIS we raised the possibility that these counter</w:t>
      </w:r>
      <w:r>
        <w:noBreakHyphen/>
        <w:t>intuitive modelling results may have arisen due to:</w:t>
      </w:r>
    </w:p>
    <w:p w:rsidR="00677FEF" w:rsidRDefault="00677FEF" w:rsidP="00677FEF">
      <w:pPr>
        <w:pStyle w:val="ListBullet"/>
        <w:numPr>
          <w:ilvl w:val="0"/>
          <w:numId w:val="36"/>
        </w:numPr>
      </w:pPr>
      <w:r>
        <w:t>the use of technology that is both cheaper and more energy efficient (such as LED lighting); and/or</w:t>
      </w:r>
    </w:p>
    <w:p w:rsidR="00677FEF" w:rsidRDefault="00677FEF" w:rsidP="00677FEF">
      <w:pPr>
        <w:pStyle w:val="ListBullet"/>
        <w:numPr>
          <w:ilvl w:val="0"/>
          <w:numId w:val="36"/>
        </w:numPr>
      </w:pPr>
      <w:r>
        <w:t>a shift to more energy efficient designs (such as reducing the window</w:t>
      </w:r>
      <w:r>
        <w:noBreakHyphen/>
        <w:t>to</w:t>
      </w:r>
      <w:r>
        <w:noBreakHyphen/>
        <w:t>wall ratio).</w:t>
      </w:r>
    </w:p>
    <w:p w:rsidR="00677FEF" w:rsidRDefault="00677FEF" w:rsidP="00677FEF">
      <w:pPr>
        <w:pStyle w:val="BodyText"/>
      </w:pPr>
      <w:r>
        <w:t>However, we considered it unlikely that the proposed changes to the NCC would reduce costs for the above reasons.</w:t>
      </w:r>
    </w:p>
    <w:p w:rsidR="00677FEF" w:rsidRDefault="00677FEF" w:rsidP="00677FEF">
      <w:pPr>
        <w:pStyle w:val="ListBullet"/>
        <w:numPr>
          <w:ilvl w:val="0"/>
          <w:numId w:val="36"/>
        </w:numPr>
      </w:pPr>
      <w:r>
        <w:t>Where cheaper and more energy efficient technologies (and there are no compromises on other characteristics) becomes available (such as LED lighting), they are likely to be adopted by industry even without the need for regulatory change.</w:t>
      </w:r>
    </w:p>
    <w:p w:rsidR="00677FEF" w:rsidRDefault="00677FEF" w:rsidP="00677FEF">
      <w:pPr>
        <w:pStyle w:val="ListBullet"/>
        <w:numPr>
          <w:ilvl w:val="0"/>
          <w:numId w:val="36"/>
        </w:numPr>
      </w:pPr>
      <w:r>
        <w:t>While it may be possible to build more energy efficient buildings with lower construction costs, this is likely to involve design compromises, such as smaller windows. The cost of these design compromises will be at least as high as the construction cost savings. Stakeholders generally supported this view, noting that it is unlikely that industry would respond to the proposed changes to the NCC by significantly reducing window sizes.</w:t>
      </w:r>
    </w:p>
    <w:p w:rsidR="00677FEF" w:rsidRDefault="00677FEF" w:rsidP="00677FEF">
      <w:pPr>
        <w:pStyle w:val="BodyText"/>
      </w:pPr>
      <w:r>
        <w:t>The modelling for the Decision RIS accounted for these factors by:</w:t>
      </w:r>
    </w:p>
    <w:p w:rsidR="00677FEF" w:rsidRDefault="00677FEF" w:rsidP="00677FEF">
      <w:pPr>
        <w:pStyle w:val="ListBullet"/>
        <w:numPr>
          <w:ilvl w:val="0"/>
          <w:numId w:val="36"/>
        </w:numPr>
      </w:pPr>
      <w:r>
        <w:t>including the anticipated uptake of LED lighting in the baseline (implying that no changes in construction cost or energy performance are attributed to changes to the maximum allowable IPD); and</w:t>
      </w:r>
    </w:p>
    <w:p w:rsidR="00677FEF" w:rsidRDefault="00677FEF" w:rsidP="00677FEF">
      <w:pPr>
        <w:pStyle w:val="ListBullet"/>
        <w:numPr>
          <w:ilvl w:val="0"/>
          <w:numId w:val="36"/>
        </w:numPr>
      </w:pPr>
      <w:r>
        <w:t>holding the WWR constant under the baseline and under the revised code.</w:t>
      </w:r>
    </w:p>
    <w:p w:rsidR="00677FEF" w:rsidRDefault="00677FEF" w:rsidP="00677FEF">
      <w:pPr>
        <w:pStyle w:val="BodyText"/>
      </w:pPr>
      <w:r>
        <w:t>These factors are therefore not contributing to lower modelled construction costs under the revised code.</w:t>
      </w:r>
    </w:p>
    <w:p w:rsidR="00677FEF" w:rsidRDefault="00316F23" w:rsidP="00677FEF">
      <w:pPr>
        <w:pStyle w:val="Heading3"/>
        <w:numPr>
          <w:ilvl w:val="2"/>
          <w:numId w:val="5"/>
        </w:numPr>
      </w:pPr>
      <w:r>
        <w:t xml:space="preserve">Lower costs are more likely due to </w:t>
      </w:r>
      <w:r w:rsidR="00EB5964">
        <w:t xml:space="preserve">code </w:t>
      </w:r>
      <w:r w:rsidR="00677FEF">
        <w:t>improvements</w:t>
      </w:r>
    </w:p>
    <w:p w:rsidR="00677FEF" w:rsidRDefault="00677FEF" w:rsidP="00677FEF">
      <w:pPr>
        <w:pStyle w:val="BodyText"/>
      </w:pPr>
      <w:r>
        <w:t>On the other hand, it is p</w:t>
      </w:r>
      <w:r w:rsidR="00316F23">
        <w:t>ossible</w:t>
      </w:r>
      <w:r>
        <w:t xml:space="preserve"> that proposed changes to the NCC could lead to lower construction costs as well as improved energy performance where improvements to the NCC:</w:t>
      </w:r>
    </w:p>
    <w:p w:rsidR="00677FEF" w:rsidRDefault="00677FEF" w:rsidP="00677FEF">
      <w:pPr>
        <w:pStyle w:val="ListBullet"/>
        <w:numPr>
          <w:ilvl w:val="0"/>
          <w:numId w:val="36"/>
        </w:numPr>
      </w:pPr>
      <w:r>
        <w:t>allow industry to choose options that are both more energy efficient and cheaper that were not available under the existing NCC; and</w:t>
      </w:r>
    </w:p>
    <w:p w:rsidR="00677FEF" w:rsidRDefault="00677FEF" w:rsidP="00677FEF">
      <w:pPr>
        <w:pStyle w:val="ListBullet"/>
        <w:numPr>
          <w:ilvl w:val="0"/>
          <w:numId w:val="36"/>
        </w:numPr>
      </w:pPr>
      <w:r>
        <w:t>relax the stringency of building elements that have minimal (or in some cases negative) impact on energy performance.</w:t>
      </w:r>
    </w:p>
    <w:p w:rsidR="00677FEF" w:rsidRPr="00846F2A" w:rsidRDefault="00677FEF" w:rsidP="00677FEF">
      <w:pPr>
        <w:pStyle w:val="BodyText"/>
        <w:rPr>
          <w:lang w:eastAsia="en-US"/>
        </w:rPr>
      </w:pPr>
      <w:r w:rsidRPr="00846F2A">
        <w:rPr>
          <w:lang w:eastAsia="en-US"/>
        </w:rPr>
        <w:t>The proposed changes to the NCC are not simply changes to the stringency of the minimum energy efficiency requirements. The whole approach to assessing some building elements such as wall-glazing construction has been changed.</w:t>
      </w:r>
    </w:p>
    <w:p w:rsidR="00677FEF" w:rsidRPr="00846F2A" w:rsidRDefault="00677FEF" w:rsidP="00677FEF">
      <w:pPr>
        <w:pStyle w:val="BodyText"/>
        <w:rPr>
          <w:lang w:eastAsia="en-US"/>
        </w:rPr>
      </w:pPr>
      <w:r w:rsidRPr="00846F2A">
        <w:rPr>
          <w:lang w:eastAsia="en-US"/>
        </w:rPr>
        <w:t>Changes</w:t>
      </w:r>
      <w:r>
        <w:rPr>
          <w:lang w:eastAsia="en-US"/>
        </w:rPr>
        <w:t xml:space="preserve"> proposed</w:t>
      </w:r>
      <w:r w:rsidRPr="00846F2A">
        <w:rPr>
          <w:lang w:eastAsia="en-US"/>
        </w:rPr>
        <w:t xml:space="preserve"> to the approach to specifying the stringency requirements for glazing is another explanation for both lower construction costs and improved energy performance. Specifically, the proposed approach to minimum glazing requirements shifts the focus from glazing U-</w:t>
      </w:r>
      <w:r>
        <w:rPr>
          <w:lang w:eastAsia="en-US"/>
        </w:rPr>
        <w:t>V</w:t>
      </w:r>
      <w:r w:rsidRPr="00846F2A">
        <w:rPr>
          <w:lang w:eastAsia="en-US"/>
        </w:rPr>
        <w:t>alues to solar heat gain coefficient (SHGC) in day</w:t>
      </w:r>
      <w:r w:rsidRPr="00846F2A">
        <w:rPr>
          <w:lang w:eastAsia="en-US"/>
        </w:rPr>
        <w:noBreakHyphen/>
        <w:t xml:space="preserve">time operating buildings. </w:t>
      </w:r>
      <w:r w:rsidR="003F28DD">
        <w:rPr>
          <w:lang w:eastAsia="en-US"/>
        </w:rPr>
        <w:t>EA</w:t>
      </w:r>
      <w:r w:rsidRPr="00846F2A">
        <w:rPr>
          <w:lang w:eastAsia="en-US"/>
        </w:rPr>
        <w:t xml:space="preserve"> modelling suggests that energy performance is more closely correlated with SHGC than U-</w:t>
      </w:r>
      <w:r>
        <w:rPr>
          <w:lang w:eastAsia="en-US"/>
        </w:rPr>
        <w:t>V</w:t>
      </w:r>
      <w:r w:rsidRPr="00846F2A">
        <w:rPr>
          <w:lang w:eastAsia="en-US"/>
        </w:rPr>
        <w:t>alues in day</w:t>
      </w:r>
      <w:r>
        <w:rPr>
          <w:lang w:eastAsia="en-US"/>
        </w:rPr>
        <w:t>-</w:t>
      </w:r>
      <w:r w:rsidRPr="00846F2A">
        <w:rPr>
          <w:lang w:eastAsia="en-US"/>
        </w:rPr>
        <w:t>time operating buildings.</w:t>
      </w:r>
    </w:p>
    <w:p w:rsidR="00677FEF" w:rsidRPr="00846F2A" w:rsidRDefault="00677FEF" w:rsidP="00677FEF">
      <w:pPr>
        <w:pStyle w:val="BodyText"/>
        <w:rPr>
          <w:lang w:eastAsia="en-US"/>
        </w:rPr>
      </w:pPr>
      <w:r w:rsidRPr="00846F2A">
        <w:rPr>
          <w:lang w:eastAsia="en-US"/>
        </w:rPr>
        <w:t>There is a relatively close correlation between the unit cost of glazing and the U-</w:t>
      </w:r>
      <w:r>
        <w:rPr>
          <w:lang w:eastAsia="en-US"/>
        </w:rPr>
        <w:t>V</w:t>
      </w:r>
      <w:r w:rsidRPr="00846F2A">
        <w:rPr>
          <w:lang w:eastAsia="en-US"/>
        </w:rPr>
        <w:t>alue (</w:t>
      </w:r>
      <w:r>
        <w:rPr>
          <w:lang w:eastAsia="en-US"/>
        </w:rPr>
        <w:t xml:space="preserve">right panel of </w:t>
      </w:r>
      <w:r w:rsidRPr="00846F2A">
        <w:rPr>
          <w:lang w:eastAsia="en-US"/>
        </w:rPr>
        <w:t>chart</w:t>
      </w:r>
      <w:r w:rsidR="00164C8C" w:rsidRPr="00846F2A">
        <w:rPr>
          <w:lang w:eastAsia="en-US"/>
        </w:rPr>
        <w:t> </w:t>
      </w:r>
      <w:r w:rsidR="00164C8C">
        <w:rPr>
          <w:lang w:eastAsia="en-US"/>
        </w:rPr>
        <w:fldChar w:fldCharType="begin"/>
      </w:r>
      <w:r w:rsidR="00164C8C">
        <w:rPr>
          <w:lang w:eastAsia="en-US"/>
        </w:rPr>
        <w:instrText xml:space="preserve"> REF _Ref525916974 \h </w:instrText>
      </w:r>
      <w:r w:rsidR="00164C8C">
        <w:rPr>
          <w:lang w:eastAsia="en-US"/>
        </w:rPr>
      </w:r>
      <w:r w:rsidR="00164C8C">
        <w:rPr>
          <w:lang w:eastAsia="en-US"/>
        </w:rPr>
        <w:fldChar w:fldCharType="separate"/>
      </w:r>
      <w:r w:rsidR="006B79B8">
        <w:rPr>
          <w:noProof/>
        </w:rPr>
        <w:t>5</w:t>
      </w:r>
      <w:r w:rsidR="006B79B8" w:rsidRPr="007502CF">
        <w:rPr>
          <w:noProof/>
        </w:rPr>
        <w:t>.</w:t>
      </w:r>
      <w:r w:rsidR="006B79B8">
        <w:rPr>
          <w:noProof/>
        </w:rPr>
        <w:t>11</w:t>
      </w:r>
      <w:r w:rsidR="00164C8C">
        <w:rPr>
          <w:lang w:eastAsia="en-US"/>
        </w:rPr>
        <w:fldChar w:fldCharType="end"/>
      </w:r>
      <w:r w:rsidRPr="00846F2A">
        <w:rPr>
          <w:lang w:eastAsia="en-US"/>
        </w:rPr>
        <w:t>). However, there appears to be a much weaker relationship between SHGC and price (</w:t>
      </w:r>
      <w:r>
        <w:rPr>
          <w:lang w:eastAsia="en-US"/>
        </w:rPr>
        <w:t xml:space="preserve">left panel of </w:t>
      </w:r>
      <w:r w:rsidRPr="00846F2A">
        <w:rPr>
          <w:lang w:eastAsia="en-US"/>
        </w:rPr>
        <w:t>chart </w:t>
      </w:r>
      <w:r w:rsidR="00164C8C">
        <w:rPr>
          <w:lang w:eastAsia="en-US"/>
        </w:rPr>
        <w:fldChar w:fldCharType="begin"/>
      </w:r>
      <w:r w:rsidR="00164C8C">
        <w:rPr>
          <w:lang w:eastAsia="en-US"/>
        </w:rPr>
        <w:instrText xml:space="preserve"> REF _Ref525916974 \h </w:instrText>
      </w:r>
      <w:r w:rsidR="00164C8C">
        <w:rPr>
          <w:lang w:eastAsia="en-US"/>
        </w:rPr>
      </w:r>
      <w:r w:rsidR="00164C8C">
        <w:rPr>
          <w:lang w:eastAsia="en-US"/>
        </w:rPr>
        <w:fldChar w:fldCharType="separate"/>
      </w:r>
      <w:r w:rsidR="006B79B8">
        <w:rPr>
          <w:noProof/>
        </w:rPr>
        <w:t>5</w:t>
      </w:r>
      <w:r w:rsidR="006B79B8" w:rsidRPr="007502CF">
        <w:rPr>
          <w:noProof/>
        </w:rPr>
        <w:t>.</w:t>
      </w:r>
      <w:r w:rsidR="006B79B8">
        <w:rPr>
          <w:noProof/>
        </w:rPr>
        <w:t>11</w:t>
      </w:r>
      <w:r w:rsidR="00164C8C">
        <w:rPr>
          <w:lang w:eastAsia="en-US"/>
        </w:rPr>
        <w:fldChar w:fldCharType="end"/>
      </w:r>
      <w:r w:rsidRPr="00846F2A">
        <w:rPr>
          <w:lang w:eastAsia="en-US"/>
        </w:rPr>
        <w:t>).</w:t>
      </w:r>
    </w:p>
    <w:p w:rsidR="00677FEF" w:rsidRDefault="00677FEF" w:rsidP="00677FEF">
      <w:pPr>
        <w:pStyle w:val="Caption"/>
        <w:numPr>
          <w:ilvl w:val="0"/>
          <w:numId w:val="7"/>
        </w:numPr>
      </w:pPr>
      <w:r>
        <w:br w:type="page"/>
      </w:r>
    </w:p>
    <w:bookmarkStart w:id="2107" w:name="_Ref525916974"/>
    <w:bookmarkStart w:id="2108" w:name="_Toc529869919"/>
    <w:bookmarkStart w:id="2109" w:name="_Toc530748415"/>
    <w:p w:rsidR="00677FEF" w:rsidRPr="007502CF" w:rsidRDefault="00677FEF" w:rsidP="00677FEF">
      <w:pPr>
        <w:pStyle w:val="Caption"/>
        <w:numPr>
          <w:ilvl w:val="0"/>
          <w:numId w:val="7"/>
        </w:numPr>
      </w:pPr>
      <w:r w:rsidRPr="007502CF">
        <w:rPr>
          <w:noProof/>
        </w:rPr>
        <mc:AlternateContent>
          <mc:Choice Requires="wpg">
            <w:drawing>
              <wp:anchor distT="0" distB="0" distL="114300" distR="114300" simplePos="0" relativeHeight="251658242" behindDoc="0" locked="0" layoutInCell="1" allowOverlap="1" wp14:anchorId="070FBAC3" wp14:editId="017C7ED8">
                <wp:simplePos x="0" y="0"/>
                <wp:positionH relativeFrom="margin">
                  <wp:posOffset>7951</wp:posOffset>
                </wp:positionH>
                <wp:positionV relativeFrom="paragraph">
                  <wp:posOffset>191770</wp:posOffset>
                </wp:positionV>
                <wp:extent cx="4952365" cy="2475865"/>
                <wp:effectExtent l="0" t="0" r="635" b="635"/>
                <wp:wrapNone/>
                <wp:docPr id="74" name="Group 74" descr="The chart has two panels: the left panel is a scatter plot between window price and its SHGC value which shows no obvious relationship, and the right one is a scatter plot between window price and its U-Value which shows clearer, negative relationship." title="Relationship between window price and SHGC and U-Value"/>
                <wp:cNvGraphicFramePr/>
                <a:graphic xmlns:a="http://schemas.openxmlformats.org/drawingml/2006/main">
                  <a:graphicData uri="http://schemas.microsoft.com/office/word/2010/wordprocessingGroup">
                    <wpg:wgp>
                      <wpg:cNvGrpSpPr/>
                      <wpg:grpSpPr>
                        <a:xfrm>
                          <a:off x="0" y="0"/>
                          <a:ext cx="4952365" cy="2475865"/>
                          <a:chOff x="0" y="0"/>
                          <a:chExt cx="4952365" cy="2475865"/>
                        </a:xfrm>
                      </wpg:grpSpPr>
                      <pic:pic xmlns:pic="http://schemas.openxmlformats.org/drawingml/2006/picture">
                        <pic:nvPicPr>
                          <pic:cNvPr id="75" name="Picture 75" descr="The right panel is a scatter plot between window price and its U-Value which shows clearer, negative relationship." title="Relationship between window price and SHGC and U-Value"/>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2476500" y="0"/>
                            <a:ext cx="2475865" cy="2475865"/>
                          </a:xfrm>
                          <a:prstGeom prst="rect">
                            <a:avLst/>
                          </a:prstGeom>
                          <a:solidFill>
                            <a:schemeClr val="bg2"/>
                          </a:solidFill>
                          <a:ln>
                            <a:noFill/>
                          </a:ln>
                        </pic:spPr>
                      </pic:pic>
                      <pic:pic xmlns:pic="http://schemas.openxmlformats.org/drawingml/2006/picture">
                        <pic:nvPicPr>
                          <pic:cNvPr id="76" name="Picture 76" descr="The left panel is a scatter plot between window price and its SHGC value which shows no obvious relationship." title="Relationship between window price and SHGC and U-Value"/>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75865" cy="2475865"/>
                          </a:xfrm>
                          <a:prstGeom prst="rect">
                            <a:avLst/>
                          </a:prstGeom>
                          <a:solidFill>
                            <a:schemeClr val="bg2"/>
                          </a:solidFill>
                          <a:ln>
                            <a:noFill/>
                          </a:ln>
                        </pic:spPr>
                      </pic:pic>
                    </wpg:wgp>
                  </a:graphicData>
                </a:graphic>
              </wp:anchor>
            </w:drawing>
          </mc:Choice>
          <mc:Fallback>
            <w:pict>
              <v:group w14:anchorId="7B66B2D4" id="Group 74" o:spid="_x0000_s1026" alt="Title: Relationship between window price and SHGC and U-Value - Description: The chart has two panels: the left panel is a scatter plot between window price and its SHGC value which shows no obvious relationship, and the right one is a scatter plot between window price and its U-Value which shows clearer, negative relationship." style="position:absolute;margin-left:.65pt;margin-top:15.1pt;width:389.95pt;height:194.95pt;z-index:251658242;mso-position-horizontal-relative:margin" coordsize="49523,2475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5" o:spid="_x0000_s1027" type="#_x0000_t75" alt="The right panel is a scatter plot between window price and its U-Value which shows clearer, negative relationship." style="position:absolute;left:24765;width:24758;height:24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clP3CAAAA2wAAAA8AAABkcnMvZG93bnJldi54bWxEj0GLwjAUhO/C/ofwFrxporBaqlFkYdm9&#10;eLAKXp/Nsy02L6HJav33RhA8DjPzDbNc97YVV+pC41jDZKxAEJfONFxpOOx/RhmIEJENto5Jw50C&#10;rFcfgyXmxt14R9ciViJBOOSooY7R51KGsiaLYew8cfLOrrMYk+wqaTq8Jbht5VSpmbTYcFqo0dN3&#10;TeWl+LcalP/1k6nMwn57UtW5OB3nbnfUevjZbxYgIvXxHX61/4yG+Rc8v6QfIF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3JT9wgAAANsAAAAPAAAAAAAAAAAAAAAAAJ8C&#10;AABkcnMvZG93bnJldi54bWxQSwUGAAAAAAQABAD3AAAAjgMAAAAA&#10;" filled="t" fillcolor="#e9e8e5 [3214]">
                  <v:imagedata r:id="rId35" o:title="The right panel is a scatter plot between window price and its U-Value which shows clearer, negative relationship"/>
                  <v:path arrowok="t"/>
                </v:shape>
                <v:shape id="Picture 76" o:spid="_x0000_s1028" type="#_x0000_t75" alt="The left panel is a scatter plot between window price and its SHGC value which shows no obvious relationship." style="position:absolute;width:24758;height:24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Cfq/AAAAA2wAAAA8AAABkcnMvZG93bnJldi54bWxEj0GLwjAUhO+C/yE8wYtoqkKVahRRBK/a&#10;Zc/P5tmWNi+libX77zeC4HGYmW+Y7b43teiodaVlBfNZBII4s7rkXMFPep6uQTiPrLG2TAr+yMF+&#10;NxxsMdH2xVfqbj4XAcIuQQWF900ipcsKMuhmtiEO3sO2Bn2QbS51i68AN7VcRFEsDZYcFgps6FhQ&#10;Vt2eRkEc3+l34h5dhd15+SzT07GKUqXGo/6wAeGp99/wp33RClYxvL+EHyB3/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AJ+r8AAAADbAAAADwAAAAAAAAAAAAAAAACfAgAA&#10;ZHJzL2Rvd25yZXYueG1sUEsFBgAAAAAEAAQA9wAAAIwDAAAAAA==&#10;" filled="t" fillcolor="#e9e8e5 [3214]">
                  <v:imagedata r:id="rId36" o:title="The left panel is a scatter plot between window price and its SHGC value which shows no obvious relationship"/>
                  <v:path arrowok="t"/>
                </v:shape>
                <w10:wrap anchorx="margin"/>
              </v:group>
            </w:pict>
          </mc:Fallback>
        </mc:AlternateContent>
      </w:r>
      <w:r w:rsidRPr="007502CF">
        <w:fldChar w:fldCharType="begin"/>
      </w:r>
      <w:r w:rsidRPr="007502CF">
        <w:instrText xml:space="preserve"> IF 1 = 1 "</w:instrText>
      </w:r>
      <w:r w:rsidRPr="007502CF">
        <w:fldChar w:fldCharType="begin"/>
      </w:r>
      <w:r w:rsidRPr="007502CF">
        <w:instrText xml:space="preserve"> IF </w:instrText>
      </w:r>
      <w:r w:rsidRPr="007502CF">
        <w:rPr>
          <w:noProof/>
        </w:rPr>
        <w:fldChar w:fldCharType="begin"/>
      </w:r>
      <w:r w:rsidRPr="007502CF">
        <w:rPr>
          <w:noProof/>
        </w:rPr>
        <w:instrText xml:space="preserve"> STYLEREF "Heading 6" \l \n </w:instrText>
      </w:r>
      <w:r w:rsidRPr="007502CF">
        <w:rPr>
          <w:noProof/>
        </w:rPr>
        <w:fldChar w:fldCharType="separate"/>
      </w:r>
      <w:r w:rsidR="00B833F1">
        <w:rPr>
          <w:noProof/>
        </w:rPr>
        <w:instrText>0</w:instrText>
      </w:r>
      <w:r w:rsidRPr="007502CF">
        <w:rPr>
          <w:noProof/>
        </w:rPr>
        <w:fldChar w:fldCharType="end"/>
      </w:r>
      <w:r w:rsidRPr="007502CF">
        <w:instrText xml:space="preserve"> = 0 "</w:instrText>
      </w:r>
      <w:r w:rsidRPr="007502CF">
        <w:fldChar w:fldCharType="begin"/>
      </w:r>
      <w:r w:rsidRPr="007502CF">
        <w:instrText xml:space="preserve"> IF </w:instrText>
      </w:r>
      <w:r w:rsidRPr="007502CF">
        <w:rPr>
          <w:noProof/>
        </w:rPr>
        <w:fldChar w:fldCharType="begin"/>
      </w:r>
      <w:r w:rsidRPr="007502CF">
        <w:rPr>
          <w:noProof/>
        </w:rPr>
        <w:instrText xml:space="preserve"> STYLEREF "Heading 1" \l \n </w:instrText>
      </w:r>
      <w:r w:rsidRPr="007502CF">
        <w:rPr>
          <w:noProof/>
        </w:rPr>
        <w:fldChar w:fldCharType="separate"/>
      </w:r>
      <w:r w:rsidR="00B833F1">
        <w:rPr>
          <w:noProof/>
        </w:rPr>
        <w:instrText>5</w:instrText>
      </w:r>
      <w:r w:rsidRPr="007502CF">
        <w:rPr>
          <w:noProof/>
        </w:rPr>
        <w:fldChar w:fldCharType="end"/>
      </w:r>
      <w:r w:rsidRPr="007502CF">
        <w:instrText xml:space="preserve"> = 0 "" "</w:instrText>
      </w:r>
      <w:r w:rsidRPr="007502CF">
        <w:rPr>
          <w:noProof/>
        </w:rPr>
        <w:fldChar w:fldCharType="begin"/>
      </w:r>
      <w:r w:rsidRPr="007502CF">
        <w:rPr>
          <w:noProof/>
        </w:rPr>
        <w:instrText xml:space="preserve"> STYLEREF "Heading 1" \l \n </w:instrText>
      </w:r>
      <w:r w:rsidRPr="007502CF">
        <w:rPr>
          <w:noProof/>
        </w:rPr>
        <w:fldChar w:fldCharType="separate"/>
      </w:r>
      <w:r w:rsidR="00B833F1">
        <w:rPr>
          <w:noProof/>
        </w:rPr>
        <w:instrText>5</w:instrText>
      </w:r>
      <w:r w:rsidRPr="007502CF">
        <w:rPr>
          <w:noProof/>
        </w:rPr>
        <w:fldChar w:fldCharType="end"/>
      </w:r>
      <w:r w:rsidRPr="007502CF">
        <w:instrText xml:space="preserve">." </w:instrText>
      </w:r>
      <w:r w:rsidRPr="007502CF">
        <w:fldChar w:fldCharType="separate"/>
      </w:r>
      <w:r w:rsidR="00B833F1">
        <w:rPr>
          <w:noProof/>
        </w:rPr>
        <w:instrText>5</w:instrText>
      </w:r>
      <w:r w:rsidR="00B833F1" w:rsidRPr="007502CF">
        <w:rPr>
          <w:noProof/>
        </w:rPr>
        <w:instrText>.</w:instrText>
      </w:r>
      <w:r w:rsidRPr="007502CF">
        <w:fldChar w:fldCharType="end"/>
      </w:r>
      <w:r w:rsidRPr="007502CF">
        <w:instrText>" "</w:instrText>
      </w:r>
      <w:r w:rsidRPr="007502CF">
        <w:rPr>
          <w:noProof/>
        </w:rPr>
        <w:fldChar w:fldCharType="begin"/>
      </w:r>
      <w:r w:rsidRPr="007502CF">
        <w:rPr>
          <w:noProof/>
        </w:rPr>
        <w:instrText xml:space="preserve"> STYLEREF "Heading 6" \l \n </w:instrText>
      </w:r>
      <w:r w:rsidRPr="007502CF">
        <w:rPr>
          <w:noProof/>
        </w:rPr>
        <w:fldChar w:fldCharType="separate"/>
      </w:r>
      <w:r w:rsidRPr="007502CF">
        <w:rPr>
          <w:noProof/>
        </w:rPr>
        <w:instrText>A</w:instrText>
      </w:r>
      <w:r w:rsidRPr="007502CF">
        <w:rPr>
          <w:noProof/>
        </w:rPr>
        <w:fldChar w:fldCharType="end"/>
      </w:r>
      <w:r w:rsidRPr="007502CF">
        <w:instrText xml:space="preserve">." </w:instrText>
      </w:r>
      <w:r w:rsidRPr="007502CF">
        <w:fldChar w:fldCharType="separate"/>
      </w:r>
      <w:r w:rsidR="00EA42ED">
        <w:rPr>
          <w:noProof/>
        </w:rPr>
        <w:instrText>5</w:instrText>
      </w:r>
      <w:r w:rsidR="00EA42ED" w:rsidRPr="007502CF">
        <w:rPr>
          <w:noProof/>
        </w:rPr>
        <w:instrText>.</w:instrText>
      </w:r>
      <w:r w:rsidRPr="007502CF">
        <w:fldChar w:fldCharType="end"/>
      </w:r>
      <w:r w:rsidRPr="007502CF">
        <w:fldChar w:fldCharType="begin"/>
      </w:r>
      <w:r w:rsidRPr="007502CF">
        <w:instrText xml:space="preserve"> SEQ Item \* ARABIC \s </w:instrText>
      </w:r>
      <w:r w:rsidRPr="007502CF">
        <w:fldChar w:fldCharType="begin"/>
      </w:r>
      <w:r w:rsidRPr="007502CF">
        <w:instrText xml:space="preserve"> IF </w:instrText>
      </w:r>
      <w:r w:rsidRPr="007502CF">
        <w:rPr>
          <w:noProof/>
        </w:rPr>
        <w:fldChar w:fldCharType="begin"/>
      </w:r>
      <w:r w:rsidRPr="007502CF">
        <w:rPr>
          <w:noProof/>
        </w:rPr>
        <w:instrText xml:space="preserve"> STYLEREF "Heading 6" \l \n </w:instrText>
      </w:r>
      <w:r w:rsidRPr="007502CF">
        <w:rPr>
          <w:noProof/>
        </w:rPr>
        <w:fldChar w:fldCharType="separate"/>
      </w:r>
      <w:r w:rsidR="00B833F1">
        <w:rPr>
          <w:noProof/>
        </w:rPr>
        <w:instrText>0</w:instrText>
      </w:r>
      <w:r w:rsidRPr="007502CF">
        <w:rPr>
          <w:noProof/>
        </w:rPr>
        <w:fldChar w:fldCharType="end"/>
      </w:r>
      <w:r w:rsidRPr="007502CF">
        <w:instrText xml:space="preserve"> = 0 "</w:instrText>
      </w:r>
      <w:r w:rsidRPr="007502CF">
        <w:fldChar w:fldCharType="begin"/>
      </w:r>
      <w:r w:rsidRPr="007502CF">
        <w:instrText xml:space="preserve"> IF </w:instrText>
      </w:r>
      <w:r w:rsidRPr="007502CF">
        <w:rPr>
          <w:noProof/>
        </w:rPr>
        <w:fldChar w:fldCharType="begin"/>
      </w:r>
      <w:r w:rsidRPr="007502CF">
        <w:rPr>
          <w:noProof/>
        </w:rPr>
        <w:instrText xml:space="preserve"> STYLEREF "Heading 1" \l \n </w:instrText>
      </w:r>
      <w:r w:rsidRPr="007502CF">
        <w:rPr>
          <w:noProof/>
        </w:rPr>
        <w:fldChar w:fldCharType="separate"/>
      </w:r>
      <w:r w:rsidR="00B833F1">
        <w:rPr>
          <w:noProof/>
        </w:rPr>
        <w:instrText>5</w:instrText>
      </w:r>
      <w:r w:rsidRPr="007502CF">
        <w:rPr>
          <w:noProof/>
        </w:rPr>
        <w:fldChar w:fldCharType="end"/>
      </w:r>
      <w:r w:rsidRPr="007502CF">
        <w:instrText xml:space="preserve"> = 0 "" "1" </w:instrText>
      </w:r>
      <w:r w:rsidRPr="007502CF">
        <w:fldChar w:fldCharType="separate"/>
      </w:r>
      <w:r w:rsidR="00EA42ED" w:rsidRPr="007502CF">
        <w:rPr>
          <w:noProof/>
        </w:rPr>
        <w:instrText>1</w:instrText>
      </w:r>
      <w:r w:rsidRPr="007502CF">
        <w:fldChar w:fldCharType="end"/>
      </w:r>
      <w:r w:rsidRPr="007502CF">
        <w:instrText xml:space="preserve">" "6" </w:instrText>
      </w:r>
      <w:r w:rsidRPr="007502CF">
        <w:fldChar w:fldCharType="separate"/>
      </w:r>
      <w:r w:rsidR="00EA42ED" w:rsidRPr="007502CF">
        <w:rPr>
          <w:noProof/>
        </w:rPr>
        <w:instrText>1</w:instrText>
      </w:r>
      <w:r w:rsidRPr="007502CF">
        <w:fldChar w:fldCharType="end"/>
      </w:r>
      <w:r w:rsidRPr="007502CF">
        <w:instrText xml:space="preserve"> </w:instrText>
      </w:r>
      <w:r w:rsidRPr="007502CF">
        <w:fldChar w:fldCharType="separate"/>
      </w:r>
      <w:r w:rsidR="00B833F1">
        <w:rPr>
          <w:noProof/>
        </w:rPr>
        <w:instrText>11</w:instrText>
      </w:r>
      <w:r w:rsidRPr="007502CF">
        <w:fldChar w:fldCharType="end"/>
      </w:r>
      <w:r w:rsidRPr="007502CF">
        <w:instrText xml:space="preserve">" "" </w:instrText>
      </w:r>
      <w:r w:rsidRPr="007502CF">
        <w:fldChar w:fldCharType="separate"/>
      </w:r>
      <w:bookmarkStart w:id="2110" w:name="_Caption9119"/>
      <w:bookmarkStart w:id="2111" w:name="_Caption6179"/>
      <w:bookmarkStart w:id="2112" w:name="_Caption2463"/>
      <w:bookmarkStart w:id="2113" w:name="_Caption6729"/>
      <w:bookmarkStart w:id="2114" w:name="_Caption5538"/>
      <w:bookmarkStart w:id="2115" w:name="_Caption9577"/>
      <w:bookmarkStart w:id="2116" w:name="_Caption2891"/>
      <w:bookmarkStart w:id="2117" w:name="_Caption2340"/>
      <w:bookmarkStart w:id="2118" w:name="_Caption2584"/>
      <w:bookmarkStart w:id="2119" w:name="_Caption6762"/>
      <w:bookmarkStart w:id="2120" w:name="_Caption0156"/>
      <w:bookmarkStart w:id="2121" w:name="_Caption5817"/>
      <w:bookmarkStart w:id="2122" w:name="_Caption0080"/>
      <w:bookmarkStart w:id="2123" w:name="_Caption7148"/>
      <w:bookmarkStart w:id="2124" w:name="_Caption2854"/>
      <w:bookmarkStart w:id="2125" w:name="_Caption3995"/>
      <w:bookmarkStart w:id="2126" w:name="_Caption4393"/>
      <w:bookmarkStart w:id="2127" w:name="_Caption1295"/>
      <w:bookmarkStart w:id="2128" w:name="_Caption8863"/>
      <w:bookmarkStart w:id="2129" w:name="_Caption3384"/>
      <w:bookmarkStart w:id="2130" w:name="_Caption8389"/>
      <w:bookmarkStart w:id="2131" w:name="_Caption5077"/>
      <w:bookmarkStart w:id="2132" w:name="_Caption5622"/>
      <w:bookmarkStart w:id="2133" w:name="_Caption2367"/>
      <w:bookmarkStart w:id="2134" w:name="_Caption9736"/>
      <w:bookmarkStart w:id="2135" w:name="_Caption5973"/>
      <w:bookmarkStart w:id="2136" w:name="_Caption0349"/>
      <w:bookmarkStart w:id="2137" w:name="_Caption8366"/>
      <w:bookmarkStart w:id="2138" w:name="_Caption9162"/>
      <w:bookmarkStart w:id="2139" w:name="_Caption8844"/>
      <w:bookmarkStart w:id="2140" w:name="_Caption7339"/>
      <w:bookmarkStart w:id="2141" w:name="_Caption7381"/>
      <w:bookmarkStart w:id="2142" w:name="_Caption3550"/>
      <w:bookmarkStart w:id="2143" w:name="_Caption8922"/>
      <w:bookmarkStart w:id="2144" w:name="_Caption9732"/>
      <w:bookmarkStart w:id="2145" w:name="_Caption2991"/>
      <w:r w:rsidR="00EA42ED">
        <w:rPr>
          <w:noProof/>
        </w:rPr>
        <w:t>5</w:t>
      </w:r>
      <w:r w:rsidR="00EA42ED" w:rsidRPr="007502CF">
        <w:rPr>
          <w:noProof/>
        </w:rPr>
        <w:t>.</w:t>
      </w:r>
      <w:r w:rsidR="00EA42ED">
        <w:rPr>
          <w:noProof/>
        </w:rPr>
        <w:t>11</w:t>
      </w:r>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r w:rsidRPr="007502CF">
        <w:fldChar w:fldCharType="end"/>
      </w:r>
      <w:bookmarkEnd w:id="2107"/>
      <w:r w:rsidRPr="007502CF">
        <w:tab/>
      </w:r>
      <w:r w:rsidR="00164C8C" w:rsidRPr="007502CF">
        <w:t>Relationship between window price and SHGC and U-Value</w:t>
      </w:r>
      <w:bookmarkEnd w:id="2108"/>
      <w:bookmarkEnd w:id="2109"/>
    </w:p>
    <w:p w:rsidR="00677FEF" w:rsidRDefault="00677FEF" w:rsidP="00C74C79">
      <w:pPr>
        <w:pStyle w:val="Source"/>
        <w:spacing w:before="3960"/>
      </w:pPr>
      <w:r>
        <w:rPr>
          <w:i/>
        </w:rPr>
        <w:t>Data source</w:t>
      </w:r>
      <w:r w:rsidRPr="00A67576">
        <w:rPr>
          <w:i/>
        </w:rPr>
        <w:t>:</w:t>
      </w:r>
      <w:r>
        <w:t xml:space="preserve"> CIE construction based on the window data provided by EA</w:t>
      </w:r>
    </w:p>
    <w:p w:rsidR="00677FEF" w:rsidRDefault="00677FEF" w:rsidP="00677FEF">
      <w:pPr>
        <w:pStyle w:val="BodyText"/>
        <w:rPr>
          <w:lang w:eastAsia="en-US"/>
        </w:rPr>
      </w:pPr>
      <w:r w:rsidRPr="00846F2A">
        <w:rPr>
          <w:lang w:eastAsia="en-US"/>
        </w:rPr>
        <w:t>This change in approach raises the possibility that there are glazing options that are both cheaper and more energy efficient that would not necessarily meet the minimum U-</w:t>
      </w:r>
      <w:r>
        <w:rPr>
          <w:lang w:eastAsia="en-US"/>
        </w:rPr>
        <w:t>V</w:t>
      </w:r>
      <w:r w:rsidRPr="00846F2A">
        <w:rPr>
          <w:lang w:eastAsia="en-US"/>
        </w:rPr>
        <w:t xml:space="preserve">alue requirement currently specified in the </w:t>
      </w:r>
      <w:r>
        <w:rPr>
          <w:lang w:eastAsia="en-US"/>
        </w:rPr>
        <w:t>NCC</w:t>
      </w:r>
      <w:r w:rsidRPr="00846F2A">
        <w:rPr>
          <w:lang w:eastAsia="en-US"/>
        </w:rPr>
        <w:t xml:space="preserve">, but would meet the minimum SHGC requirements in the revised </w:t>
      </w:r>
      <w:r>
        <w:rPr>
          <w:lang w:eastAsia="en-US"/>
        </w:rPr>
        <w:t>NCC</w:t>
      </w:r>
      <w:r w:rsidRPr="00846F2A">
        <w:rPr>
          <w:lang w:eastAsia="en-US"/>
        </w:rPr>
        <w:t>.</w:t>
      </w:r>
      <w:r w:rsidR="00EE351B">
        <w:rPr>
          <w:lang w:eastAsia="en-US"/>
        </w:rPr>
        <w:t xml:space="preserve"> Similarly, there may be </w:t>
      </w:r>
      <w:r w:rsidR="00BB30D0">
        <w:rPr>
          <w:lang w:eastAsia="en-US"/>
        </w:rPr>
        <w:t>circumstances</w:t>
      </w:r>
      <w:r w:rsidR="00EE351B">
        <w:rPr>
          <w:lang w:eastAsia="en-US"/>
        </w:rPr>
        <w:t xml:space="preserve"> where the revised methodology in relation to the façade allow significant cost reductions with only a modest reduction in façade performance.</w:t>
      </w:r>
    </w:p>
    <w:p w:rsidR="00677FEF" w:rsidRPr="00846F2A" w:rsidRDefault="00677FEF" w:rsidP="00677FEF">
      <w:pPr>
        <w:pStyle w:val="BodyText"/>
        <w:rPr>
          <w:lang w:eastAsia="en-US"/>
        </w:rPr>
      </w:pPr>
      <w:r>
        <w:rPr>
          <w:lang w:eastAsia="en-US"/>
        </w:rPr>
        <w:t xml:space="preserve">Furthermore, the proposed change in NCC specifies requirement of </w:t>
      </w:r>
      <w:r w:rsidR="006F1C6A">
        <w:rPr>
          <w:lang w:eastAsia="en-US"/>
        </w:rPr>
        <w:t>U-Value</w:t>
      </w:r>
      <w:r>
        <w:rPr>
          <w:lang w:eastAsia="en-US"/>
        </w:rPr>
        <w:t xml:space="preserve">s for whole façade, and thus allows substitution between glazing and wall insulation construction. More specifically, the chosen glazing meeting the new SHGC requirement </w:t>
      </w:r>
      <w:r w:rsidR="00BB30D0">
        <w:rPr>
          <w:lang w:eastAsia="en-US"/>
        </w:rPr>
        <w:t>over performs</w:t>
      </w:r>
      <w:r>
        <w:rPr>
          <w:lang w:eastAsia="en-US"/>
        </w:rPr>
        <w:t xml:space="preserve"> in terms of the new </w:t>
      </w:r>
      <w:r w:rsidR="006F1C6A">
        <w:rPr>
          <w:lang w:eastAsia="en-US"/>
        </w:rPr>
        <w:t>U-Value</w:t>
      </w:r>
      <w:r>
        <w:rPr>
          <w:lang w:eastAsia="en-US"/>
        </w:rPr>
        <w:t xml:space="preserve"> requirement, leading to insulation </w:t>
      </w:r>
      <w:r w:rsidR="00487211">
        <w:rPr>
          <w:lang w:eastAsia="en-US"/>
        </w:rPr>
        <w:t>stringency being met at</w:t>
      </w:r>
      <w:r w:rsidR="007B311B">
        <w:rPr>
          <w:lang w:eastAsia="en-US"/>
        </w:rPr>
        <w:t xml:space="preserve"> </w:t>
      </w:r>
      <w:r>
        <w:rPr>
          <w:lang w:eastAsia="en-US"/>
        </w:rPr>
        <w:t>lower cost.</w:t>
      </w:r>
    </w:p>
    <w:p w:rsidR="006133DD" w:rsidRDefault="00677FEF" w:rsidP="006133DD">
      <w:pPr>
        <w:spacing w:line="240" w:lineRule="auto"/>
        <w:rPr>
          <w:rFonts w:ascii="Times New Roman" w:hAnsi="Times New Roman"/>
          <w:sz w:val="24"/>
          <w:szCs w:val="24"/>
          <w:lang w:val="en-GB" w:eastAsia="en-GB"/>
        </w:rPr>
      </w:pPr>
      <w:r>
        <w:rPr>
          <w:lang w:bidi="fa-IR"/>
        </w:rPr>
        <w:t>The decomposition modelling conducted by EA supports the proposition that lower costs are a result of code improvements (see table </w:t>
      </w:r>
      <w:r w:rsidR="00EE351B">
        <w:rPr>
          <w:lang w:bidi="fa-IR"/>
        </w:rPr>
        <w:fldChar w:fldCharType="begin"/>
      </w:r>
      <w:r w:rsidR="00EE351B">
        <w:rPr>
          <w:lang w:bidi="fa-IR"/>
        </w:rPr>
        <w:instrText xml:space="preserve"> REF _Caption0034 </w:instrText>
      </w:r>
      <w:r w:rsidR="00EE351B">
        <w:rPr>
          <w:lang w:bidi="fa-IR"/>
        </w:rPr>
        <w:fldChar w:fldCharType="separate"/>
      </w:r>
      <w:r w:rsidR="006B79B8">
        <w:rPr>
          <w:noProof/>
        </w:rPr>
        <w:t>5.12</w:t>
      </w:r>
      <w:r w:rsidR="00EE351B">
        <w:rPr>
          <w:lang w:bidi="fa-IR"/>
        </w:rPr>
        <w:fldChar w:fldCharType="end"/>
      </w:r>
      <w:r>
        <w:rPr>
          <w:lang w:bidi="fa-IR"/>
        </w:rPr>
        <w:t xml:space="preserve">). </w:t>
      </w:r>
      <w:r w:rsidR="00EE351B">
        <w:rPr>
          <w:lang w:bidi="fa-IR"/>
        </w:rPr>
        <w:t xml:space="preserve">Although decomposition modelling is not available for all </w:t>
      </w:r>
      <w:r w:rsidR="00E31EE8">
        <w:rPr>
          <w:lang w:bidi="fa-IR"/>
        </w:rPr>
        <w:t>Climate Zone</w:t>
      </w:r>
      <w:r w:rsidR="00EE351B">
        <w:rPr>
          <w:lang w:bidi="fa-IR"/>
        </w:rPr>
        <w:t>s, s</w:t>
      </w:r>
      <w:r>
        <w:rPr>
          <w:lang w:bidi="fa-IR"/>
        </w:rPr>
        <w:t>ome observations may be made from the table</w:t>
      </w:r>
      <w:r w:rsidR="006133DD">
        <w:rPr>
          <w:lang w:bidi="fa-IR"/>
        </w:rPr>
        <w:t xml:space="preserve"> include the following.</w:t>
      </w:r>
      <w:r w:rsidR="006133DD">
        <w:rPr>
          <w:rStyle w:val="FootnoteReference"/>
          <w:lang w:bidi="fa-IR"/>
        </w:rPr>
        <w:footnoteReference w:id="47"/>
      </w:r>
      <w:r w:rsidR="006133DD">
        <w:rPr>
          <w:rFonts w:ascii="Times New Roman" w:hAnsi="Times New Roman"/>
          <w:sz w:val="24"/>
          <w:szCs w:val="24"/>
          <w:lang w:val="en-GB" w:eastAsia="en-GB"/>
        </w:rPr>
        <w:t xml:space="preserve"> </w:t>
      </w:r>
    </w:p>
    <w:p w:rsidR="006133DD" w:rsidRDefault="006133DD" w:rsidP="006133DD">
      <w:pPr>
        <w:pStyle w:val="ListBullet"/>
        <w:numPr>
          <w:ilvl w:val="0"/>
          <w:numId w:val="46"/>
        </w:numPr>
        <w:rPr>
          <w:lang w:bidi="fa-IR"/>
        </w:rPr>
      </w:pPr>
      <w:r>
        <w:rPr>
          <w:lang w:bidi="fa-IR"/>
        </w:rPr>
        <w:t xml:space="preserve">There are several cases where the proposed changes to the NCC reduce the cost of the façade (the hotel in </w:t>
      </w:r>
      <w:r w:rsidR="00E31EE8">
        <w:rPr>
          <w:lang w:bidi="fa-IR"/>
        </w:rPr>
        <w:t>Climate Zone</w:t>
      </w:r>
      <w:r>
        <w:rPr>
          <w:lang w:bidi="fa-IR"/>
        </w:rPr>
        <w:t xml:space="preserve"> 5 and 6, the office building in </w:t>
      </w:r>
      <w:r w:rsidR="00E31EE8">
        <w:rPr>
          <w:lang w:bidi="fa-IR"/>
        </w:rPr>
        <w:t>Climate Zone</w:t>
      </w:r>
      <w:r>
        <w:rPr>
          <w:lang w:bidi="fa-IR"/>
        </w:rPr>
        <w:t xml:space="preserve"> 6 and the school in </w:t>
      </w:r>
      <w:r w:rsidR="00E31EE8">
        <w:rPr>
          <w:lang w:bidi="fa-IR"/>
        </w:rPr>
        <w:t>Climate Zone</w:t>
      </w:r>
      <w:r>
        <w:rPr>
          <w:lang w:bidi="fa-IR"/>
        </w:rPr>
        <w:t xml:space="preserve"> 6).</w:t>
      </w:r>
    </w:p>
    <w:p w:rsidR="006133DD" w:rsidRDefault="006133DD" w:rsidP="006133DD">
      <w:pPr>
        <w:pStyle w:val="ListBullet"/>
        <w:numPr>
          <w:ilvl w:val="0"/>
          <w:numId w:val="46"/>
        </w:numPr>
        <w:rPr>
          <w:lang w:bidi="fa-IR"/>
        </w:rPr>
      </w:pPr>
      <w:r>
        <w:rPr>
          <w:lang w:bidi="fa-IR"/>
        </w:rPr>
        <w:t xml:space="preserve">In one case (the hotel in </w:t>
      </w:r>
      <w:r w:rsidR="00E31EE8">
        <w:rPr>
          <w:lang w:bidi="fa-IR"/>
        </w:rPr>
        <w:t>Climate Zone</w:t>
      </w:r>
      <w:r>
        <w:rPr>
          <w:lang w:bidi="fa-IR"/>
        </w:rPr>
        <w:t xml:space="preserve"> 6), the cost savings on the façade outweigh the increase in the cost of services.</w:t>
      </w:r>
    </w:p>
    <w:p w:rsidR="00EE351B" w:rsidRDefault="006133DD" w:rsidP="00EE351B">
      <w:pPr>
        <w:pStyle w:val="BodyText"/>
        <w:rPr>
          <w:lang w:bidi="fa-IR"/>
        </w:rPr>
      </w:pPr>
      <w:r>
        <w:rPr>
          <w:lang w:bidi="fa-IR"/>
        </w:rPr>
        <w:t>This suggests that net cost reductions are likely to be related to the improved methodology in relation to the façade.</w:t>
      </w:r>
    </w:p>
    <w:p w:rsidR="00EE351B" w:rsidRDefault="00EE351B" w:rsidP="00EE351B">
      <w:pPr>
        <w:pStyle w:val="Caption"/>
      </w:pPr>
      <w:r>
        <w:fldChar w:fldCharType="begin"/>
      </w:r>
      <w:r>
        <w:instrText xml:space="preserve"> IF 1 = 1 "</w:instrText>
      </w:r>
      <w:r>
        <w:fldChar w:fldCharType="begin"/>
      </w:r>
      <w:r>
        <w:instrText xml:space="preserve"> IF </w:instrText>
      </w:r>
      <w:r>
        <w:rPr>
          <w:noProof/>
        </w:rPr>
        <w:fldChar w:fldCharType="begin"/>
      </w:r>
      <w:r>
        <w:rPr>
          <w:noProof/>
        </w:rPr>
        <w:instrText xml:space="preserve"> STYLEREF "Heading 6" \l \n </w:instrText>
      </w:r>
      <w:r>
        <w:rPr>
          <w:noProof/>
        </w:rPr>
        <w:fldChar w:fldCharType="separate"/>
      </w:r>
      <w:r w:rsidR="006B79B8">
        <w:rPr>
          <w:noProof/>
        </w:rPr>
        <w:instrText>0</w:instrText>
      </w:r>
      <w:r>
        <w:rPr>
          <w:noProof/>
        </w:rPr>
        <w:fldChar w:fldCharType="end"/>
      </w:r>
      <w:r>
        <w:instrText xml:space="preserve"> = 0 "</w:instrText>
      </w:r>
      <w:r>
        <w:fldChar w:fldCharType="begin"/>
      </w:r>
      <w:r>
        <w:instrText xml:space="preserve"> IF </w:instrText>
      </w:r>
      <w:r>
        <w:rPr>
          <w:noProof/>
        </w:rPr>
        <w:fldChar w:fldCharType="begin"/>
      </w:r>
      <w:r>
        <w:rPr>
          <w:noProof/>
        </w:rPr>
        <w:instrText xml:space="preserve"> STYLEREF "Heading 1" \l \n </w:instrText>
      </w:r>
      <w:r>
        <w:rPr>
          <w:noProof/>
        </w:rPr>
        <w:fldChar w:fldCharType="separate"/>
      </w:r>
      <w:r w:rsidR="006B79B8">
        <w:rPr>
          <w:noProof/>
        </w:rPr>
        <w:instrText>5</w:instrText>
      </w:r>
      <w:r>
        <w:rPr>
          <w:noProof/>
        </w:rPr>
        <w:fldChar w:fldCharType="end"/>
      </w:r>
      <w:r>
        <w:instrText xml:space="preserve"> = 0 "" "</w:instrText>
      </w:r>
      <w:r>
        <w:rPr>
          <w:noProof/>
        </w:rPr>
        <w:fldChar w:fldCharType="begin"/>
      </w:r>
      <w:r>
        <w:rPr>
          <w:noProof/>
        </w:rPr>
        <w:instrText xml:space="preserve"> STYLEREF "Heading 1" \l \n </w:instrText>
      </w:r>
      <w:r>
        <w:rPr>
          <w:noProof/>
        </w:rPr>
        <w:fldChar w:fldCharType="separate"/>
      </w:r>
      <w:r w:rsidR="006B79B8">
        <w:rPr>
          <w:noProof/>
        </w:rPr>
        <w:instrText>5</w:instrText>
      </w:r>
      <w:r>
        <w:rPr>
          <w:noProof/>
        </w:rPr>
        <w:fldChar w:fldCharType="end"/>
      </w:r>
      <w:r>
        <w:instrText xml:space="preserve">." </w:instrText>
      </w:r>
      <w:r>
        <w:fldChar w:fldCharType="separate"/>
      </w:r>
      <w:r w:rsidR="006B79B8">
        <w:rPr>
          <w:noProof/>
        </w:rPr>
        <w:instrText>5.</w:instrText>
      </w:r>
      <w:r>
        <w:fldChar w:fldCharType="end"/>
      </w:r>
      <w:r>
        <w:instrText>" "</w:instrText>
      </w:r>
      <w:r w:rsidR="001F6F43">
        <w:fldChar w:fldCharType="begin"/>
      </w:r>
      <w:r w:rsidR="001F6F43">
        <w:instrText xml:space="preserve"> STYLEREF "Heading 6" \l \n </w:instrText>
      </w:r>
      <w:r w:rsidR="001F6F43">
        <w:fldChar w:fldCharType="separate"/>
      </w:r>
      <w:r>
        <w:instrText>B</w:instrText>
      </w:r>
      <w:r w:rsidR="001F6F43">
        <w:fldChar w:fldCharType="end"/>
      </w:r>
      <w:r>
        <w:instrText xml:space="preserve">." </w:instrText>
      </w:r>
      <w:r>
        <w:fldChar w:fldCharType="separate"/>
      </w:r>
      <w:r w:rsidR="00EA42ED">
        <w:rPr>
          <w:noProof/>
        </w:rPr>
        <w:instrText>5.</w:instrText>
      </w:r>
      <w:r>
        <w:fldChar w:fldCharType="end"/>
      </w:r>
      <w:r>
        <w:fldChar w:fldCharType="begin"/>
      </w:r>
      <w:r>
        <w:instrText xml:space="preserve"> SEQ Item \* ARABIC \s </w:instrText>
      </w:r>
      <w:r>
        <w:fldChar w:fldCharType="begin"/>
      </w:r>
      <w:r>
        <w:instrText xml:space="preserve"> IF </w:instrText>
      </w:r>
      <w:r>
        <w:rPr>
          <w:noProof/>
        </w:rPr>
        <w:fldChar w:fldCharType="begin"/>
      </w:r>
      <w:r>
        <w:rPr>
          <w:noProof/>
        </w:rPr>
        <w:instrText xml:space="preserve"> STYLEREF "Heading 6" \l \n </w:instrText>
      </w:r>
      <w:r>
        <w:rPr>
          <w:noProof/>
        </w:rPr>
        <w:fldChar w:fldCharType="separate"/>
      </w:r>
      <w:r w:rsidR="006B79B8">
        <w:rPr>
          <w:noProof/>
        </w:rPr>
        <w:instrText>0</w:instrText>
      </w:r>
      <w:r>
        <w:rPr>
          <w:noProof/>
        </w:rPr>
        <w:fldChar w:fldCharType="end"/>
      </w:r>
      <w:r>
        <w:instrText xml:space="preserve"> = 0 "</w:instrText>
      </w:r>
      <w:r>
        <w:fldChar w:fldCharType="begin"/>
      </w:r>
      <w:r>
        <w:instrText xml:space="preserve"> IF </w:instrText>
      </w:r>
      <w:r>
        <w:rPr>
          <w:noProof/>
        </w:rPr>
        <w:fldChar w:fldCharType="begin"/>
      </w:r>
      <w:r>
        <w:rPr>
          <w:noProof/>
        </w:rPr>
        <w:instrText xml:space="preserve"> STYLEREF "Heading 1" \l \n </w:instrText>
      </w:r>
      <w:r>
        <w:rPr>
          <w:noProof/>
        </w:rPr>
        <w:fldChar w:fldCharType="separate"/>
      </w:r>
      <w:r w:rsidR="006B79B8">
        <w:rPr>
          <w:noProof/>
        </w:rPr>
        <w:instrText>5</w:instrText>
      </w:r>
      <w:r>
        <w:rPr>
          <w:noProof/>
        </w:rPr>
        <w:fldChar w:fldCharType="end"/>
      </w:r>
      <w:r>
        <w:instrText xml:space="preserve"> = 0 "" "1" </w:instrText>
      </w:r>
      <w:r>
        <w:fldChar w:fldCharType="separate"/>
      </w:r>
      <w:r w:rsidR="00EA42ED">
        <w:rPr>
          <w:noProof/>
        </w:rPr>
        <w:instrText>1</w:instrText>
      </w:r>
      <w:r>
        <w:fldChar w:fldCharType="end"/>
      </w:r>
      <w:r>
        <w:instrText xml:space="preserve">" "6" </w:instrText>
      </w:r>
      <w:r>
        <w:fldChar w:fldCharType="separate"/>
      </w:r>
      <w:r w:rsidR="00EA42ED">
        <w:rPr>
          <w:noProof/>
        </w:rPr>
        <w:instrText>1</w:instrText>
      </w:r>
      <w:r>
        <w:fldChar w:fldCharType="end"/>
      </w:r>
      <w:r>
        <w:instrText xml:space="preserve"> </w:instrText>
      </w:r>
      <w:r>
        <w:fldChar w:fldCharType="separate"/>
      </w:r>
      <w:r w:rsidR="006B79B8">
        <w:rPr>
          <w:noProof/>
        </w:rPr>
        <w:instrText>12</w:instrText>
      </w:r>
      <w:r>
        <w:fldChar w:fldCharType="end"/>
      </w:r>
      <w:r>
        <w:instrText xml:space="preserve">" "" </w:instrText>
      </w:r>
      <w:r>
        <w:fldChar w:fldCharType="separate"/>
      </w:r>
      <w:bookmarkStart w:id="2146" w:name="_Caption3845"/>
      <w:bookmarkStart w:id="2147" w:name="_Caption2771"/>
      <w:bookmarkStart w:id="2148" w:name="_Caption0034"/>
      <w:bookmarkStart w:id="2149" w:name="_Caption9726"/>
      <w:bookmarkStart w:id="2150" w:name="_Caption0987"/>
      <w:bookmarkStart w:id="2151" w:name="_Caption7901"/>
      <w:bookmarkStart w:id="2152" w:name="_Caption3770"/>
      <w:bookmarkStart w:id="2153" w:name="_Caption8417"/>
      <w:bookmarkStart w:id="2154" w:name="_Caption9615"/>
      <w:bookmarkStart w:id="2155" w:name="_Caption9691"/>
      <w:bookmarkStart w:id="2156" w:name="_Caption8859"/>
      <w:bookmarkStart w:id="2157" w:name="_Caption7187"/>
      <w:bookmarkStart w:id="2158" w:name="_Caption0659"/>
      <w:bookmarkStart w:id="2159" w:name="_Caption3938"/>
      <w:bookmarkStart w:id="2160" w:name="_Toc529869920"/>
      <w:bookmarkStart w:id="2161" w:name="_Toc530748416"/>
      <w:r w:rsidR="00EA42ED">
        <w:rPr>
          <w:noProof/>
        </w:rPr>
        <w:t>5.12</w:t>
      </w:r>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r>
        <w:fldChar w:fldCharType="end"/>
      </w:r>
      <w:r>
        <w:tab/>
        <w:t>Decomposition of construction costs</w:t>
      </w:r>
      <w:bookmarkEnd w:id="2160"/>
      <w:bookmarkEnd w:id="2161"/>
    </w:p>
    <w:tbl>
      <w:tblPr>
        <w:tblW w:w="0" w:type="auto"/>
        <w:tblLayout w:type="fixed"/>
        <w:tblLook w:val="04A0" w:firstRow="1" w:lastRow="0" w:firstColumn="1" w:lastColumn="0" w:noHBand="0" w:noVBand="1"/>
        <w:tblCaption w:val="Table 5.12: Decomposition of construction costs"/>
        <w:tblDescription w:val="This table outlines the composition of construction cost savings based on facade or services in each Climate Zone. "/>
      </w:tblPr>
      <w:tblGrid>
        <w:gridCol w:w="2364"/>
        <w:gridCol w:w="1857"/>
        <w:gridCol w:w="1858"/>
        <w:gridCol w:w="1858"/>
      </w:tblGrid>
      <w:tr w:rsidR="00EE351B" w:rsidTr="00EE351B">
        <w:trPr>
          <w:trHeight w:val="230"/>
          <w:tblHeader/>
        </w:trPr>
        <w:tc>
          <w:tcPr>
            <w:tcW w:w="2364" w:type="dxa"/>
            <w:shd w:val="clear" w:color="auto" w:fill="6F6652"/>
            <w:tcMar>
              <w:top w:w="0" w:type="dxa"/>
              <w:left w:w="57" w:type="dxa"/>
              <w:bottom w:w="0" w:type="dxa"/>
              <w:right w:w="57" w:type="dxa"/>
            </w:tcMar>
          </w:tcPr>
          <w:p w:rsidR="00EE351B" w:rsidRDefault="00EE351B">
            <w:pPr>
              <w:pStyle w:val="TableDataColumnHeading"/>
              <w:jc w:val="left"/>
              <w:rPr>
                <w:lang w:val="en-GB"/>
              </w:rPr>
            </w:pPr>
          </w:p>
        </w:tc>
        <w:tc>
          <w:tcPr>
            <w:tcW w:w="1857" w:type="dxa"/>
            <w:shd w:val="clear" w:color="auto" w:fill="6F6652"/>
            <w:tcMar>
              <w:top w:w="0" w:type="dxa"/>
              <w:left w:w="57" w:type="dxa"/>
              <w:bottom w:w="0" w:type="dxa"/>
              <w:right w:w="57" w:type="dxa"/>
            </w:tcMar>
            <w:hideMark/>
          </w:tcPr>
          <w:p w:rsidR="00EE351B" w:rsidRDefault="00E31EE8">
            <w:pPr>
              <w:pStyle w:val="TableDataColumnHeading"/>
              <w:rPr>
                <w:lang w:val="en-GB"/>
              </w:rPr>
            </w:pPr>
            <w:r>
              <w:rPr>
                <w:lang w:val="en-GB"/>
              </w:rPr>
              <w:t>Climate Zone</w:t>
            </w:r>
            <w:r w:rsidR="00EE351B">
              <w:rPr>
                <w:lang w:val="en-GB"/>
              </w:rPr>
              <w:t xml:space="preserve"> 2</w:t>
            </w:r>
          </w:p>
        </w:tc>
        <w:tc>
          <w:tcPr>
            <w:tcW w:w="1858" w:type="dxa"/>
            <w:shd w:val="clear" w:color="auto" w:fill="6F6652"/>
            <w:tcMar>
              <w:top w:w="0" w:type="dxa"/>
              <w:left w:w="57" w:type="dxa"/>
              <w:bottom w:w="0" w:type="dxa"/>
              <w:right w:w="57" w:type="dxa"/>
            </w:tcMar>
            <w:hideMark/>
          </w:tcPr>
          <w:p w:rsidR="00EE351B" w:rsidRDefault="00E31EE8">
            <w:pPr>
              <w:pStyle w:val="TableDataColumnHeading"/>
              <w:rPr>
                <w:lang w:val="en-GB"/>
              </w:rPr>
            </w:pPr>
            <w:r>
              <w:rPr>
                <w:lang w:val="en-GB"/>
              </w:rPr>
              <w:t>Climate Zone</w:t>
            </w:r>
            <w:r w:rsidR="00EE351B">
              <w:rPr>
                <w:lang w:val="en-GB"/>
              </w:rPr>
              <w:t xml:space="preserve"> 5</w:t>
            </w:r>
          </w:p>
        </w:tc>
        <w:tc>
          <w:tcPr>
            <w:tcW w:w="1858" w:type="dxa"/>
            <w:shd w:val="clear" w:color="auto" w:fill="6F6652"/>
            <w:tcMar>
              <w:top w:w="0" w:type="dxa"/>
              <w:left w:w="57" w:type="dxa"/>
              <w:bottom w:w="0" w:type="dxa"/>
              <w:right w:w="57" w:type="dxa"/>
            </w:tcMar>
            <w:hideMark/>
          </w:tcPr>
          <w:p w:rsidR="00EE351B" w:rsidRDefault="00E31EE8">
            <w:pPr>
              <w:pStyle w:val="TableDataColumnHeading"/>
              <w:rPr>
                <w:lang w:val="en-GB"/>
              </w:rPr>
            </w:pPr>
            <w:r>
              <w:rPr>
                <w:lang w:val="en-GB"/>
              </w:rPr>
              <w:t>Climate Zone</w:t>
            </w:r>
            <w:r w:rsidR="00EE351B">
              <w:rPr>
                <w:lang w:val="en-GB"/>
              </w:rPr>
              <w:t xml:space="preserve"> 6</w:t>
            </w:r>
          </w:p>
        </w:tc>
      </w:tr>
      <w:tr w:rsidR="00EE351B" w:rsidTr="00EE351B">
        <w:trPr>
          <w:trHeight w:val="230"/>
          <w:tblHeader/>
        </w:trPr>
        <w:tc>
          <w:tcPr>
            <w:tcW w:w="2364" w:type="dxa"/>
            <w:tcBorders>
              <w:top w:val="nil"/>
              <w:left w:val="nil"/>
              <w:bottom w:val="single" w:sz="8" w:space="0" w:color="FFFFFF" w:themeColor="background1"/>
              <w:right w:val="nil"/>
            </w:tcBorders>
            <w:tcMar>
              <w:top w:w="0" w:type="dxa"/>
              <w:left w:w="57" w:type="dxa"/>
              <w:bottom w:w="0" w:type="dxa"/>
              <w:right w:w="57" w:type="dxa"/>
            </w:tcMar>
          </w:tcPr>
          <w:p w:rsidR="00EE351B" w:rsidRDefault="00EE351B">
            <w:pPr>
              <w:pStyle w:val="TableUnit"/>
              <w:jc w:val="left"/>
              <w:rPr>
                <w:lang w:val="en-GB"/>
              </w:rPr>
            </w:pPr>
          </w:p>
        </w:tc>
        <w:tc>
          <w:tcPr>
            <w:tcW w:w="1857" w:type="dxa"/>
            <w:tcBorders>
              <w:top w:val="nil"/>
              <w:left w:val="nil"/>
              <w:bottom w:val="single" w:sz="8" w:space="0" w:color="FFFFFF" w:themeColor="background1"/>
              <w:right w:val="nil"/>
            </w:tcBorders>
            <w:tcMar>
              <w:top w:w="0" w:type="dxa"/>
              <w:left w:w="57" w:type="dxa"/>
              <w:bottom w:w="0" w:type="dxa"/>
              <w:right w:w="57" w:type="dxa"/>
            </w:tcMar>
            <w:hideMark/>
          </w:tcPr>
          <w:p w:rsidR="00EE351B" w:rsidRDefault="00EE351B">
            <w:pPr>
              <w:pStyle w:val="TableUnit"/>
              <w:rPr>
                <w:lang w:val="en-GB"/>
              </w:rPr>
            </w:pPr>
            <w:r>
              <w:rPr>
                <w:lang w:val="en-GB"/>
              </w:rPr>
              <w:t>$ per m2</w:t>
            </w:r>
          </w:p>
        </w:tc>
        <w:tc>
          <w:tcPr>
            <w:tcW w:w="1858" w:type="dxa"/>
            <w:tcBorders>
              <w:top w:val="nil"/>
              <w:left w:val="nil"/>
              <w:bottom w:val="single" w:sz="8" w:space="0" w:color="FFFFFF" w:themeColor="background1"/>
              <w:right w:val="nil"/>
            </w:tcBorders>
            <w:tcMar>
              <w:top w:w="0" w:type="dxa"/>
              <w:left w:w="57" w:type="dxa"/>
              <w:bottom w:w="0" w:type="dxa"/>
              <w:right w:w="57" w:type="dxa"/>
            </w:tcMar>
            <w:hideMark/>
          </w:tcPr>
          <w:p w:rsidR="00EE351B" w:rsidRDefault="00EE351B">
            <w:pPr>
              <w:pStyle w:val="TableUnit"/>
              <w:rPr>
                <w:lang w:val="en-GB"/>
              </w:rPr>
            </w:pPr>
            <w:r>
              <w:rPr>
                <w:lang w:val="en-GB"/>
              </w:rPr>
              <w:t>$ per m2</w:t>
            </w:r>
          </w:p>
        </w:tc>
        <w:tc>
          <w:tcPr>
            <w:tcW w:w="1858" w:type="dxa"/>
            <w:tcBorders>
              <w:top w:val="nil"/>
              <w:left w:val="nil"/>
              <w:bottom w:val="single" w:sz="8" w:space="0" w:color="FFFFFF" w:themeColor="background1"/>
              <w:right w:val="nil"/>
            </w:tcBorders>
            <w:tcMar>
              <w:top w:w="0" w:type="dxa"/>
              <w:left w:w="57" w:type="dxa"/>
              <w:bottom w:w="0" w:type="dxa"/>
              <w:right w:w="57" w:type="dxa"/>
            </w:tcMar>
            <w:hideMark/>
          </w:tcPr>
          <w:p w:rsidR="00EE351B" w:rsidRDefault="00EE351B">
            <w:pPr>
              <w:pStyle w:val="TableUnit"/>
              <w:rPr>
                <w:lang w:val="en-GB"/>
              </w:rPr>
            </w:pPr>
            <w:r>
              <w:rPr>
                <w:lang w:val="en-GB"/>
              </w:rPr>
              <w:t>$ per m2</w:t>
            </w:r>
          </w:p>
        </w:tc>
      </w:tr>
      <w:tr w:rsidR="00EE351B" w:rsidTr="00EE351B">
        <w:trPr>
          <w:trHeight w:val="230"/>
        </w:trPr>
        <w:tc>
          <w:tcPr>
            <w:tcW w:w="2364" w:type="dxa"/>
            <w:tcBorders>
              <w:top w:val="single" w:sz="8" w:space="0" w:color="FFFFFF" w:themeColor="background1"/>
              <w:left w:val="nil"/>
              <w:bottom w:val="single" w:sz="8" w:space="0" w:color="FFFFFF" w:themeColor="background1"/>
              <w:right w:val="nil"/>
            </w:tcBorders>
            <w:shd w:val="clear" w:color="auto" w:fill="E4E0DA" w:themeFill="text2" w:themeFillTint="33"/>
            <w:tcMar>
              <w:top w:w="0" w:type="dxa"/>
              <w:left w:w="57" w:type="dxa"/>
              <w:bottom w:w="0" w:type="dxa"/>
              <w:right w:w="57" w:type="dxa"/>
            </w:tcMar>
            <w:hideMark/>
          </w:tcPr>
          <w:p w:rsidR="00EE351B" w:rsidRDefault="00EE351B">
            <w:pPr>
              <w:pStyle w:val="TableHeading1"/>
              <w:rPr>
                <w:lang w:val="en-GB"/>
              </w:rPr>
            </w:pPr>
            <w:r>
              <w:rPr>
                <w:lang w:val="en-GB"/>
              </w:rPr>
              <w:t>Hotel</w:t>
            </w:r>
          </w:p>
        </w:tc>
        <w:tc>
          <w:tcPr>
            <w:tcW w:w="1857" w:type="dxa"/>
            <w:tcBorders>
              <w:top w:val="single" w:sz="8" w:space="0" w:color="FFFFFF" w:themeColor="background1"/>
              <w:left w:val="nil"/>
              <w:bottom w:val="single" w:sz="8" w:space="0" w:color="FFFFFF" w:themeColor="background1"/>
              <w:right w:val="nil"/>
            </w:tcBorders>
            <w:shd w:val="clear" w:color="auto" w:fill="E4E0DA" w:themeFill="text2" w:themeFillTint="33"/>
            <w:tcMar>
              <w:top w:w="0" w:type="dxa"/>
              <w:left w:w="57" w:type="dxa"/>
              <w:bottom w:w="0" w:type="dxa"/>
              <w:right w:w="57" w:type="dxa"/>
            </w:tcMar>
          </w:tcPr>
          <w:p w:rsidR="00EE351B" w:rsidRDefault="00EE351B">
            <w:pPr>
              <w:pStyle w:val="TableHeading1"/>
              <w:rPr>
                <w:lang w:val="en-GB"/>
              </w:rPr>
            </w:pPr>
          </w:p>
        </w:tc>
        <w:tc>
          <w:tcPr>
            <w:tcW w:w="1858" w:type="dxa"/>
            <w:tcBorders>
              <w:top w:val="single" w:sz="8" w:space="0" w:color="FFFFFF" w:themeColor="background1"/>
              <w:left w:val="nil"/>
              <w:bottom w:val="single" w:sz="8" w:space="0" w:color="FFFFFF" w:themeColor="background1"/>
              <w:right w:val="nil"/>
            </w:tcBorders>
            <w:shd w:val="clear" w:color="auto" w:fill="E4E0DA" w:themeFill="text2" w:themeFillTint="33"/>
            <w:tcMar>
              <w:top w:w="0" w:type="dxa"/>
              <w:left w:w="57" w:type="dxa"/>
              <w:bottom w:w="0" w:type="dxa"/>
              <w:right w:w="57" w:type="dxa"/>
            </w:tcMar>
          </w:tcPr>
          <w:p w:rsidR="00EE351B" w:rsidRDefault="00EE351B">
            <w:pPr>
              <w:pStyle w:val="TableHeading1"/>
              <w:rPr>
                <w:lang w:val="en-GB"/>
              </w:rPr>
            </w:pPr>
          </w:p>
        </w:tc>
        <w:tc>
          <w:tcPr>
            <w:tcW w:w="1858" w:type="dxa"/>
            <w:tcBorders>
              <w:top w:val="single" w:sz="8" w:space="0" w:color="FFFFFF" w:themeColor="background1"/>
              <w:left w:val="nil"/>
              <w:bottom w:val="single" w:sz="8" w:space="0" w:color="FFFFFF" w:themeColor="background1"/>
              <w:right w:val="nil"/>
            </w:tcBorders>
            <w:shd w:val="clear" w:color="auto" w:fill="E4E0DA" w:themeFill="text2" w:themeFillTint="33"/>
            <w:tcMar>
              <w:top w:w="0" w:type="dxa"/>
              <w:left w:w="57" w:type="dxa"/>
              <w:bottom w:w="0" w:type="dxa"/>
              <w:right w:w="57" w:type="dxa"/>
            </w:tcMar>
          </w:tcPr>
          <w:p w:rsidR="00EE351B" w:rsidRDefault="00EE351B">
            <w:pPr>
              <w:pStyle w:val="TableHeading1"/>
              <w:rPr>
                <w:lang w:val="en-GB"/>
              </w:rPr>
            </w:pPr>
          </w:p>
        </w:tc>
      </w:tr>
      <w:tr w:rsidR="00EE351B" w:rsidTr="00EE351B">
        <w:trPr>
          <w:trHeight w:val="230"/>
        </w:trPr>
        <w:tc>
          <w:tcPr>
            <w:tcW w:w="2364"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rsidR="00EE351B" w:rsidRDefault="00EE351B">
            <w:pPr>
              <w:pStyle w:val="TableDataEntries"/>
              <w:jc w:val="left"/>
              <w:rPr>
                <w:lang w:val="en-GB"/>
              </w:rPr>
            </w:pPr>
            <w:r>
              <w:rPr>
                <w:lang w:val="en-GB"/>
              </w:rPr>
              <w:t>Façade</w:t>
            </w:r>
          </w:p>
        </w:tc>
        <w:tc>
          <w:tcPr>
            <w:tcW w:w="1857"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rsidR="00EE351B" w:rsidRDefault="00EE351B">
            <w:pPr>
              <w:pStyle w:val="TableDataEntries"/>
              <w:rPr>
                <w:lang w:val="en-GB"/>
              </w:rPr>
            </w:pPr>
            <w:r>
              <w:rPr>
                <w:lang w:val="en-GB"/>
              </w:rPr>
              <w:t>- 0.55</w:t>
            </w:r>
          </w:p>
        </w:tc>
        <w:tc>
          <w:tcPr>
            <w:tcW w:w="1858"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rsidR="00EE351B" w:rsidRDefault="00EE351B">
            <w:pPr>
              <w:pStyle w:val="TableDataEntries"/>
              <w:rPr>
                <w:lang w:val="en-GB"/>
              </w:rPr>
            </w:pPr>
            <w:r>
              <w:rPr>
                <w:lang w:val="en-GB"/>
              </w:rPr>
              <w:t xml:space="preserve"> 8.02</w:t>
            </w:r>
          </w:p>
        </w:tc>
        <w:tc>
          <w:tcPr>
            <w:tcW w:w="1858"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rsidR="00EE351B" w:rsidRDefault="00EE351B">
            <w:pPr>
              <w:pStyle w:val="TableDataEntries"/>
              <w:rPr>
                <w:lang w:val="en-GB"/>
              </w:rPr>
            </w:pPr>
            <w:r>
              <w:rPr>
                <w:lang w:val="en-GB"/>
              </w:rPr>
              <w:t xml:space="preserve"> 3.12</w:t>
            </w:r>
          </w:p>
        </w:tc>
      </w:tr>
      <w:tr w:rsidR="00EE351B" w:rsidTr="00EE351B">
        <w:trPr>
          <w:trHeight w:val="230"/>
        </w:trPr>
        <w:tc>
          <w:tcPr>
            <w:tcW w:w="2364"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rsidR="00EE351B" w:rsidRDefault="00EE351B">
            <w:pPr>
              <w:pStyle w:val="TableDataEntries"/>
              <w:jc w:val="left"/>
              <w:rPr>
                <w:lang w:val="en-GB"/>
              </w:rPr>
            </w:pPr>
            <w:r>
              <w:rPr>
                <w:lang w:val="en-GB"/>
              </w:rPr>
              <w:t>Services</w:t>
            </w:r>
          </w:p>
        </w:tc>
        <w:tc>
          <w:tcPr>
            <w:tcW w:w="1857"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rsidR="00EE351B" w:rsidRDefault="00EE351B">
            <w:pPr>
              <w:pStyle w:val="TableDataEntries"/>
              <w:rPr>
                <w:lang w:val="en-GB"/>
              </w:rPr>
            </w:pPr>
            <w:r>
              <w:rPr>
                <w:lang w:val="en-GB"/>
              </w:rPr>
              <w:t>- 1.36</w:t>
            </w:r>
          </w:p>
        </w:tc>
        <w:tc>
          <w:tcPr>
            <w:tcW w:w="1858"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rsidR="00EE351B" w:rsidRDefault="00EE351B">
            <w:pPr>
              <w:pStyle w:val="TableDataEntries"/>
              <w:rPr>
                <w:lang w:val="en-GB"/>
              </w:rPr>
            </w:pPr>
            <w:r>
              <w:rPr>
                <w:lang w:val="en-GB"/>
              </w:rPr>
              <w:t>- 13.00</w:t>
            </w:r>
          </w:p>
        </w:tc>
        <w:tc>
          <w:tcPr>
            <w:tcW w:w="1858"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rsidR="00EE351B" w:rsidRDefault="00EE351B">
            <w:pPr>
              <w:pStyle w:val="TableDataEntries"/>
              <w:rPr>
                <w:lang w:val="en-GB"/>
              </w:rPr>
            </w:pPr>
            <w:r>
              <w:rPr>
                <w:lang w:val="en-GB"/>
              </w:rPr>
              <w:t>- 2.36</w:t>
            </w:r>
          </w:p>
        </w:tc>
      </w:tr>
      <w:tr w:rsidR="00EE351B" w:rsidRPr="0032647A" w:rsidTr="00EE351B">
        <w:trPr>
          <w:trHeight w:val="230"/>
        </w:trPr>
        <w:tc>
          <w:tcPr>
            <w:tcW w:w="2364" w:type="dxa"/>
            <w:tcBorders>
              <w:top w:val="single" w:sz="8" w:space="0" w:color="FFFFFF" w:themeColor="background1"/>
              <w:left w:val="nil"/>
              <w:bottom w:val="single" w:sz="8" w:space="0" w:color="FFFFFF" w:themeColor="background1"/>
              <w:right w:val="nil"/>
            </w:tcBorders>
            <w:shd w:val="clear" w:color="auto" w:fill="C2DADB" w:themeFill="accent6" w:themeFillTint="99"/>
            <w:tcMar>
              <w:top w:w="0" w:type="dxa"/>
              <w:left w:w="57" w:type="dxa"/>
              <w:bottom w:w="0" w:type="dxa"/>
              <w:right w:w="57" w:type="dxa"/>
            </w:tcMar>
            <w:hideMark/>
          </w:tcPr>
          <w:p w:rsidR="00EE351B" w:rsidRPr="0032647A" w:rsidRDefault="00EE351B">
            <w:pPr>
              <w:pStyle w:val="TableDataEntries"/>
              <w:jc w:val="left"/>
              <w:rPr>
                <w:rFonts w:ascii="Franklin Gothic Demi" w:hAnsi="Franklin Gothic Demi"/>
                <w:lang w:val="en-GB"/>
              </w:rPr>
            </w:pPr>
            <w:r w:rsidRPr="0032647A">
              <w:rPr>
                <w:rFonts w:ascii="Franklin Gothic Demi" w:hAnsi="Franklin Gothic Demi"/>
                <w:lang w:val="en-GB"/>
              </w:rPr>
              <w:t>Total</w:t>
            </w:r>
          </w:p>
        </w:tc>
        <w:tc>
          <w:tcPr>
            <w:tcW w:w="1857" w:type="dxa"/>
            <w:tcBorders>
              <w:top w:val="single" w:sz="8" w:space="0" w:color="FFFFFF" w:themeColor="background1"/>
              <w:left w:val="nil"/>
              <w:bottom w:val="single" w:sz="8" w:space="0" w:color="FFFFFF" w:themeColor="background1"/>
              <w:right w:val="nil"/>
            </w:tcBorders>
            <w:shd w:val="clear" w:color="auto" w:fill="C2DADB" w:themeFill="accent6" w:themeFillTint="99"/>
            <w:tcMar>
              <w:top w:w="0" w:type="dxa"/>
              <w:left w:w="57" w:type="dxa"/>
              <w:bottom w:w="0" w:type="dxa"/>
              <w:right w:w="57" w:type="dxa"/>
            </w:tcMar>
            <w:hideMark/>
          </w:tcPr>
          <w:p w:rsidR="00EE351B" w:rsidRPr="0032647A" w:rsidRDefault="00EE351B">
            <w:pPr>
              <w:pStyle w:val="TableDataEntries"/>
              <w:rPr>
                <w:rFonts w:ascii="Franklin Gothic Demi" w:hAnsi="Franklin Gothic Demi"/>
                <w:lang w:val="en-GB"/>
              </w:rPr>
            </w:pPr>
            <w:r w:rsidRPr="0032647A">
              <w:rPr>
                <w:rFonts w:ascii="Franklin Gothic Demi" w:hAnsi="Franklin Gothic Demi"/>
                <w:lang w:val="en-GB"/>
              </w:rPr>
              <w:t>- 1.92</w:t>
            </w:r>
          </w:p>
        </w:tc>
        <w:tc>
          <w:tcPr>
            <w:tcW w:w="1858" w:type="dxa"/>
            <w:tcBorders>
              <w:top w:val="single" w:sz="8" w:space="0" w:color="FFFFFF" w:themeColor="background1"/>
              <w:left w:val="nil"/>
              <w:bottom w:val="single" w:sz="8" w:space="0" w:color="FFFFFF" w:themeColor="background1"/>
              <w:right w:val="nil"/>
            </w:tcBorders>
            <w:shd w:val="clear" w:color="auto" w:fill="C2DADB" w:themeFill="accent6" w:themeFillTint="99"/>
            <w:tcMar>
              <w:top w:w="0" w:type="dxa"/>
              <w:left w:w="57" w:type="dxa"/>
              <w:bottom w:w="0" w:type="dxa"/>
              <w:right w:w="57" w:type="dxa"/>
            </w:tcMar>
            <w:hideMark/>
          </w:tcPr>
          <w:p w:rsidR="00EE351B" w:rsidRPr="0032647A" w:rsidRDefault="00EE351B">
            <w:pPr>
              <w:pStyle w:val="TableDataEntries"/>
              <w:rPr>
                <w:rFonts w:ascii="Franklin Gothic Demi" w:hAnsi="Franklin Gothic Demi"/>
                <w:lang w:val="en-GB"/>
              </w:rPr>
            </w:pPr>
            <w:r w:rsidRPr="0032647A">
              <w:rPr>
                <w:rFonts w:ascii="Franklin Gothic Demi" w:hAnsi="Franklin Gothic Demi"/>
                <w:lang w:val="en-GB"/>
              </w:rPr>
              <w:t>- 4.98</w:t>
            </w:r>
          </w:p>
        </w:tc>
        <w:tc>
          <w:tcPr>
            <w:tcW w:w="1858" w:type="dxa"/>
            <w:tcBorders>
              <w:top w:val="single" w:sz="8" w:space="0" w:color="FFFFFF" w:themeColor="background1"/>
              <w:left w:val="nil"/>
              <w:bottom w:val="single" w:sz="8" w:space="0" w:color="FFFFFF" w:themeColor="background1"/>
              <w:right w:val="nil"/>
            </w:tcBorders>
            <w:shd w:val="clear" w:color="auto" w:fill="C2DADB" w:themeFill="accent6" w:themeFillTint="99"/>
            <w:tcMar>
              <w:top w:w="0" w:type="dxa"/>
              <w:left w:w="57" w:type="dxa"/>
              <w:bottom w:w="0" w:type="dxa"/>
              <w:right w:w="57" w:type="dxa"/>
            </w:tcMar>
            <w:hideMark/>
          </w:tcPr>
          <w:p w:rsidR="00EE351B" w:rsidRPr="0032647A" w:rsidRDefault="00EE351B">
            <w:pPr>
              <w:pStyle w:val="TableDataEntries"/>
              <w:rPr>
                <w:rFonts w:ascii="Franklin Gothic Demi" w:hAnsi="Franklin Gothic Demi"/>
                <w:lang w:val="en-GB"/>
              </w:rPr>
            </w:pPr>
            <w:r w:rsidRPr="0032647A">
              <w:rPr>
                <w:rFonts w:ascii="Franklin Gothic Demi" w:hAnsi="Franklin Gothic Demi"/>
                <w:lang w:val="en-GB"/>
              </w:rPr>
              <w:t xml:space="preserve"> 0.77</w:t>
            </w:r>
          </w:p>
        </w:tc>
      </w:tr>
      <w:tr w:rsidR="00EE351B" w:rsidTr="00EE351B">
        <w:trPr>
          <w:trHeight w:val="230"/>
        </w:trPr>
        <w:tc>
          <w:tcPr>
            <w:tcW w:w="2364" w:type="dxa"/>
            <w:tcBorders>
              <w:top w:val="single" w:sz="8" w:space="0" w:color="FFFFFF" w:themeColor="background1"/>
              <w:left w:val="nil"/>
              <w:bottom w:val="single" w:sz="8" w:space="0" w:color="FFFFFF" w:themeColor="background1"/>
              <w:right w:val="nil"/>
            </w:tcBorders>
            <w:shd w:val="clear" w:color="auto" w:fill="E4E0DA" w:themeFill="text2" w:themeFillTint="33"/>
            <w:tcMar>
              <w:top w:w="0" w:type="dxa"/>
              <w:left w:w="57" w:type="dxa"/>
              <w:bottom w:w="0" w:type="dxa"/>
              <w:right w:w="57" w:type="dxa"/>
            </w:tcMar>
            <w:hideMark/>
          </w:tcPr>
          <w:p w:rsidR="00EE351B" w:rsidRDefault="00EE351B">
            <w:pPr>
              <w:pStyle w:val="TableHeading1"/>
              <w:rPr>
                <w:lang w:val="en-GB"/>
              </w:rPr>
            </w:pPr>
            <w:r>
              <w:rPr>
                <w:lang w:val="en-GB"/>
              </w:rPr>
              <w:t>Office</w:t>
            </w:r>
          </w:p>
        </w:tc>
        <w:tc>
          <w:tcPr>
            <w:tcW w:w="1857" w:type="dxa"/>
            <w:tcBorders>
              <w:top w:val="single" w:sz="8" w:space="0" w:color="FFFFFF" w:themeColor="background1"/>
              <w:left w:val="nil"/>
              <w:bottom w:val="single" w:sz="8" w:space="0" w:color="FFFFFF" w:themeColor="background1"/>
              <w:right w:val="nil"/>
            </w:tcBorders>
            <w:shd w:val="clear" w:color="auto" w:fill="E4E0DA" w:themeFill="text2" w:themeFillTint="33"/>
            <w:tcMar>
              <w:top w:w="0" w:type="dxa"/>
              <w:left w:w="57" w:type="dxa"/>
              <w:bottom w:w="0" w:type="dxa"/>
              <w:right w:w="57" w:type="dxa"/>
            </w:tcMar>
          </w:tcPr>
          <w:p w:rsidR="00EE351B" w:rsidRDefault="00EE351B">
            <w:pPr>
              <w:pStyle w:val="TableHeading1"/>
              <w:rPr>
                <w:lang w:val="en-GB"/>
              </w:rPr>
            </w:pPr>
          </w:p>
        </w:tc>
        <w:tc>
          <w:tcPr>
            <w:tcW w:w="1858" w:type="dxa"/>
            <w:tcBorders>
              <w:top w:val="single" w:sz="8" w:space="0" w:color="FFFFFF" w:themeColor="background1"/>
              <w:left w:val="nil"/>
              <w:bottom w:val="single" w:sz="8" w:space="0" w:color="FFFFFF" w:themeColor="background1"/>
              <w:right w:val="nil"/>
            </w:tcBorders>
            <w:shd w:val="clear" w:color="auto" w:fill="E4E0DA" w:themeFill="text2" w:themeFillTint="33"/>
            <w:tcMar>
              <w:top w:w="0" w:type="dxa"/>
              <w:left w:w="57" w:type="dxa"/>
              <w:bottom w:w="0" w:type="dxa"/>
              <w:right w:w="57" w:type="dxa"/>
            </w:tcMar>
          </w:tcPr>
          <w:p w:rsidR="00EE351B" w:rsidRDefault="00EE351B">
            <w:pPr>
              <w:pStyle w:val="TableHeading1"/>
              <w:rPr>
                <w:lang w:val="en-GB"/>
              </w:rPr>
            </w:pPr>
          </w:p>
        </w:tc>
        <w:tc>
          <w:tcPr>
            <w:tcW w:w="1858" w:type="dxa"/>
            <w:tcBorders>
              <w:top w:val="single" w:sz="8" w:space="0" w:color="FFFFFF" w:themeColor="background1"/>
              <w:left w:val="nil"/>
              <w:bottom w:val="single" w:sz="8" w:space="0" w:color="FFFFFF" w:themeColor="background1"/>
              <w:right w:val="nil"/>
            </w:tcBorders>
            <w:shd w:val="clear" w:color="auto" w:fill="E4E0DA" w:themeFill="text2" w:themeFillTint="33"/>
            <w:tcMar>
              <w:top w:w="0" w:type="dxa"/>
              <w:left w:w="57" w:type="dxa"/>
              <w:bottom w:w="0" w:type="dxa"/>
              <w:right w:w="57" w:type="dxa"/>
            </w:tcMar>
          </w:tcPr>
          <w:p w:rsidR="00EE351B" w:rsidRDefault="00EE351B">
            <w:pPr>
              <w:pStyle w:val="TableHeading1"/>
              <w:rPr>
                <w:lang w:val="en-GB"/>
              </w:rPr>
            </w:pPr>
          </w:p>
        </w:tc>
      </w:tr>
      <w:tr w:rsidR="00EE351B" w:rsidTr="00EE351B">
        <w:trPr>
          <w:trHeight w:val="230"/>
        </w:trPr>
        <w:tc>
          <w:tcPr>
            <w:tcW w:w="2364"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rsidR="00EE351B" w:rsidRDefault="00EE351B">
            <w:pPr>
              <w:pStyle w:val="TableDataEntries"/>
              <w:jc w:val="left"/>
              <w:rPr>
                <w:lang w:val="en-GB"/>
              </w:rPr>
            </w:pPr>
            <w:r>
              <w:rPr>
                <w:lang w:val="en-GB"/>
              </w:rPr>
              <w:t>Façade</w:t>
            </w:r>
          </w:p>
        </w:tc>
        <w:tc>
          <w:tcPr>
            <w:tcW w:w="1857"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rsidR="00EE351B" w:rsidRDefault="00EE351B">
            <w:pPr>
              <w:pStyle w:val="TableDataEntries"/>
              <w:rPr>
                <w:lang w:val="en-GB"/>
              </w:rPr>
            </w:pPr>
            <w:r>
              <w:rPr>
                <w:lang w:val="en-GB"/>
              </w:rPr>
              <w:t>- 1.70</w:t>
            </w:r>
          </w:p>
        </w:tc>
        <w:tc>
          <w:tcPr>
            <w:tcW w:w="1858"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rsidR="00EE351B" w:rsidRDefault="00EE351B">
            <w:pPr>
              <w:pStyle w:val="TableDataEntries"/>
              <w:rPr>
                <w:lang w:val="en-GB"/>
              </w:rPr>
            </w:pPr>
            <w:r>
              <w:rPr>
                <w:lang w:val="en-GB"/>
              </w:rPr>
              <w:t>- 0.75</w:t>
            </w:r>
          </w:p>
        </w:tc>
        <w:tc>
          <w:tcPr>
            <w:tcW w:w="1858"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rsidR="00EE351B" w:rsidRDefault="00EE351B">
            <w:pPr>
              <w:pStyle w:val="TableDataEntries"/>
              <w:rPr>
                <w:lang w:val="en-GB"/>
              </w:rPr>
            </w:pPr>
            <w:r>
              <w:rPr>
                <w:lang w:val="en-GB"/>
              </w:rPr>
              <w:t xml:space="preserve"> 9.84</w:t>
            </w:r>
          </w:p>
        </w:tc>
      </w:tr>
      <w:tr w:rsidR="00EE351B" w:rsidTr="00EE351B">
        <w:trPr>
          <w:trHeight w:val="230"/>
        </w:trPr>
        <w:tc>
          <w:tcPr>
            <w:tcW w:w="2364"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rsidR="00EE351B" w:rsidRDefault="00EE351B">
            <w:pPr>
              <w:pStyle w:val="TableDataEntries"/>
              <w:jc w:val="left"/>
              <w:rPr>
                <w:lang w:val="en-GB"/>
              </w:rPr>
            </w:pPr>
            <w:r>
              <w:rPr>
                <w:lang w:val="en-GB"/>
              </w:rPr>
              <w:t>Services</w:t>
            </w:r>
          </w:p>
        </w:tc>
        <w:tc>
          <w:tcPr>
            <w:tcW w:w="1857"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rsidR="00EE351B" w:rsidRDefault="00EE351B">
            <w:pPr>
              <w:pStyle w:val="TableDataEntries"/>
              <w:rPr>
                <w:lang w:val="en-GB"/>
              </w:rPr>
            </w:pPr>
            <w:r>
              <w:rPr>
                <w:lang w:val="en-GB"/>
              </w:rPr>
              <w:t>- 1.79</w:t>
            </w:r>
          </w:p>
        </w:tc>
        <w:tc>
          <w:tcPr>
            <w:tcW w:w="1858"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rsidR="00EE351B" w:rsidRDefault="00EE351B">
            <w:pPr>
              <w:pStyle w:val="TableDataEntries"/>
              <w:rPr>
                <w:lang w:val="en-GB"/>
              </w:rPr>
            </w:pPr>
            <w:r>
              <w:rPr>
                <w:lang w:val="en-GB"/>
              </w:rPr>
              <w:t>- 10.36</w:t>
            </w:r>
          </w:p>
        </w:tc>
        <w:tc>
          <w:tcPr>
            <w:tcW w:w="1858"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rsidR="00EE351B" w:rsidRDefault="00EE351B">
            <w:pPr>
              <w:pStyle w:val="TableDataEntries"/>
              <w:rPr>
                <w:lang w:val="en-GB"/>
              </w:rPr>
            </w:pPr>
            <w:r>
              <w:rPr>
                <w:lang w:val="en-GB"/>
              </w:rPr>
              <w:t>- 15.20</w:t>
            </w:r>
          </w:p>
        </w:tc>
      </w:tr>
      <w:tr w:rsidR="00EE351B" w:rsidRPr="0032647A" w:rsidTr="00EE351B">
        <w:trPr>
          <w:trHeight w:val="230"/>
        </w:trPr>
        <w:tc>
          <w:tcPr>
            <w:tcW w:w="2364" w:type="dxa"/>
            <w:tcBorders>
              <w:top w:val="single" w:sz="8" w:space="0" w:color="FFFFFF" w:themeColor="background1"/>
              <w:left w:val="nil"/>
              <w:bottom w:val="single" w:sz="8" w:space="0" w:color="FFFFFF" w:themeColor="background1"/>
              <w:right w:val="nil"/>
            </w:tcBorders>
            <w:shd w:val="clear" w:color="auto" w:fill="C2DADB" w:themeFill="accent6" w:themeFillTint="99"/>
            <w:tcMar>
              <w:top w:w="0" w:type="dxa"/>
              <w:left w:w="57" w:type="dxa"/>
              <w:bottom w:w="0" w:type="dxa"/>
              <w:right w:w="57" w:type="dxa"/>
            </w:tcMar>
            <w:hideMark/>
          </w:tcPr>
          <w:p w:rsidR="00EE351B" w:rsidRPr="0032647A" w:rsidRDefault="00EE351B">
            <w:pPr>
              <w:pStyle w:val="TableDataEntries"/>
              <w:jc w:val="left"/>
              <w:rPr>
                <w:rFonts w:ascii="Franklin Gothic Demi" w:hAnsi="Franklin Gothic Demi"/>
                <w:lang w:val="en-GB"/>
              </w:rPr>
            </w:pPr>
            <w:r w:rsidRPr="0032647A">
              <w:rPr>
                <w:rFonts w:ascii="Franklin Gothic Demi" w:hAnsi="Franklin Gothic Demi"/>
                <w:lang w:val="en-GB"/>
              </w:rPr>
              <w:t>Total</w:t>
            </w:r>
          </w:p>
        </w:tc>
        <w:tc>
          <w:tcPr>
            <w:tcW w:w="1857" w:type="dxa"/>
            <w:tcBorders>
              <w:top w:val="single" w:sz="8" w:space="0" w:color="FFFFFF" w:themeColor="background1"/>
              <w:left w:val="nil"/>
              <w:bottom w:val="single" w:sz="8" w:space="0" w:color="FFFFFF" w:themeColor="background1"/>
              <w:right w:val="nil"/>
            </w:tcBorders>
            <w:shd w:val="clear" w:color="auto" w:fill="C2DADB" w:themeFill="accent6" w:themeFillTint="99"/>
            <w:tcMar>
              <w:top w:w="0" w:type="dxa"/>
              <w:left w:w="57" w:type="dxa"/>
              <w:bottom w:w="0" w:type="dxa"/>
              <w:right w:w="57" w:type="dxa"/>
            </w:tcMar>
            <w:hideMark/>
          </w:tcPr>
          <w:p w:rsidR="00EE351B" w:rsidRPr="0032647A" w:rsidRDefault="00EE351B">
            <w:pPr>
              <w:pStyle w:val="TableDataEntries"/>
              <w:rPr>
                <w:rFonts w:ascii="Franklin Gothic Demi" w:hAnsi="Franklin Gothic Demi"/>
                <w:lang w:val="en-GB"/>
              </w:rPr>
            </w:pPr>
            <w:r w:rsidRPr="0032647A">
              <w:rPr>
                <w:rFonts w:ascii="Franklin Gothic Demi" w:hAnsi="Franklin Gothic Demi"/>
                <w:lang w:val="en-GB"/>
              </w:rPr>
              <w:t>- 3.49</w:t>
            </w:r>
          </w:p>
        </w:tc>
        <w:tc>
          <w:tcPr>
            <w:tcW w:w="1858" w:type="dxa"/>
            <w:tcBorders>
              <w:top w:val="single" w:sz="8" w:space="0" w:color="FFFFFF" w:themeColor="background1"/>
              <w:left w:val="nil"/>
              <w:bottom w:val="single" w:sz="8" w:space="0" w:color="FFFFFF" w:themeColor="background1"/>
              <w:right w:val="nil"/>
            </w:tcBorders>
            <w:shd w:val="clear" w:color="auto" w:fill="C2DADB" w:themeFill="accent6" w:themeFillTint="99"/>
            <w:tcMar>
              <w:top w:w="0" w:type="dxa"/>
              <w:left w:w="57" w:type="dxa"/>
              <w:bottom w:w="0" w:type="dxa"/>
              <w:right w:w="57" w:type="dxa"/>
            </w:tcMar>
            <w:hideMark/>
          </w:tcPr>
          <w:p w:rsidR="00EE351B" w:rsidRPr="0032647A" w:rsidRDefault="00EE351B">
            <w:pPr>
              <w:pStyle w:val="TableDataEntries"/>
              <w:rPr>
                <w:rFonts w:ascii="Franklin Gothic Demi" w:hAnsi="Franklin Gothic Demi"/>
                <w:lang w:val="en-GB"/>
              </w:rPr>
            </w:pPr>
            <w:r w:rsidRPr="0032647A">
              <w:rPr>
                <w:rFonts w:ascii="Franklin Gothic Demi" w:hAnsi="Franklin Gothic Demi"/>
                <w:lang w:val="en-GB"/>
              </w:rPr>
              <w:t>- 11.11</w:t>
            </w:r>
          </w:p>
        </w:tc>
        <w:tc>
          <w:tcPr>
            <w:tcW w:w="1858" w:type="dxa"/>
            <w:tcBorders>
              <w:top w:val="single" w:sz="8" w:space="0" w:color="FFFFFF" w:themeColor="background1"/>
              <w:left w:val="nil"/>
              <w:bottom w:val="single" w:sz="8" w:space="0" w:color="FFFFFF" w:themeColor="background1"/>
              <w:right w:val="nil"/>
            </w:tcBorders>
            <w:shd w:val="clear" w:color="auto" w:fill="C2DADB" w:themeFill="accent6" w:themeFillTint="99"/>
            <w:tcMar>
              <w:top w:w="0" w:type="dxa"/>
              <w:left w:w="57" w:type="dxa"/>
              <w:bottom w:w="0" w:type="dxa"/>
              <w:right w:w="57" w:type="dxa"/>
            </w:tcMar>
            <w:hideMark/>
          </w:tcPr>
          <w:p w:rsidR="00EE351B" w:rsidRPr="0032647A" w:rsidRDefault="00EE351B">
            <w:pPr>
              <w:pStyle w:val="TableDataEntries"/>
              <w:rPr>
                <w:rFonts w:ascii="Franklin Gothic Demi" w:hAnsi="Franklin Gothic Demi"/>
                <w:lang w:val="en-GB"/>
              </w:rPr>
            </w:pPr>
            <w:r w:rsidRPr="0032647A">
              <w:rPr>
                <w:rFonts w:ascii="Franklin Gothic Demi" w:hAnsi="Franklin Gothic Demi"/>
                <w:lang w:val="en-GB"/>
              </w:rPr>
              <w:t>- 5.36</w:t>
            </w:r>
          </w:p>
        </w:tc>
      </w:tr>
      <w:tr w:rsidR="00EE351B" w:rsidTr="00EE351B">
        <w:trPr>
          <w:trHeight w:val="230"/>
        </w:trPr>
        <w:tc>
          <w:tcPr>
            <w:tcW w:w="2364" w:type="dxa"/>
            <w:tcBorders>
              <w:top w:val="single" w:sz="8" w:space="0" w:color="FFFFFF" w:themeColor="background1"/>
              <w:left w:val="nil"/>
              <w:bottom w:val="single" w:sz="8" w:space="0" w:color="FFFFFF" w:themeColor="background1"/>
              <w:right w:val="nil"/>
            </w:tcBorders>
            <w:shd w:val="clear" w:color="auto" w:fill="E4E0DA" w:themeFill="text2" w:themeFillTint="33"/>
            <w:tcMar>
              <w:top w:w="0" w:type="dxa"/>
              <w:left w:w="57" w:type="dxa"/>
              <w:bottom w:w="0" w:type="dxa"/>
              <w:right w:w="57" w:type="dxa"/>
            </w:tcMar>
            <w:hideMark/>
          </w:tcPr>
          <w:p w:rsidR="00EE351B" w:rsidRDefault="00EE351B">
            <w:pPr>
              <w:pStyle w:val="TableHeading1"/>
              <w:rPr>
                <w:lang w:val="en-GB"/>
              </w:rPr>
            </w:pPr>
            <w:r>
              <w:rPr>
                <w:lang w:val="en-GB"/>
              </w:rPr>
              <w:t>Retail</w:t>
            </w:r>
          </w:p>
        </w:tc>
        <w:tc>
          <w:tcPr>
            <w:tcW w:w="1857" w:type="dxa"/>
            <w:tcBorders>
              <w:top w:val="single" w:sz="8" w:space="0" w:color="FFFFFF" w:themeColor="background1"/>
              <w:left w:val="nil"/>
              <w:bottom w:val="single" w:sz="8" w:space="0" w:color="FFFFFF" w:themeColor="background1"/>
              <w:right w:val="nil"/>
            </w:tcBorders>
            <w:shd w:val="clear" w:color="auto" w:fill="E4E0DA" w:themeFill="text2" w:themeFillTint="33"/>
            <w:tcMar>
              <w:top w:w="0" w:type="dxa"/>
              <w:left w:w="57" w:type="dxa"/>
              <w:bottom w:w="0" w:type="dxa"/>
              <w:right w:w="57" w:type="dxa"/>
            </w:tcMar>
          </w:tcPr>
          <w:p w:rsidR="00EE351B" w:rsidRDefault="00EE351B">
            <w:pPr>
              <w:pStyle w:val="TableHeading1"/>
              <w:rPr>
                <w:lang w:val="en-GB"/>
              </w:rPr>
            </w:pPr>
          </w:p>
        </w:tc>
        <w:tc>
          <w:tcPr>
            <w:tcW w:w="1858" w:type="dxa"/>
            <w:tcBorders>
              <w:top w:val="single" w:sz="8" w:space="0" w:color="FFFFFF" w:themeColor="background1"/>
              <w:left w:val="nil"/>
              <w:bottom w:val="single" w:sz="8" w:space="0" w:color="FFFFFF" w:themeColor="background1"/>
              <w:right w:val="nil"/>
            </w:tcBorders>
            <w:shd w:val="clear" w:color="auto" w:fill="E4E0DA" w:themeFill="text2" w:themeFillTint="33"/>
            <w:tcMar>
              <w:top w:w="0" w:type="dxa"/>
              <w:left w:w="57" w:type="dxa"/>
              <w:bottom w:w="0" w:type="dxa"/>
              <w:right w:w="57" w:type="dxa"/>
            </w:tcMar>
          </w:tcPr>
          <w:p w:rsidR="00EE351B" w:rsidRDefault="00EE351B">
            <w:pPr>
              <w:pStyle w:val="TableHeading1"/>
              <w:rPr>
                <w:lang w:val="en-GB"/>
              </w:rPr>
            </w:pPr>
          </w:p>
        </w:tc>
        <w:tc>
          <w:tcPr>
            <w:tcW w:w="1858" w:type="dxa"/>
            <w:tcBorders>
              <w:top w:val="single" w:sz="8" w:space="0" w:color="FFFFFF" w:themeColor="background1"/>
              <w:left w:val="nil"/>
              <w:bottom w:val="single" w:sz="8" w:space="0" w:color="FFFFFF" w:themeColor="background1"/>
              <w:right w:val="nil"/>
            </w:tcBorders>
            <w:shd w:val="clear" w:color="auto" w:fill="E4E0DA" w:themeFill="text2" w:themeFillTint="33"/>
            <w:tcMar>
              <w:top w:w="0" w:type="dxa"/>
              <w:left w:w="57" w:type="dxa"/>
              <w:bottom w:w="0" w:type="dxa"/>
              <w:right w:w="57" w:type="dxa"/>
            </w:tcMar>
          </w:tcPr>
          <w:p w:rsidR="00EE351B" w:rsidRDefault="00EE351B">
            <w:pPr>
              <w:pStyle w:val="TableHeading1"/>
              <w:rPr>
                <w:lang w:val="en-GB"/>
              </w:rPr>
            </w:pPr>
          </w:p>
        </w:tc>
      </w:tr>
      <w:tr w:rsidR="00EE351B" w:rsidTr="00EE351B">
        <w:trPr>
          <w:trHeight w:val="230"/>
        </w:trPr>
        <w:tc>
          <w:tcPr>
            <w:tcW w:w="2364"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rsidR="00EE351B" w:rsidRDefault="00EE351B">
            <w:pPr>
              <w:pStyle w:val="TableDataEntries"/>
              <w:jc w:val="left"/>
              <w:rPr>
                <w:lang w:val="en-GB"/>
              </w:rPr>
            </w:pPr>
            <w:r>
              <w:rPr>
                <w:lang w:val="en-GB"/>
              </w:rPr>
              <w:t>Façade</w:t>
            </w:r>
          </w:p>
        </w:tc>
        <w:tc>
          <w:tcPr>
            <w:tcW w:w="1857"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rsidR="00EE351B" w:rsidRDefault="00EE351B">
            <w:pPr>
              <w:pStyle w:val="TableDataEntries"/>
              <w:rPr>
                <w:lang w:val="en-GB"/>
              </w:rPr>
            </w:pPr>
            <w:r>
              <w:rPr>
                <w:lang w:val="en-GB"/>
              </w:rPr>
              <w:t>- 2.23</w:t>
            </w:r>
          </w:p>
        </w:tc>
        <w:tc>
          <w:tcPr>
            <w:tcW w:w="1858"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rsidR="00EE351B" w:rsidRDefault="00EE351B">
            <w:pPr>
              <w:pStyle w:val="TableDataEntries"/>
              <w:rPr>
                <w:lang w:val="en-GB"/>
              </w:rPr>
            </w:pPr>
            <w:r>
              <w:rPr>
                <w:lang w:val="en-GB"/>
              </w:rPr>
              <w:t>- 4.22</w:t>
            </w:r>
          </w:p>
        </w:tc>
        <w:tc>
          <w:tcPr>
            <w:tcW w:w="1858"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rsidR="00EE351B" w:rsidRDefault="00EE351B">
            <w:pPr>
              <w:pStyle w:val="TableDataEntries"/>
              <w:rPr>
                <w:lang w:val="en-GB"/>
              </w:rPr>
            </w:pPr>
            <w:r>
              <w:rPr>
                <w:lang w:val="en-GB"/>
              </w:rPr>
              <w:t>- 9.69</w:t>
            </w:r>
          </w:p>
        </w:tc>
      </w:tr>
      <w:tr w:rsidR="00EE351B" w:rsidTr="00EE351B">
        <w:trPr>
          <w:trHeight w:val="230"/>
        </w:trPr>
        <w:tc>
          <w:tcPr>
            <w:tcW w:w="2364"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rsidR="00EE351B" w:rsidRDefault="00EE351B">
            <w:pPr>
              <w:pStyle w:val="TableDataEntries"/>
              <w:jc w:val="left"/>
              <w:rPr>
                <w:lang w:val="en-GB"/>
              </w:rPr>
            </w:pPr>
            <w:r>
              <w:rPr>
                <w:lang w:val="en-GB"/>
              </w:rPr>
              <w:t>Services</w:t>
            </w:r>
          </w:p>
        </w:tc>
        <w:tc>
          <w:tcPr>
            <w:tcW w:w="1857"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rsidR="00EE351B" w:rsidRDefault="00EE351B">
            <w:pPr>
              <w:pStyle w:val="TableDataEntries"/>
              <w:rPr>
                <w:lang w:val="en-GB"/>
              </w:rPr>
            </w:pPr>
            <w:r>
              <w:rPr>
                <w:lang w:val="en-GB"/>
              </w:rPr>
              <w:t>- 3.18</w:t>
            </w:r>
          </w:p>
        </w:tc>
        <w:tc>
          <w:tcPr>
            <w:tcW w:w="1858"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rsidR="00EE351B" w:rsidRDefault="00EE351B">
            <w:pPr>
              <w:pStyle w:val="TableDataEntries"/>
              <w:rPr>
                <w:lang w:val="en-GB"/>
              </w:rPr>
            </w:pPr>
            <w:r>
              <w:rPr>
                <w:lang w:val="en-GB"/>
              </w:rPr>
              <w:t>- 3.83</w:t>
            </w:r>
          </w:p>
        </w:tc>
        <w:tc>
          <w:tcPr>
            <w:tcW w:w="1858"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rsidR="00EE351B" w:rsidRDefault="00EE351B">
            <w:pPr>
              <w:pStyle w:val="TableDataEntries"/>
              <w:rPr>
                <w:lang w:val="en-GB"/>
              </w:rPr>
            </w:pPr>
            <w:r>
              <w:rPr>
                <w:lang w:val="en-GB"/>
              </w:rPr>
              <w:t>- 7.88</w:t>
            </w:r>
          </w:p>
        </w:tc>
      </w:tr>
      <w:tr w:rsidR="00EE351B" w:rsidRPr="0032647A" w:rsidTr="00EE351B">
        <w:trPr>
          <w:trHeight w:val="230"/>
        </w:trPr>
        <w:tc>
          <w:tcPr>
            <w:tcW w:w="2364" w:type="dxa"/>
            <w:tcBorders>
              <w:top w:val="single" w:sz="8" w:space="0" w:color="FFFFFF" w:themeColor="background1"/>
              <w:left w:val="nil"/>
              <w:bottom w:val="single" w:sz="8" w:space="0" w:color="FFFFFF" w:themeColor="background1"/>
              <w:right w:val="nil"/>
            </w:tcBorders>
            <w:shd w:val="clear" w:color="auto" w:fill="C2DADB" w:themeFill="accent6" w:themeFillTint="99"/>
            <w:tcMar>
              <w:top w:w="0" w:type="dxa"/>
              <w:left w:w="57" w:type="dxa"/>
              <w:bottom w:w="0" w:type="dxa"/>
              <w:right w:w="57" w:type="dxa"/>
            </w:tcMar>
            <w:hideMark/>
          </w:tcPr>
          <w:p w:rsidR="00EE351B" w:rsidRPr="0032647A" w:rsidRDefault="00EE351B">
            <w:pPr>
              <w:pStyle w:val="TableDataEntries"/>
              <w:jc w:val="left"/>
              <w:rPr>
                <w:rFonts w:ascii="Franklin Gothic Demi" w:hAnsi="Franklin Gothic Demi"/>
                <w:lang w:val="en-GB"/>
              </w:rPr>
            </w:pPr>
            <w:r w:rsidRPr="0032647A">
              <w:rPr>
                <w:rFonts w:ascii="Franklin Gothic Demi" w:hAnsi="Franklin Gothic Demi"/>
                <w:lang w:val="en-GB"/>
              </w:rPr>
              <w:t>Total</w:t>
            </w:r>
          </w:p>
        </w:tc>
        <w:tc>
          <w:tcPr>
            <w:tcW w:w="1857" w:type="dxa"/>
            <w:tcBorders>
              <w:top w:val="single" w:sz="8" w:space="0" w:color="FFFFFF" w:themeColor="background1"/>
              <w:left w:val="nil"/>
              <w:bottom w:val="single" w:sz="8" w:space="0" w:color="FFFFFF" w:themeColor="background1"/>
              <w:right w:val="nil"/>
            </w:tcBorders>
            <w:shd w:val="clear" w:color="auto" w:fill="C2DADB" w:themeFill="accent6" w:themeFillTint="99"/>
            <w:tcMar>
              <w:top w:w="0" w:type="dxa"/>
              <w:left w:w="57" w:type="dxa"/>
              <w:bottom w:w="0" w:type="dxa"/>
              <w:right w:w="57" w:type="dxa"/>
            </w:tcMar>
            <w:hideMark/>
          </w:tcPr>
          <w:p w:rsidR="00EE351B" w:rsidRPr="0032647A" w:rsidRDefault="00EE351B">
            <w:pPr>
              <w:pStyle w:val="TableDataEntries"/>
              <w:rPr>
                <w:rFonts w:ascii="Franklin Gothic Demi" w:hAnsi="Franklin Gothic Demi"/>
                <w:lang w:val="en-GB"/>
              </w:rPr>
            </w:pPr>
            <w:r w:rsidRPr="0032647A">
              <w:rPr>
                <w:rFonts w:ascii="Franklin Gothic Demi" w:hAnsi="Franklin Gothic Demi"/>
                <w:lang w:val="en-GB"/>
              </w:rPr>
              <w:t>-5.41</w:t>
            </w:r>
          </w:p>
        </w:tc>
        <w:tc>
          <w:tcPr>
            <w:tcW w:w="1858" w:type="dxa"/>
            <w:tcBorders>
              <w:top w:val="single" w:sz="8" w:space="0" w:color="FFFFFF" w:themeColor="background1"/>
              <w:left w:val="nil"/>
              <w:bottom w:val="single" w:sz="8" w:space="0" w:color="FFFFFF" w:themeColor="background1"/>
              <w:right w:val="nil"/>
            </w:tcBorders>
            <w:shd w:val="clear" w:color="auto" w:fill="C2DADB" w:themeFill="accent6" w:themeFillTint="99"/>
            <w:tcMar>
              <w:top w:w="0" w:type="dxa"/>
              <w:left w:w="57" w:type="dxa"/>
              <w:bottom w:w="0" w:type="dxa"/>
              <w:right w:w="57" w:type="dxa"/>
            </w:tcMar>
            <w:hideMark/>
          </w:tcPr>
          <w:p w:rsidR="00EE351B" w:rsidRPr="0032647A" w:rsidRDefault="00EE351B">
            <w:pPr>
              <w:pStyle w:val="TableDataEntries"/>
              <w:rPr>
                <w:rFonts w:ascii="Franklin Gothic Demi" w:hAnsi="Franklin Gothic Demi"/>
                <w:lang w:val="en-GB"/>
              </w:rPr>
            </w:pPr>
            <w:r w:rsidRPr="0032647A">
              <w:rPr>
                <w:rFonts w:ascii="Franklin Gothic Demi" w:hAnsi="Franklin Gothic Demi"/>
                <w:lang w:val="en-GB"/>
              </w:rPr>
              <w:t>-8.05</w:t>
            </w:r>
          </w:p>
        </w:tc>
        <w:tc>
          <w:tcPr>
            <w:tcW w:w="1858" w:type="dxa"/>
            <w:tcBorders>
              <w:top w:val="single" w:sz="8" w:space="0" w:color="FFFFFF" w:themeColor="background1"/>
              <w:left w:val="nil"/>
              <w:bottom w:val="single" w:sz="8" w:space="0" w:color="FFFFFF" w:themeColor="background1"/>
              <w:right w:val="nil"/>
            </w:tcBorders>
            <w:shd w:val="clear" w:color="auto" w:fill="C2DADB" w:themeFill="accent6" w:themeFillTint="99"/>
            <w:tcMar>
              <w:top w:w="0" w:type="dxa"/>
              <w:left w:w="57" w:type="dxa"/>
              <w:bottom w:w="0" w:type="dxa"/>
              <w:right w:w="57" w:type="dxa"/>
            </w:tcMar>
            <w:hideMark/>
          </w:tcPr>
          <w:p w:rsidR="00EE351B" w:rsidRPr="0032647A" w:rsidRDefault="00EE351B">
            <w:pPr>
              <w:pStyle w:val="TableDataEntries"/>
              <w:rPr>
                <w:rFonts w:ascii="Franklin Gothic Demi" w:hAnsi="Franklin Gothic Demi"/>
                <w:lang w:val="en-GB"/>
              </w:rPr>
            </w:pPr>
            <w:r w:rsidRPr="0032647A">
              <w:rPr>
                <w:rFonts w:ascii="Franklin Gothic Demi" w:hAnsi="Franklin Gothic Demi"/>
                <w:lang w:val="en-GB"/>
              </w:rPr>
              <w:t>-17.57</w:t>
            </w:r>
          </w:p>
        </w:tc>
      </w:tr>
      <w:tr w:rsidR="00EE351B" w:rsidTr="00EE351B">
        <w:trPr>
          <w:trHeight w:val="230"/>
        </w:trPr>
        <w:tc>
          <w:tcPr>
            <w:tcW w:w="2364" w:type="dxa"/>
            <w:tcBorders>
              <w:top w:val="single" w:sz="8" w:space="0" w:color="FFFFFF" w:themeColor="background1"/>
              <w:left w:val="nil"/>
              <w:bottom w:val="single" w:sz="8" w:space="0" w:color="FFFFFF" w:themeColor="background1"/>
              <w:right w:val="nil"/>
            </w:tcBorders>
            <w:shd w:val="clear" w:color="auto" w:fill="E4E0DA" w:themeFill="text2" w:themeFillTint="33"/>
            <w:tcMar>
              <w:top w:w="0" w:type="dxa"/>
              <w:left w:w="57" w:type="dxa"/>
              <w:bottom w:w="0" w:type="dxa"/>
              <w:right w:w="57" w:type="dxa"/>
            </w:tcMar>
            <w:hideMark/>
          </w:tcPr>
          <w:p w:rsidR="00EE351B" w:rsidRDefault="00EE351B">
            <w:pPr>
              <w:pStyle w:val="TableHeading1"/>
              <w:rPr>
                <w:lang w:val="en-GB"/>
              </w:rPr>
            </w:pPr>
            <w:r>
              <w:rPr>
                <w:lang w:val="en-GB"/>
              </w:rPr>
              <w:t>Healthcare</w:t>
            </w:r>
          </w:p>
        </w:tc>
        <w:tc>
          <w:tcPr>
            <w:tcW w:w="1857" w:type="dxa"/>
            <w:tcBorders>
              <w:top w:val="single" w:sz="8" w:space="0" w:color="FFFFFF" w:themeColor="background1"/>
              <w:left w:val="nil"/>
              <w:bottom w:val="single" w:sz="8" w:space="0" w:color="FFFFFF" w:themeColor="background1"/>
              <w:right w:val="nil"/>
            </w:tcBorders>
            <w:shd w:val="clear" w:color="auto" w:fill="E4E0DA" w:themeFill="text2" w:themeFillTint="33"/>
            <w:tcMar>
              <w:top w:w="0" w:type="dxa"/>
              <w:left w:w="57" w:type="dxa"/>
              <w:bottom w:w="0" w:type="dxa"/>
              <w:right w:w="57" w:type="dxa"/>
            </w:tcMar>
          </w:tcPr>
          <w:p w:rsidR="00EE351B" w:rsidRDefault="00EE351B">
            <w:pPr>
              <w:pStyle w:val="TableHeading1"/>
              <w:rPr>
                <w:lang w:val="en-GB"/>
              </w:rPr>
            </w:pPr>
          </w:p>
        </w:tc>
        <w:tc>
          <w:tcPr>
            <w:tcW w:w="1858" w:type="dxa"/>
            <w:tcBorders>
              <w:top w:val="single" w:sz="8" w:space="0" w:color="FFFFFF" w:themeColor="background1"/>
              <w:left w:val="nil"/>
              <w:bottom w:val="single" w:sz="8" w:space="0" w:color="FFFFFF" w:themeColor="background1"/>
              <w:right w:val="nil"/>
            </w:tcBorders>
            <w:shd w:val="clear" w:color="auto" w:fill="E4E0DA" w:themeFill="text2" w:themeFillTint="33"/>
            <w:tcMar>
              <w:top w:w="0" w:type="dxa"/>
              <w:left w:w="57" w:type="dxa"/>
              <w:bottom w:w="0" w:type="dxa"/>
              <w:right w:w="57" w:type="dxa"/>
            </w:tcMar>
          </w:tcPr>
          <w:p w:rsidR="00EE351B" w:rsidRDefault="00EE351B">
            <w:pPr>
              <w:pStyle w:val="TableHeading1"/>
              <w:rPr>
                <w:lang w:val="en-GB"/>
              </w:rPr>
            </w:pPr>
          </w:p>
        </w:tc>
        <w:tc>
          <w:tcPr>
            <w:tcW w:w="1858" w:type="dxa"/>
            <w:tcBorders>
              <w:top w:val="single" w:sz="8" w:space="0" w:color="FFFFFF" w:themeColor="background1"/>
              <w:left w:val="nil"/>
              <w:bottom w:val="single" w:sz="8" w:space="0" w:color="FFFFFF" w:themeColor="background1"/>
              <w:right w:val="nil"/>
            </w:tcBorders>
            <w:shd w:val="clear" w:color="auto" w:fill="E4E0DA" w:themeFill="text2" w:themeFillTint="33"/>
            <w:tcMar>
              <w:top w:w="0" w:type="dxa"/>
              <w:left w:w="57" w:type="dxa"/>
              <w:bottom w:w="0" w:type="dxa"/>
              <w:right w:w="57" w:type="dxa"/>
            </w:tcMar>
          </w:tcPr>
          <w:p w:rsidR="00EE351B" w:rsidRDefault="00EE351B">
            <w:pPr>
              <w:pStyle w:val="TableHeading1"/>
              <w:rPr>
                <w:lang w:val="en-GB"/>
              </w:rPr>
            </w:pPr>
          </w:p>
        </w:tc>
      </w:tr>
      <w:tr w:rsidR="00EE351B" w:rsidTr="00EE351B">
        <w:trPr>
          <w:trHeight w:val="230"/>
        </w:trPr>
        <w:tc>
          <w:tcPr>
            <w:tcW w:w="2364"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rsidR="00EE351B" w:rsidRDefault="00EE351B">
            <w:pPr>
              <w:pStyle w:val="TableDataEntries"/>
              <w:jc w:val="left"/>
              <w:rPr>
                <w:lang w:val="en-GB"/>
              </w:rPr>
            </w:pPr>
            <w:r>
              <w:rPr>
                <w:lang w:val="en-GB"/>
              </w:rPr>
              <w:t>Façade</w:t>
            </w:r>
          </w:p>
        </w:tc>
        <w:tc>
          <w:tcPr>
            <w:tcW w:w="1857"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rsidR="00EE351B" w:rsidRDefault="00EE351B">
            <w:pPr>
              <w:pStyle w:val="TableDataEntries"/>
              <w:rPr>
                <w:lang w:val="en-GB"/>
              </w:rPr>
            </w:pPr>
            <w:r>
              <w:rPr>
                <w:lang w:val="en-GB"/>
              </w:rPr>
              <w:t>- 1.15</w:t>
            </w:r>
          </w:p>
        </w:tc>
        <w:tc>
          <w:tcPr>
            <w:tcW w:w="1858"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rsidR="00EE351B" w:rsidRDefault="00EE351B">
            <w:pPr>
              <w:pStyle w:val="TableDataEntries"/>
              <w:rPr>
                <w:lang w:val="en-GB"/>
              </w:rPr>
            </w:pPr>
            <w:r>
              <w:rPr>
                <w:lang w:val="en-GB"/>
              </w:rPr>
              <w:t>- 5.35</w:t>
            </w:r>
          </w:p>
        </w:tc>
        <w:tc>
          <w:tcPr>
            <w:tcW w:w="1858"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rsidR="00EE351B" w:rsidRDefault="00EE351B">
            <w:pPr>
              <w:pStyle w:val="TableDataEntries"/>
              <w:rPr>
                <w:lang w:val="en-GB"/>
              </w:rPr>
            </w:pPr>
            <w:r>
              <w:rPr>
                <w:lang w:val="en-GB"/>
              </w:rPr>
              <w:t>- 6.23</w:t>
            </w:r>
          </w:p>
        </w:tc>
      </w:tr>
      <w:tr w:rsidR="00EE351B" w:rsidTr="00EE351B">
        <w:trPr>
          <w:trHeight w:val="230"/>
        </w:trPr>
        <w:tc>
          <w:tcPr>
            <w:tcW w:w="2364"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rsidR="00EE351B" w:rsidRDefault="00EE351B">
            <w:pPr>
              <w:pStyle w:val="TableDataEntries"/>
              <w:jc w:val="left"/>
              <w:rPr>
                <w:lang w:val="en-GB"/>
              </w:rPr>
            </w:pPr>
            <w:r>
              <w:rPr>
                <w:lang w:val="en-GB"/>
              </w:rPr>
              <w:t>Services</w:t>
            </w:r>
          </w:p>
        </w:tc>
        <w:tc>
          <w:tcPr>
            <w:tcW w:w="1857"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rsidR="00EE351B" w:rsidRDefault="00EE351B">
            <w:pPr>
              <w:pStyle w:val="TableDataEntries"/>
              <w:rPr>
                <w:lang w:val="en-GB"/>
              </w:rPr>
            </w:pPr>
            <w:r>
              <w:rPr>
                <w:lang w:val="en-GB"/>
              </w:rPr>
              <w:t>- 10.10</w:t>
            </w:r>
          </w:p>
        </w:tc>
        <w:tc>
          <w:tcPr>
            <w:tcW w:w="1858"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rsidR="00EE351B" w:rsidRDefault="00EE351B">
            <w:pPr>
              <w:pStyle w:val="TableDataEntries"/>
              <w:rPr>
                <w:lang w:val="en-GB"/>
              </w:rPr>
            </w:pPr>
            <w:r>
              <w:rPr>
                <w:lang w:val="en-GB"/>
              </w:rPr>
              <w:t>- 10.99</w:t>
            </w:r>
          </w:p>
        </w:tc>
        <w:tc>
          <w:tcPr>
            <w:tcW w:w="1858"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rsidR="00EE351B" w:rsidRDefault="00EE351B">
            <w:pPr>
              <w:pStyle w:val="TableDataEntries"/>
              <w:rPr>
                <w:lang w:val="en-GB"/>
              </w:rPr>
            </w:pPr>
            <w:r>
              <w:rPr>
                <w:lang w:val="en-GB"/>
              </w:rPr>
              <w:t>- 20.38</w:t>
            </w:r>
          </w:p>
        </w:tc>
      </w:tr>
      <w:tr w:rsidR="00EE351B" w:rsidRPr="0032647A" w:rsidTr="00EE351B">
        <w:trPr>
          <w:trHeight w:val="230"/>
        </w:trPr>
        <w:tc>
          <w:tcPr>
            <w:tcW w:w="2364" w:type="dxa"/>
            <w:tcBorders>
              <w:top w:val="single" w:sz="8" w:space="0" w:color="FFFFFF" w:themeColor="background1"/>
              <w:left w:val="nil"/>
              <w:bottom w:val="single" w:sz="8" w:space="0" w:color="FFFFFF" w:themeColor="background1"/>
              <w:right w:val="nil"/>
            </w:tcBorders>
            <w:shd w:val="clear" w:color="auto" w:fill="C2DADB" w:themeFill="accent6" w:themeFillTint="99"/>
            <w:tcMar>
              <w:top w:w="0" w:type="dxa"/>
              <w:left w:w="57" w:type="dxa"/>
              <w:bottom w:w="0" w:type="dxa"/>
              <w:right w:w="57" w:type="dxa"/>
            </w:tcMar>
            <w:hideMark/>
          </w:tcPr>
          <w:p w:rsidR="00EE351B" w:rsidRPr="0032647A" w:rsidRDefault="00EE351B">
            <w:pPr>
              <w:pStyle w:val="TableDataEntries"/>
              <w:jc w:val="left"/>
              <w:rPr>
                <w:rFonts w:ascii="Franklin Gothic Demi" w:hAnsi="Franklin Gothic Demi"/>
                <w:lang w:val="en-GB"/>
              </w:rPr>
            </w:pPr>
            <w:r w:rsidRPr="0032647A">
              <w:rPr>
                <w:rFonts w:ascii="Franklin Gothic Demi" w:hAnsi="Franklin Gothic Demi"/>
                <w:lang w:val="en-GB"/>
              </w:rPr>
              <w:t>Total</w:t>
            </w:r>
          </w:p>
        </w:tc>
        <w:tc>
          <w:tcPr>
            <w:tcW w:w="1857" w:type="dxa"/>
            <w:tcBorders>
              <w:top w:val="single" w:sz="8" w:space="0" w:color="FFFFFF" w:themeColor="background1"/>
              <w:left w:val="nil"/>
              <w:bottom w:val="single" w:sz="8" w:space="0" w:color="FFFFFF" w:themeColor="background1"/>
              <w:right w:val="nil"/>
            </w:tcBorders>
            <w:shd w:val="clear" w:color="auto" w:fill="C2DADB" w:themeFill="accent6" w:themeFillTint="99"/>
            <w:tcMar>
              <w:top w:w="0" w:type="dxa"/>
              <w:left w:w="57" w:type="dxa"/>
              <w:bottom w:w="0" w:type="dxa"/>
              <w:right w:w="57" w:type="dxa"/>
            </w:tcMar>
            <w:hideMark/>
          </w:tcPr>
          <w:p w:rsidR="00EE351B" w:rsidRPr="0032647A" w:rsidRDefault="00EE351B">
            <w:pPr>
              <w:pStyle w:val="TableDataEntries"/>
              <w:rPr>
                <w:rFonts w:ascii="Franklin Gothic Demi" w:hAnsi="Franklin Gothic Demi"/>
                <w:lang w:val="en-GB"/>
              </w:rPr>
            </w:pPr>
            <w:r w:rsidRPr="0032647A">
              <w:rPr>
                <w:rFonts w:ascii="Franklin Gothic Demi" w:hAnsi="Franklin Gothic Demi"/>
                <w:lang w:val="en-GB"/>
              </w:rPr>
              <w:t>- 11.24</w:t>
            </w:r>
          </w:p>
        </w:tc>
        <w:tc>
          <w:tcPr>
            <w:tcW w:w="1858" w:type="dxa"/>
            <w:tcBorders>
              <w:top w:val="single" w:sz="8" w:space="0" w:color="FFFFFF" w:themeColor="background1"/>
              <w:left w:val="nil"/>
              <w:bottom w:val="single" w:sz="8" w:space="0" w:color="FFFFFF" w:themeColor="background1"/>
              <w:right w:val="nil"/>
            </w:tcBorders>
            <w:shd w:val="clear" w:color="auto" w:fill="C2DADB" w:themeFill="accent6" w:themeFillTint="99"/>
            <w:tcMar>
              <w:top w:w="0" w:type="dxa"/>
              <w:left w:w="57" w:type="dxa"/>
              <w:bottom w:w="0" w:type="dxa"/>
              <w:right w:w="57" w:type="dxa"/>
            </w:tcMar>
            <w:hideMark/>
          </w:tcPr>
          <w:p w:rsidR="00EE351B" w:rsidRPr="0032647A" w:rsidRDefault="00EE351B">
            <w:pPr>
              <w:pStyle w:val="TableDataEntries"/>
              <w:rPr>
                <w:rFonts w:ascii="Franklin Gothic Demi" w:hAnsi="Franklin Gothic Demi"/>
                <w:lang w:val="en-GB"/>
              </w:rPr>
            </w:pPr>
            <w:r w:rsidRPr="0032647A">
              <w:rPr>
                <w:rFonts w:ascii="Franklin Gothic Demi" w:hAnsi="Franklin Gothic Demi"/>
                <w:lang w:val="en-GB"/>
              </w:rPr>
              <w:t>- 16.35</w:t>
            </w:r>
          </w:p>
        </w:tc>
        <w:tc>
          <w:tcPr>
            <w:tcW w:w="1858" w:type="dxa"/>
            <w:tcBorders>
              <w:top w:val="single" w:sz="8" w:space="0" w:color="FFFFFF" w:themeColor="background1"/>
              <w:left w:val="nil"/>
              <w:bottom w:val="single" w:sz="8" w:space="0" w:color="FFFFFF" w:themeColor="background1"/>
              <w:right w:val="nil"/>
            </w:tcBorders>
            <w:shd w:val="clear" w:color="auto" w:fill="C2DADB" w:themeFill="accent6" w:themeFillTint="99"/>
            <w:tcMar>
              <w:top w:w="0" w:type="dxa"/>
              <w:left w:w="57" w:type="dxa"/>
              <w:bottom w:w="0" w:type="dxa"/>
              <w:right w:w="57" w:type="dxa"/>
            </w:tcMar>
            <w:hideMark/>
          </w:tcPr>
          <w:p w:rsidR="00EE351B" w:rsidRPr="0032647A" w:rsidRDefault="00EE351B">
            <w:pPr>
              <w:pStyle w:val="TableDataEntries"/>
              <w:rPr>
                <w:rFonts w:ascii="Franklin Gothic Demi" w:hAnsi="Franklin Gothic Demi"/>
                <w:lang w:val="en-GB"/>
              </w:rPr>
            </w:pPr>
            <w:r w:rsidRPr="0032647A">
              <w:rPr>
                <w:rFonts w:ascii="Franklin Gothic Demi" w:hAnsi="Franklin Gothic Demi"/>
                <w:lang w:val="en-GB"/>
              </w:rPr>
              <w:t>- 26.61</w:t>
            </w:r>
          </w:p>
        </w:tc>
      </w:tr>
      <w:tr w:rsidR="00EE351B" w:rsidTr="00EE351B">
        <w:trPr>
          <w:trHeight w:val="230"/>
        </w:trPr>
        <w:tc>
          <w:tcPr>
            <w:tcW w:w="2364" w:type="dxa"/>
            <w:tcBorders>
              <w:top w:val="single" w:sz="8" w:space="0" w:color="FFFFFF" w:themeColor="background1"/>
              <w:left w:val="nil"/>
              <w:bottom w:val="single" w:sz="8" w:space="0" w:color="FFFFFF" w:themeColor="background1"/>
              <w:right w:val="nil"/>
            </w:tcBorders>
            <w:shd w:val="clear" w:color="auto" w:fill="E4E0DA" w:themeFill="text2" w:themeFillTint="33"/>
            <w:tcMar>
              <w:top w:w="0" w:type="dxa"/>
              <w:left w:w="57" w:type="dxa"/>
              <w:bottom w:w="0" w:type="dxa"/>
              <w:right w:w="57" w:type="dxa"/>
            </w:tcMar>
            <w:hideMark/>
          </w:tcPr>
          <w:p w:rsidR="00EE351B" w:rsidRDefault="00EE351B">
            <w:pPr>
              <w:pStyle w:val="TableHeading1"/>
              <w:rPr>
                <w:lang w:val="en-GB"/>
              </w:rPr>
            </w:pPr>
            <w:r>
              <w:rPr>
                <w:lang w:val="en-GB"/>
              </w:rPr>
              <w:t>School</w:t>
            </w:r>
          </w:p>
        </w:tc>
        <w:tc>
          <w:tcPr>
            <w:tcW w:w="1857" w:type="dxa"/>
            <w:tcBorders>
              <w:top w:val="single" w:sz="8" w:space="0" w:color="FFFFFF" w:themeColor="background1"/>
              <w:left w:val="nil"/>
              <w:bottom w:val="single" w:sz="8" w:space="0" w:color="FFFFFF" w:themeColor="background1"/>
              <w:right w:val="nil"/>
            </w:tcBorders>
            <w:shd w:val="clear" w:color="auto" w:fill="E4E0DA" w:themeFill="text2" w:themeFillTint="33"/>
            <w:tcMar>
              <w:top w:w="0" w:type="dxa"/>
              <w:left w:w="57" w:type="dxa"/>
              <w:bottom w:w="0" w:type="dxa"/>
              <w:right w:w="57" w:type="dxa"/>
            </w:tcMar>
          </w:tcPr>
          <w:p w:rsidR="00EE351B" w:rsidRDefault="00EE351B">
            <w:pPr>
              <w:pStyle w:val="TableHeading1"/>
              <w:rPr>
                <w:lang w:val="en-GB"/>
              </w:rPr>
            </w:pPr>
          </w:p>
        </w:tc>
        <w:tc>
          <w:tcPr>
            <w:tcW w:w="1858" w:type="dxa"/>
            <w:tcBorders>
              <w:top w:val="single" w:sz="8" w:space="0" w:color="FFFFFF" w:themeColor="background1"/>
              <w:left w:val="nil"/>
              <w:bottom w:val="single" w:sz="8" w:space="0" w:color="FFFFFF" w:themeColor="background1"/>
              <w:right w:val="nil"/>
            </w:tcBorders>
            <w:shd w:val="clear" w:color="auto" w:fill="E4E0DA" w:themeFill="text2" w:themeFillTint="33"/>
            <w:tcMar>
              <w:top w:w="0" w:type="dxa"/>
              <w:left w:w="57" w:type="dxa"/>
              <w:bottom w:w="0" w:type="dxa"/>
              <w:right w:w="57" w:type="dxa"/>
            </w:tcMar>
          </w:tcPr>
          <w:p w:rsidR="00EE351B" w:rsidRDefault="00EE351B">
            <w:pPr>
              <w:pStyle w:val="TableHeading1"/>
              <w:rPr>
                <w:lang w:val="en-GB"/>
              </w:rPr>
            </w:pPr>
          </w:p>
        </w:tc>
        <w:tc>
          <w:tcPr>
            <w:tcW w:w="1858" w:type="dxa"/>
            <w:tcBorders>
              <w:top w:val="single" w:sz="8" w:space="0" w:color="FFFFFF" w:themeColor="background1"/>
              <w:left w:val="nil"/>
              <w:bottom w:val="single" w:sz="8" w:space="0" w:color="FFFFFF" w:themeColor="background1"/>
              <w:right w:val="nil"/>
            </w:tcBorders>
            <w:shd w:val="clear" w:color="auto" w:fill="E4E0DA" w:themeFill="text2" w:themeFillTint="33"/>
            <w:tcMar>
              <w:top w:w="0" w:type="dxa"/>
              <w:left w:w="57" w:type="dxa"/>
              <w:bottom w:w="0" w:type="dxa"/>
              <w:right w:w="57" w:type="dxa"/>
            </w:tcMar>
          </w:tcPr>
          <w:p w:rsidR="00EE351B" w:rsidRDefault="00EE351B">
            <w:pPr>
              <w:pStyle w:val="TableHeading1"/>
              <w:rPr>
                <w:lang w:val="en-GB"/>
              </w:rPr>
            </w:pPr>
          </w:p>
        </w:tc>
      </w:tr>
      <w:tr w:rsidR="00EE351B" w:rsidTr="00EE351B">
        <w:trPr>
          <w:trHeight w:val="230"/>
        </w:trPr>
        <w:tc>
          <w:tcPr>
            <w:tcW w:w="2364"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rsidR="00EE351B" w:rsidRDefault="00EE351B">
            <w:pPr>
              <w:pStyle w:val="TableDataEntries"/>
              <w:jc w:val="left"/>
              <w:rPr>
                <w:lang w:val="en-GB"/>
              </w:rPr>
            </w:pPr>
            <w:r>
              <w:rPr>
                <w:lang w:val="en-GB"/>
              </w:rPr>
              <w:t>Façade</w:t>
            </w:r>
          </w:p>
        </w:tc>
        <w:tc>
          <w:tcPr>
            <w:tcW w:w="1857"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rsidR="00EE351B" w:rsidRDefault="00EE351B">
            <w:pPr>
              <w:pStyle w:val="TableDataEntries"/>
              <w:rPr>
                <w:lang w:val="en-GB"/>
              </w:rPr>
            </w:pPr>
            <w:r>
              <w:rPr>
                <w:lang w:val="en-GB"/>
              </w:rPr>
              <w:t>- 10.54</w:t>
            </w:r>
          </w:p>
        </w:tc>
        <w:tc>
          <w:tcPr>
            <w:tcW w:w="1858"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rsidR="00EE351B" w:rsidRDefault="00EE351B">
            <w:pPr>
              <w:pStyle w:val="TableDataEntries"/>
              <w:rPr>
                <w:lang w:val="en-GB"/>
              </w:rPr>
            </w:pPr>
            <w:r>
              <w:rPr>
                <w:lang w:val="en-GB"/>
              </w:rPr>
              <w:t>- 7.26</w:t>
            </w:r>
          </w:p>
        </w:tc>
        <w:tc>
          <w:tcPr>
            <w:tcW w:w="1858"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rsidR="00EE351B" w:rsidRDefault="00EE351B">
            <w:pPr>
              <w:pStyle w:val="TableDataEntries"/>
              <w:rPr>
                <w:lang w:val="en-GB"/>
              </w:rPr>
            </w:pPr>
            <w:r>
              <w:rPr>
                <w:lang w:val="en-GB"/>
              </w:rPr>
              <w:t xml:space="preserve"> 0.68</w:t>
            </w:r>
          </w:p>
        </w:tc>
      </w:tr>
      <w:tr w:rsidR="00EE351B" w:rsidTr="00EE351B">
        <w:trPr>
          <w:trHeight w:val="230"/>
        </w:trPr>
        <w:tc>
          <w:tcPr>
            <w:tcW w:w="2364"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rsidR="00EE351B" w:rsidRDefault="00EE351B">
            <w:pPr>
              <w:pStyle w:val="TableDataEntries"/>
              <w:jc w:val="left"/>
              <w:rPr>
                <w:lang w:val="en-GB"/>
              </w:rPr>
            </w:pPr>
            <w:r>
              <w:rPr>
                <w:lang w:val="en-GB"/>
              </w:rPr>
              <w:t>Services</w:t>
            </w:r>
          </w:p>
        </w:tc>
        <w:tc>
          <w:tcPr>
            <w:tcW w:w="1857"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rsidR="00EE351B" w:rsidRDefault="00EE351B">
            <w:pPr>
              <w:pStyle w:val="TableDataEntries"/>
              <w:rPr>
                <w:lang w:val="en-GB"/>
              </w:rPr>
            </w:pPr>
            <w:r>
              <w:rPr>
                <w:lang w:val="en-GB"/>
              </w:rPr>
              <w:t>- 10.21</w:t>
            </w:r>
          </w:p>
        </w:tc>
        <w:tc>
          <w:tcPr>
            <w:tcW w:w="1858"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rsidR="00EE351B" w:rsidRDefault="00EE351B">
            <w:pPr>
              <w:pStyle w:val="TableDataEntries"/>
              <w:rPr>
                <w:lang w:val="en-GB"/>
              </w:rPr>
            </w:pPr>
            <w:r>
              <w:rPr>
                <w:lang w:val="en-GB"/>
              </w:rPr>
              <w:t>- 10.94</w:t>
            </w:r>
          </w:p>
        </w:tc>
        <w:tc>
          <w:tcPr>
            <w:tcW w:w="1858"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rsidR="00EE351B" w:rsidRDefault="00EE351B">
            <w:pPr>
              <w:pStyle w:val="TableDataEntries"/>
              <w:rPr>
                <w:lang w:val="en-GB"/>
              </w:rPr>
            </w:pPr>
            <w:r>
              <w:rPr>
                <w:lang w:val="en-GB"/>
              </w:rPr>
              <w:t>- 8.48</w:t>
            </w:r>
          </w:p>
        </w:tc>
      </w:tr>
      <w:tr w:rsidR="00EE351B" w:rsidRPr="0032647A" w:rsidTr="00EE351B">
        <w:trPr>
          <w:trHeight w:val="230"/>
        </w:trPr>
        <w:tc>
          <w:tcPr>
            <w:tcW w:w="2364" w:type="dxa"/>
            <w:tcBorders>
              <w:top w:val="single" w:sz="8" w:space="0" w:color="FFFFFF" w:themeColor="background1"/>
              <w:left w:val="nil"/>
              <w:bottom w:val="single" w:sz="6" w:space="0" w:color="6F6652"/>
              <w:right w:val="nil"/>
            </w:tcBorders>
            <w:shd w:val="clear" w:color="auto" w:fill="C2DADB" w:themeFill="accent6" w:themeFillTint="99"/>
            <w:tcMar>
              <w:top w:w="0" w:type="dxa"/>
              <w:left w:w="57" w:type="dxa"/>
              <w:bottom w:w="0" w:type="dxa"/>
              <w:right w:w="57" w:type="dxa"/>
            </w:tcMar>
            <w:hideMark/>
          </w:tcPr>
          <w:p w:rsidR="00EE351B" w:rsidRPr="0032647A" w:rsidRDefault="00EE351B">
            <w:pPr>
              <w:pStyle w:val="TableDataEntries"/>
              <w:jc w:val="left"/>
              <w:rPr>
                <w:rFonts w:ascii="Franklin Gothic Demi" w:hAnsi="Franklin Gothic Demi"/>
                <w:lang w:val="en-GB"/>
              </w:rPr>
            </w:pPr>
            <w:r w:rsidRPr="0032647A">
              <w:rPr>
                <w:rFonts w:ascii="Franklin Gothic Demi" w:hAnsi="Franklin Gothic Demi"/>
                <w:lang w:val="en-GB"/>
              </w:rPr>
              <w:t>Total</w:t>
            </w:r>
          </w:p>
        </w:tc>
        <w:tc>
          <w:tcPr>
            <w:tcW w:w="1857" w:type="dxa"/>
            <w:tcBorders>
              <w:top w:val="single" w:sz="8" w:space="0" w:color="FFFFFF" w:themeColor="background1"/>
              <w:left w:val="nil"/>
              <w:bottom w:val="single" w:sz="6" w:space="0" w:color="6F6652"/>
              <w:right w:val="nil"/>
            </w:tcBorders>
            <w:shd w:val="clear" w:color="auto" w:fill="C2DADB" w:themeFill="accent6" w:themeFillTint="99"/>
            <w:tcMar>
              <w:top w:w="0" w:type="dxa"/>
              <w:left w:w="57" w:type="dxa"/>
              <w:bottom w:w="0" w:type="dxa"/>
              <w:right w:w="57" w:type="dxa"/>
            </w:tcMar>
            <w:hideMark/>
          </w:tcPr>
          <w:p w:rsidR="00EE351B" w:rsidRPr="0032647A" w:rsidRDefault="00EE351B">
            <w:pPr>
              <w:pStyle w:val="TableDataEntries"/>
              <w:rPr>
                <w:rFonts w:ascii="Franklin Gothic Demi" w:hAnsi="Franklin Gothic Demi"/>
                <w:lang w:val="en-GB"/>
              </w:rPr>
            </w:pPr>
            <w:r w:rsidRPr="0032647A">
              <w:rPr>
                <w:rFonts w:ascii="Franklin Gothic Demi" w:hAnsi="Franklin Gothic Demi"/>
                <w:lang w:val="en-GB"/>
              </w:rPr>
              <w:t>- 20.75</w:t>
            </w:r>
          </w:p>
        </w:tc>
        <w:tc>
          <w:tcPr>
            <w:tcW w:w="1858" w:type="dxa"/>
            <w:tcBorders>
              <w:top w:val="single" w:sz="8" w:space="0" w:color="FFFFFF" w:themeColor="background1"/>
              <w:left w:val="nil"/>
              <w:bottom w:val="single" w:sz="6" w:space="0" w:color="6F6652"/>
              <w:right w:val="nil"/>
            </w:tcBorders>
            <w:shd w:val="clear" w:color="auto" w:fill="C2DADB" w:themeFill="accent6" w:themeFillTint="99"/>
            <w:tcMar>
              <w:top w:w="0" w:type="dxa"/>
              <w:left w:w="57" w:type="dxa"/>
              <w:bottom w:w="0" w:type="dxa"/>
              <w:right w:w="57" w:type="dxa"/>
            </w:tcMar>
            <w:hideMark/>
          </w:tcPr>
          <w:p w:rsidR="00EE351B" w:rsidRPr="0032647A" w:rsidRDefault="00EE351B">
            <w:pPr>
              <w:pStyle w:val="TableDataEntries"/>
              <w:rPr>
                <w:rFonts w:ascii="Franklin Gothic Demi" w:hAnsi="Franklin Gothic Demi"/>
                <w:lang w:val="en-GB"/>
              </w:rPr>
            </w:pPr>
            <w:r w:rsidRPr="0032647A">
              <w:rPr>
                <w:rFonts w:ascii="Franklin Gothic Demi" w:hAnsi="Franklin Gothic Demi"/>
                <w:lang w:val="en-GB"/>
              </w:rPr>
              <w:t>- 18.20</w:t>
            </w:r>
          </w:p>
        </w:tc>
        <w:tc>
          <w:tcPr>
            <w:tcW w:w="1858" w:type="dxa"/>
            <w:tcBorders>
              <w:top w:val="single" w:sz="8" w:space="0" w:color="FFFFFF" w:themeColor="background1"/>
              <w:left w:val="nil"/>
              <w:bottom w:val="single" w:sz="6" w:space="0" w:color="6F6652"/>
              <w:right w:val="nil"/>
            </w:tcBorders>
            <w:shd w:val="clear" w:color="auto" w:fill="C2DADB" w:themeFill="accent6" w:themeFillTint="99"/>
            <w:tcMar>
              <w:top w:w="0" w:type="dxa"/>
              <w:left w:w="57" w:type="dxa"/>
              <w:bottom w:w="0" w:type="dxa"/>
              <w:right w:w="57" w:type="dxa"/>
            </w:tcMar>
            <w:hideMark/>
          </w:tcPr>
          <w:p w:rsidR="00EE351B" w:rsidRPr="0032647A" w:rsidRDefault="00EE351B">
            <w:pPr>
              <w:pStyle w:val="TableDataEntries"/>
              <w:rPr>
                <w:rFonts w:ascii="Franklin Gothic Demi" w:hAnsi="Franklin Gothic Demi"/>
                <w:lang w:val="en-GB"/>
              </w:rPr>
            </w:pPr>
            <w:r w:rsidRPr="0032647A">
              <w:rPr>
                <w:rFonts w:ascii="Franklin Gothic Demi" w:hAnsi="Franklin Gothic Demi"/>
                <w:lang w:val="en-GB"/>
              </w:rPr>
              <w:t>- 7.80</w:t>
            </w:r>
          </w:p>
        </w:tc>
      </w:tr>
    </w:tbl>
    <w:p w:rsidR="00EE351B" w:rsidRDefault="00EE351B" w:rsidP="00EE351B">
      <w:pPr>
        <w:pStyle w:val="Note"/>
      </w:pPr>
    </w:p>
    <w:p w:rsidR="00EE351B" w:rsidRDefault="00EE351B" w:rsidP="00EE351B">
      <w:pPr>
        <w:pStyle w:val="Note"/>
        <w:rPr>
          <w:lang w:bidi="fa-IR"/>
        </w:rPr>
      </w:pPr>
      <w:r>
        <w:rPr>
          <w:i/>
        </w:rPr>
        <w:t>Note:</w:t>
      </w:r>
      <w:r>
        <w:t xml:space="preserve"> Consistent with other parts of the report, a cost increase is represented as a negative value and a cost saving is represented as a positive value.</w:t>
      </w:r>
    </w:p>
    <w:p w:rsidR="00EE351B" w:rsidRDefault="00EE351B" w:rsidP="00EE351B">
      <w:pPr>
        <w:pStyle w:val="Source"/>
        <w:rPr>
          <w:lang w:bidi="fa-IR"/>
        </w:rPr>
      </w:pPr>
      <w:r>
        <w:rPr>
          <w:i/>
          <w:lang w:bidi="fa-IR"/>
        </w:rPr>
        <w:t>Source:</w:t>
      </w:r>
      <w:r>
        <w:rPr>
          <w:lang w:bidi="fa-IR"/>
        </w:rPr>
        <w:t xml:space="preserve"> CIE based on </w:t>
      </w:r>
      <w:r w:rsidR="003F28DD">
        <w:rPr>
          <w:lang w:bidi="fa-IR"/>
        </w:rPr>
        <w:t>EA</w:t>
      </w:r>
      <w:r>
        <w:rPr>
          <w:lang w:bidi="fa-IR"/>
        </w:rPr>
        <w:t xml:space="preserve"> modelling.</w:t>
      </w:r>
    </w:p>
    <w:p w:rsidR="00612FD3" w:rsidRDefault="00612FD3" w:rsidP="00612FD3">
      <w:pPr>
        <w:pStyle w:val="Heading2"/>
        <w:numPr>
          <w:ilvl w:val="1"/>
          <w:numId w:val="5"/>
        </w:numPr>
        <w:rPr>
          <w:lang w:eastAsia="en-US"/>
        </w:rPr>
      </w:pPr>
      <w:bookmarkStart w:id="2162" w:name="_Toc529869845"/>
      <w:bookmarkStart w:id="2163" w:name="_Toc530748563"/>
      <w:r>
        <w:rPr>
          <w:lang w:eastAsia="en-US"/>
        </w:rPr>
        <w:t>Learning rates</w:t>
      </w:r>
      <w:bookmarkEnd w:id="2162"/>
      <w:bookmarkEnd w:id="2163"/>
    </w:p>
    <w:p w:rsidR="00612FD3" w:rsidRDefault="00612FD3" w:rsidP="00612FD3">
      <w:pPr>
        <w:pStyle w:val="BodyText"/>
      </w:pPr>
      <w:r>
        <w:t>Some recent analyses of energy efficiency requirements have accounted for a ‘learning rate’.</w:t>
      </w:r>
      <w:r>
        <w:rPr>
          <w:rStyle w:val="FootnoteReference"/>
        </w:rPr>
        <w:footnoteReference w:id="48"/>
      </w:r>
      <w:r>
        <w:t xml:space="preserve"> The learning rate reflects how quickly firms adapt and adopt new technologies and techniques, and revise their designs and/or production processes.</w:t>
      </w:r>
      <w:r>
        <w:rPr>
          <w:rStyle w:val="FootnoteReference"/>
        </w:rPr>
        <w:footnoteReference w:id="49"/>
      </w:r>
      <w:r>
        <w:t xml:space="preserve"> The premise is that raising the Performance Requirements in the NCC may initially increase costs; however, these additional costs will decline over time as the industry adapts (or learns).</w:t>
      </w:r>
    </w:p>
    <w:p w:rsidR="00612FD3" w:rsidRDefault="00612FD3" w:rsidP="00612FD3">
      <w:pPr>
        <w:pStyle w:val="BodyText"/>
      </w:pPr>
      <w:r>
        <w:t xml:space="preserve">The learning rate can have a significant impact on CBA results. For example, the </w:t>
      </w:r>
      <w:r w:rsidRPr="00F37514">
        <w:rPr>
          <w:i/>
        </w:rPr>
        <w:t>Pathway to 2020</w:t>
      </w:r>
      <w:r>
        <w:t xml:space="preserve"> update for commercial buildings estimated that with no learning rate, energy consumption could be reduced by 29 per cent relative to the existing NCC (privately) cost effectively (i.e. with a benefit</w:t>
      </w:r>
      <w:r>
        <w:noBreakHyphen/>
        <w:t>cost ratio (BCR) of 1, not taking into account the external benefits of reduced GHG emissions). However, with an assumed learning rate of 3 per cent per year, cost</w:t>
      </w:r>
      <w:r>
        <w:noBreakHyphen/>
        <w:t>effective energy savings could be increased to 37 per cent relative to the current NCC requirements. Where the learning rate is assumed to be 100 per cent over 7 years (i.e. after 7 years, there would be no additional costs associated with achieving the new standard), cost effective energy savings of 70 per cent could be made.</w:t>
      </w:r>
      <w:r>
        <w:rPr>
          <w:rStyle w:val="FootnoteReference"/>
        </w:rPr>
        <w:footnoteReference w:id="50"/>
      </w:r>
    </w:p>
    <w:p w:rsidR="00612FD3" w:rsidRDefault="00612FD3" w:rsidP="00612FD3">
      <w:pPr>
        <w:pStyle w:val="BodyText"/>
      </w:pPr>
      <w:r>
        <w:t>One way the additional cost of achieving higher minimum energy efficiency standards could fall over time is declining input prices. The price of new technologies can often decline rapidly initially before levelling off as the rate of learning slows.</w:t>
      </w:r>
    </w:p>
    <w:p w:rsidR="00612FD3" w:rsidRDefault="00612FD3" w:rsidP="00612FD3">
      <w:pPr>
        <w:pStyle w:val="BodyText"/>
      </w:pPr>
      <w:r>
        <w:t xml:space="preserve">There is some evidence of declining prices of some energy efficient inputs. In particular, </w:t>
      </w:r>
      <w:r w:rsidR="003F28DD">
        <w:t>EA</w:t>
      </w:r>
      <w:r>
        <w:t xml:space="preserve"> notes that the price of LED lighting has declined rapidly in recent years. </w:t>
      </w:r>
      <w:r w:rsidR="003F28DD">
        <w:t>EA</w:t>
      </w:r>
      <w:r>
        <w:t xml:space="preserve">’s modelling assumes that the price of LED lighting will decline a further 30 per cent over the period from 2017 to 2021. However, discussions with lighting industry representatives as part of the preliminary consultation process noted that prices had started to level off. They questioned whether additional gains of the magnitude assumed by </w:t>
      </w:r>
      <w:r w:rsidR="003F28DD">
        <w:t>EA</w:t>
      </w:r>
      <w:r>
        <w:t xml:space="preserve"> would be achieved.</w:t>
      </w:r>
    </w:p>
    <w:p w:rsidR="00612FD3" w:rsidRDefault="00612FD3" w:rsidP="00612FD3">
      <w:pPr>
        <w:pStyle w:val="BodyText"/>
      </w:pPr>
      <w:r>
        <w:t>A recent study for DEE that reviewed the evidence on learning rates found that on average the prices of energy</w:t>
      </w:r>
      <w:r>
        <w:noBreakHyphen/>
        <w:t>related building products had declined only modestly in real terms over the period from 2004 to 2016. Specifically, the real price of a basket of energy</w:t>
      </w:r>
      <w:r>
        <w:noBreakHyphen/>
        <w:t>related building products:</w:t>
      </w:r>
    </w:p>
    <w:p w:rsidR="00612FD3" w:rsidRDefault="00612FD3" w:rsidP="00612FD3">
      <w:pPr>
        <w:pStyle w:val="ListBullet"/>
        <w:numPr>
          <w:ilvl w:val="0"/>
          <w:numId w:val="36"/>
        </w:numPr>
      </w:pPr>
      <w:r>
        <w:t>declined by 0.4 per cent in unweighted terms; and</w:t>
      </w:r>
    </w:p>
    <w:p w:rsidR="00612FD3" w:rsidRDefault="00612FD3" w:rsidP="00612FD3">
      <w:pPr>
        <w:pStyle w:val="ListBullet"/>
        <w:numPr>
          <w:ilvl w:val="0"/>
          <w:numId w:val="36"/>
        </w:numPr>
      </w:pPr>
      <w:r>
        <w:t>declined by 0.2 per cent in weighted terms.</w:t>
      </w:r>
      <w:r>
        <w:rPr>
          <w:rStyle w:val="FootnoteReference"/>
        </w:rPr>
        <w:footnoteReference w:id="51"/>
      </w:r>
    </w:p>
    <w:p w:rsidR="00612FD3" w:rsidRDefault="00612FD3" w:rsidP="00612FD3">
      <w:pPr>
        <w:pStyle w:val="BodyText"/>
      </w:pPr>
      <w:r>
        <w:t>Note that in some circumstances, buildings constructed under the baseline scenario (i.e. constructed under existing NCC minimum requirements) would also benefit from declining prices of building products. Where the price declines for inputs that are used under both the baseline scenario and where stricter minimum performance requirements apply, there would be no change in the incremental cost of achieving higher standards. Even where the price of inputs used to achieve higher standards (but not necessarily under the baseline) falls, lower prices may encourage greater uptake of these products under the baseline. For example, declining prices has encouraged greater uptake of LED lighting even without the need for regulation.</w:t>
      </w:r>
    </w:p>
    <w:p w:rsidR="00612FD3" w:rsidRDefault="00612FD3" w:rsidP="00612FD3">
      <w:pPr>
        <w:pStyle w:val="BodyText"/>
      </w:pPr>
      <w:r>
        <w:t xml:space="preserve">The other main way that the incremental costs could change is through innovation and learning in relation to design. The study on learning rates for DEE offered the </w:t>
      </w:r>
      <w:r w:rsidR="003F28DD">
        <w:t>EA</w:t>
      </w:r>
      <w:r>
        <w:t xml:space="preserve"> modelling showing that construction costs are lower where the industry responds to the proposed changes by reducing the WWR to 30 per cent as evidence of innovation in design leading to lower costs. However, as noted above, lower cost design choices are available to industry without regulatory change (i.e. under the baseline scenario). That these options are currently not being chosen indicates that they are less preferred in terms of amenity.</w:t>
      </w:r>
    </w:p>
    <w:p w:rsidR="00612FD3" w:rsidRDefault="00612FD3" w:rsidP="00612FD3">
      <w:pPr>
        <w:pStyle w:val="BodyText"/>
      </w:pPr>
      <w:r>
        <w:t>That said, there is scope for innovative designs to achieve better energy efficiency, with fewer design and cost compromises. However, as discussed above, these design innovations may also occur under the baseline scenario.</w:t>
      </w:r>
    </w:p>
    <w:p w:rsidR="00612FD3" w:rsidRDefault="00612FD3" w:rsidP="00612FD3">
      <w:pPr>
        <w:pStyle w:val="BodyText"/>
      </w:pPr>
      <w:r>
        <w:t xml:space="preserve">Another relevant consideration is whether input price reductions and/or design innovation occurs </w:t>
      </w:r>
      <w:r w:rsidRPr="00F37514">
        <w:rPr>
          <w:b/>
        </w:rPr>
        <w:t>as a result</w:t>
      </w:r>
      <w:r>
        <w:t xml:space="preserve"> of increased NCC stringency (i.e. changes that would not occur without changes to the NCC). This could potentially occur where changes to NCC requirements leads to ‘market transformation’, such as where widespread uptake leads to declining prices. Similarly, design innovation could occur in response to tighter regulation.</w:t>
      </w:r>
    </w:p>
    <w:p w:rsidR="00612FD3" w:rsidRDefault="00612FD3" w:rsidP="00612FD3">
      <w:pPr>
        <w:pStyle w:val="BodyText"/>
      </w:pPr>
      <w:r>
        <w:t>Overall, the evidence on learning rates is limited. The most convincing evidence of learning rates applies to new technologies/products, such as LED lighting. That said, falling costs of LED lighting has occurred in Australia without regulatory change. Furthermore, these falling costs have encouraged additional uptake without the need for regulation. As our baseline assumes voluntary uptake of LED lighting (see below), assumptions on the cost of LED lighting will have no impact on the costs and benefits.</w:t>
      </w:r>
    </w:p>
    <w:p w:rsidR="00612FD3" w:rsidRDefault="00612FD3" w:rsidP="00612FD3">
      <w:pPr>
        <w:pStyle w:val="BodyText"/>
      </w:pPr>
      <w:r>
        <w:t>The evidence to support a more general learning rate linked to regulatory change presented in the recent report for DEE is generally less convincing. Learning rates have not therefore been included in the central case analysis.</w:t>
      </w:r>
    </w:p>
    <w:p w:rsidR="002E33D3" w:rsidRDefault="002E33D3" w:rsidP="002E33D3">
      <w:pPr>
        <w:pStyle w:val="Heading2"/>
        <w:numPr>
          <w:ilvl w:val="1"/>
          <w:numId w:val="5"/>
        </w:numPr>
        <w:rPr>
          <w:lang w:eastAsia="en-US"/>
        </w:rPr>
      </w:pPr>
      <w:bookmarkStart w:id="2164" w:name="_Toc529869846"/>
      <w:bookmarkStart w:id="2165" w:name="_Toc530748564"/>
      <w:r>
        <w:rPr>
          <w:lang w:eastAsia="en-US"/>
        </w:rPr>
        <w:t>Other potential costs</w:t>
      </w:r>
      <w:bookmarkEnd w:id="2164"/>
      <w:bookmarkEnd w:id="2165"/>
    </w:p>
    <w:p w:rsidR="002E33D3" w:rsidRDefault="002E33D3" w:rsidP="002E33D3">
      <w:pPr>
        <w:pStyle w:val="BodyText"/>
        <w:rPr>
          <w:lang w:eastAsia="en-US"/>
        </w:rPr>
      </w:pPr>
      <w:r>
        <w:rPr>
          <w:lang w:eastAsia="en-US"/>
        </w:rPr>
        <w:t xml:space="preserve">During consultations, one stakeholder noted that there can be costs associated with increasing the stringency of minimum energy efficiency performance requirements that are difficult to identify </w:t>
      </w:r>
      <w:r w:rsidRPr="005F0CC6">
        <w:rPr>
          <w:i/>
          <w:lang w:eastAsia="en-US"/>
        </w:rPr>
        <w:t>ex ante</w:t>
      </w:r>
      <w:r>
        <w:rPr>
          <w:lang w:eastAsia="en-US"/>
        </w:rPr>
        <w:t>. In particular, previous work by the Australian Institute of Refrigeration, Air-conditioning and Heating (AIRAH) found that more energy</w:t>
      </w:r>
      <w:r>
        <w:rPr>
          <w:lang w:eastAsia="en-US"/>
        </w:rPr>
        <w:noBreakHyphen/>
        <w:t>efficient HVAC systems can require more space. For example:</w:t>
      </w:r>
    </w:p>
    <w:p w:rsidR="002E33D3" w:rsidRDefault="002E33D3" w:rsidP="002E33D3">
      <w:pPr>
        <w:pStyle w:val="ListBullet"/>
        <w:numPr>
          <w:ilvl w:val="0"/>
          <w:numId w:val="36"/>
        </w:numPr>
        <w:rPr>
          <w:lang w:eastAsia="en-US"/>
        </w:rPr>
      </w:pPr>
      <w:r>
        <w:rPr>
          <w:lang w:eastAsia="en-US"/>
        </w:rPr>
        <w:t>more efficient HVAC equipment can require bigger ducts with more insulation, which require bigger shafts and deeper ceiling spaces offset, to an extent, by increasing efficiencies of fans, pumps, lighting and the building envelope that may reduce cooling loads and, consequently, reduce chiller size; and</w:t>
      </w:r>
    </w:p>
    <w:p w:rsidR="002E33D3" w:rsidRDefault="002E33D3" w:rsidP="002E33D3">
      <w:pPr>
        <w:pStyle w:val="ListBullet"/>
        <w:numPr>
          <w:ilvl w:val="0"/>
          <w:numId w:val="36"/>
        </w:numPr>
        <w:rPr>
          <w:lang w:eastAsia="en-US"/>
        </w:rPr>
      </w:pPr>
      <w:r>
        <w:rPr>
          <w:lang w:eastAsia="en-US"/>
        </w:rPr>
        <w:t>more efficient chillers and boilers need bigger heat exchangers with more plant room access.</w:t>
      </w:r>
      <w:r>
        <w:rPr>
          <w:rStyle w:val="FootnoteReference"/>
          <w:lang w:eastAsia="en-US"/>
        </w:rPr>
        <w:footnoteReference w:id="52"/>
      </w:r>
    </w:p>
    <w:p w:rsidR="002E33D3" w:rsidRDefault="002E33D3" w:rsidP="002E33D3">
      <w:pPr>
        <w:pStyle w:val="BodyText"/>
        <w:rPr>
          <w:lang w:eastAsia="en-US"/>
        </w:rPr>
      </w:pPr>
      <w:r>
        <w:rPr>
          <w:lang w:eastAsia="en-US"/>
        </w:rPr>
        <w:t xml:space="preserve">More space for services can reduce floor space in buildings. Alternatively, a lack of space for services can reduce system performance. </w:t>
      </w:r>
    </w:p>
    <w:p w:rsidR="00541543" w:rsidRDefault="00541543" w:rsidP="00612FD3">
      <w:pPr>
        <w:pStyle w:val="BodyText"/>
      </w:pPr>
    </w:p>
    <w:p w:rsidR="00612FD3" w:rsidRDefault="00612FD3" w:rsidP="00612FD3">
      <w:pPr>
        <w:pStyle w:val="Heading1"/>
        <w:numPr>
          <w:ilvl w:val="0"/>
          <w:numId w:val="5"/>
        </w:numPr>
        <w:rPr>
          <w:lang w:eastAsia="en-US"/>
        </w:rPr>
      </w:pPr>
      <w:bookmarkStart w:id="2166" w:name="_Toc529869847"/>
      <w:bookmarkStart w:id="2167" w:name="_Toc530748565"/>
      <w:r>
        <w:rPr>
          <w:lang w:eastAsia="en-US"/>
        </w:rPr>
        <w:t>Energy saving benefits</w:t>
      </w:r>
      <w:bookmarkEnd w:id="2166"/>
      <w:bookmarkEnd w:id="2167"/>
    </w:p>
    <w:p w:rsidR="00612FD3" w:rsidRDefault="00612FD3" w:rsidP="00612FD3">
      <w:pPr>
        <w:pStyle w:val="Heading2"/>
        <w:numPr>
          <w:ilvl w:val="1"/>
          <w:numId w:val="5"/>
        </w:numPr>
      </w:pPr>
      <w:bookmarkStart w:id="2168" w:name="_Toc529869848"/>
      <w:bookmarkStart w:id="2169" w:name="_Toc530748566"/>
      <w:r>
        <w:t>Energy savings</w:t>
      </w:r>
      <w:bookmarkEnd w:id="2168"/>
      <w:bookmarkEnd w:id="2169"/>
    </w:p>
    <w:p w:rsidR="00612FD3" w:rsidRPr="001D2DA4" w:rsidRDefault="00612FD3" w:rsidP="00612FD3">
      <w:pPr>
        <w:pStyle w:val="BodyText"/>
      </w:pPr>
      <w:r>
        <w:t>Energy savings are the key intended benefit from the proposed changes to the NCC.</w:t>
      </w:r>
    </w:p>
    <w:p w:rsidR="00612FD3" w:rsidRDefault="00612FD3" w:rsidP="00612FD3">
      <w:pPr>
        <w:pStyle w:val="Heading3"/>
        <w:numPr>
          <w:ilvl w:val="2"/>
          <w:numId w:val="5"/>
        </w:numPr>
      </w:pPr>
      <w:r>
        <w:t>Modelled energy savings</w:t>
      </w:r>
    </w:p>
    <w:p w:rsidR="00612FD3" w:rsidRDefault="00612FD3" w:rsidP="00612FD3">
      <w:pPr>
        <w:pStyle w:val="BodyText"/>
      </w:pPr>
      <w:r>
        <w:t xml:space="preserve">Energy savings per square metre of floor space (as modelled by </w:t>
      </w:r>
      <w:r w:rsidR="003F28DD">
        <w:t>EA</w:t>
      </w:r>
      <w:r>
        <w:t>) is summarised in tabl</w:t>
      </w:r>
      <w:r w:rsidR="001533BB">
        <w:t>e </w:t>
      </w:r>
      <w:r w:rsidR="005153A6">
        <w:rPr>
          <w:noProof/>
        </w:rPr>
        <w:fldChar w:fldCharType="begin"/>
      </w:r>
      <w:r w:rsidR="005153A6">
        <w:rPr>
          <w:noProof/>
        </w:rPr>
        <w:instrText xml:space="preserve"> REF _Caption6268 </w:instrText>
      </w:r>
      <w:r w:rsidR="005153A6">
        <w:rPr>
          <w:noProof/>
        </w:rPr>
        <w:fldChar w:fldCharType="separate"/>
      </w:r>
      <w:r w:rsidR="006B79B8">
        <w:rPr>
          <w:noProof/>
        </w:rPr>
        <w:t>6</w:t>
      </w:r>
      <w:r w:rsidR="006B79B8" w:rsidRPr="00F03986">
        <w:rPr>
          <w:noProof/>
        </w:rPr>
        <w:t>.</w:t>
      </w:r>
      <w:r w:rsidR="006B79B8">
        <w:rPr>
          <w:noProof/>
        </w:rPr>
        <w:t>1</w:t>
      </w:r>
      <w:r w:rsidR="005153A6">
        <w:rPr>
          <w:noProof/>
        </w:rPr>
        <w:fldChar w:fldCharType="end"/>
      </w:r>
      <w:r>
        <w:t xml:space="preserve">. As energy savings represent a benefit, a </w:t>
      </w:r>
      <w:r w:rsidRPr="00E6222F">
        <w:rPr>
          <w:b/>
        </w:rPr>
        <w:t>positive</w:t>
      </w:r>
      <w:r>
        <w:t xml:space="preserve"> number represents a </w:t>
      </w:r>
      <w:r w:rsidRPr="00E6222F">
        <w:rPr>
          <w:b/>
        </w:rPr>
        <w:t>reduction</w:t>
      </w:r>
      <w:r>
        <w:t xml:space="preserve"> in energy consumption.</w:t>
      </w:r>
    </w:p>
    <w:p w:rsidR="00D171BF" w:rsidRDefault="00D171BF" w:rsidP="00D171BF">
      <w:pPr>
        <w:pStyle w:val="Caption"/>
      </w:pPr>
      <w:r w:rsidRPr="00F03986">
        <w:fldChar w:fldCharType="begin"/>
      </w:r>
      <w:r w:rsidRPr="00F03986">
        <w:instrText xml:space="preserve"> IF 1 = 1 "</w:instrText>
      </w:r>
      <w:r w:rsidRPr="00F03986">
        <w:fldChar w:fldCharType="begin"/>
      </w:r>
      <w:r w:rsidRPr="00F03986">
        <w:instrText xml:space="preserve"> IF </w:instrText>
      </w:r>
      <w:r w:rsidRPr="00F03986">
        <w:rPr>
          <w:noProof/>
        </w:rPr>
        <w:fldChar w:fldCharType="begin"/>
      </w:r>
      <w:r w:rsidRPr="00F03986">
        <w:rPr>
          <w:noProof/>
        </w:rPr>
        <w:instrText xml:space="preserve"> STYLEREF "Heading 6" \l \n </w:instrText>
      </w:r>
      <w:r w:rsidRPr="00F03986">
        <w:rPr>
          <w:noProof/>
        </w:rPr>
        <w:fldChar w:fldCharType="separate"/>
      </w:r>
      <w:r w:rsidR="00B833F1">
        <w:rPr>
          <w:noProof/>
        </w:rPr>
        <w:instrText>0</w:instrText>
      </w:r>
      <w:r w:rsidRPr="00F03986">
        <w:rPr>
          <w:noProof/>
        </w:rPr>
        <w:fldChar w:fldCharType="end"/>
      </w:r>
      <w:r w:rsidRPr="00F03986">
        <w:instrText xml:space="preserve"> = 0 "</w:instrText>
      </w:r>
      <w:r w:rsidRPr="00F03986">
        <w:fldChar w:fldCharType="begin"/>
      </w:r>
      <w:r w:rsidRPr="00F03986">
        <w:instrText xml:space="preserve"> IF </w:instrText>
      </w:r>
      <w:r w:rsidRPr="00F03986">
        <w:rPr>
          <w:noProof/>
        </w:rPr>
        <w:fldChar w:fldCharType="begin"/>
      </w:r>
      <w:r w:rsidRPr="00F03986">
        <w:rPr>
          <w:noProof/>
        </w:rPr>
        <w:instrText xml:space="preserve"> STYLEREF "Heading 1" \l \n </w:instrText>
      </w:r>
      <w:r w:rsidRPr="00F03986">
        <w:rPr>
          <w:noProof/>
        </w:rPr>
        <w:fldChar w:fldCharType="separate"/>
      </w:r>
      <w:r w:rsidR="00B833F1">
        <w:rPr>
          <w:noProof/>
        </w:rPr>
        <w:instrText>6</w:instrText>
      </w:r>
      <w:r w:rsidRPr="00F03986">
        <w:rPr>
          <w:noProof/>
        </w:rPr>
        <w:fldChar w:fldCharType="end"/>
      </w:r>
      <w:r w:rsidRPr="00F03986">
        <w:instrText xml:space="preserve"> = 0 "" "</w:instrText>
      </w:r>
      <w:r w:rsidRPr="00F03986">
        <w:rPr>
          <w:noProof/>
        </w:rPr>
        <w:fldChar w:fldCharType="begin"/>
      </w:r>
      <w:r w:rsidRPr="00F03986">
        <w:rPr>
          <w:noProof/>
        </w:rPr>
        <w:instrText xml:space="preserve"> STYLEREF "Heading 1" \l \n </w:instrText>
      </w:r>
      <w:r w:rsidRPr="00F03986">
        <w:rPr>
          <w:noProof/>
        </w:rPr>
        <w:fldChar w:fldCharType="separate"/>
      </w:r>
      <w:r w:rsidR="00B833F1">
        <w:rPr>
          <w:noProof/>
        </w:rPr>
        <w:instrText>6</w:instrText>
      </w:r>
      <w:r w:rsidRPr="00F03986">
        <w:rPr>
          <w:noProof/>
        </w:rPr>
        <w:fldChar w:fldCharType="end"/>
      </w:r>
      <w:r w:rsidRPr="00F03986">
        <w:instrText xml:space="preserve">." </w:instrText>
      </w:r>
      <w:r w:rsidRPr="00F03986">
        <w:fldChar w:fldCharType="separate"/>
      </w:r>
      <w:r w:rsidR="00B833F1">
        <w:rPr>
          <w:noProof/>
        </w:rPr>
        <w:instrText>6</w:instrText>
      </w:r>
      <w:r w:rsidR="00B833F1" w:rsidRPr="00F03986">
        <w:rPr>
          <w:noProof/>
        </w:rPr>
        <w:instrText>.</w:instrText>
      </w:r>
      <w:r w:rsidRPr="00F03986">
        <w:fldChar w:fldCharType="end"/>
      </w:r>
      <w:r w:rsidRPr="00F03986">
        <w:instrText>" "</w:instrText>
      </w:r>
      <w:r w:rsidR="001F6F43">
        <w:fldChar w:fldCharType="begin"/>
      </w:r>
      <w:r w:rsidR="001F6F43">
        <w:instrText xml:space="preserve"> STYLEREF "Heading 6" \l \n </w:instrText>
      </w:r>
      <w:r w:rsidR="001F6F43">
        <w:fldChar w:fldCharType="separate"/>
      </w:r>
      <w:r w:rsidRPr="00F03986">
        <w:instrText>B</w:instrText>
      </w:r>
      <w:r w:rsidR="001F6F43">
        <w:fldChar w:fldCharType="end"/>
      </w:r>
      <w:r w:rsidRPr="00F03986">
        <w:instrText xml:space="preserve">." </w:instrText>
      </w:r>
      <w:r w:rsidRPr="00F03986">
        <w:fldChar w:fldCharType="separate"/>
      </w:r>
      <w:r w:rsidR="00EA42ED">
        <w:rPr>
          <w:noProof/>
        </w:rPr>
        <w:instrText>6</w:instrText>
      </w:r>
      <w:r w:rsidR="00EA42ED" w:rsidRPr="00F03986">
        <w:rPr>
          <w:noProof/>
        </w:rPr>
        <w:instrText>.</w:instrText>
      </w:r>
      <w:r w:rsidRPr="00F03986">
        <w:fldChar w:fldCharType="end"/>
      </w:r>
      <w:r w:rsidRPr="00F03986">
        <w:fldChar w:fldCharType="begin"/>
      </w:r>
      <w:r w:rsidRPr="00F03986">
        <w:instrText xml:space="preserve"> SEQ Item \* ARABIC \s </w:instrText>
      </w:r>
      <w:r w:rsidRPr="00F03986">
        <w:fldChar w:fldCharType="begin"/>
      </w:r>
      <w:r w:rsidRPr="00F03986">
        <w:instrText xml:space="preserve"> IF </w:instrText>
      </w:r>
      <w:r w:rsidRPr="00F03986">
        <w:rPr>
          <w:noProof/>
        </w:rPr>
        <w:fldChar w:fldCharType="begin"/>
      </w:r>
      <w:r w:rsidRPr="00F03986">
        <w:rPr>
          <w:noProof/>
        </w:rPr>
        <w:instrText xml:space="preserve"> STYLEREF "Heading 6" \l \n </w:instrText>
      </w:r>
      <w:r w:rsidRPr="00F03986">
        <w:rPr>
          <w:noProof/>
        </w:rPr>
        <w:fldChar w:fldCharType="separate"/>
      </w:r>
      <w:r w:rsidR="00B833F1">
        <w:rPr>
          <w:noProof/>
        </w:rPr>
        <w:instrText>0</w:instrText>
      </w:r>
      <w:r w:rsidRPr="00F03986">
        <w:rPr>
          <w:noProof/>
        </w:rPr>
        <w:fldChar w:fldCharType="end"/>
      </w:r>
      <w:r w:rsidRPr="00F03986">
        <w:instrText xml:space="preserve"> = 0 "</w:instrText>
      </w:r>
      <w:r w:rsidRPr="00F03986">
        <w:fldChar w:fldCharType="begin"/>
      </w:r>
      <w:r w:rsidRPr="00F03986">
        <w:instrText xml:space="preserve"> IF </w:instrText>
      </w:r>
      <w:r w:rsidRPr="00F03986">
        <w:rPr>
          <w:noProof/>
        </w:rPr>
        <w:fldChar w:fldCharType="begin"/>
      </w:r>
      <w:r w:rsidRPr="00F03986">
        <w:rPr>
          <w:noProof/>
        </w:rPr>
        <w:instrText xml:space="preserve"> STYLEREF "Heading 1" \l \n </w:instrText>
      </w:r>
      <w:r w:rsidRPr="00F03986">
        <w:rPr>
          <w:noProof/>
        </w:rPr>
        <w:fldChar w:fldCharType="separate"/>
      </w:r>
      <w:r w:rsidR="00B833F1">
        <w:rPr>
          <w:noProof/>
        </w:rPr>
        <w:instrText>6</w:instrText>
      </w:r>
      <w:r w:rsidRPr="00F03986">
        <w:rPr>
          <w:noProof/>
        </w:rPr>
        <w:fldChar w:fldCharType="end"/>
      </w:r>
      <w:r w:rsidRPr="00F03986">
        <w:instrText xml:space="preserve"> = 0 "" "1" </w:instrText>
      </w:r>
      <w:r w:rsidRPr="00F03986">
        <w:fldChar w:fldCharType="separate"/>
      </w:r>
      <w:r w:rsidR="00EA42ED" w:rsidRPr="00F03986">
        <w:rPr>
          <w:noProof/>
        </w:rPr>
        <w:instrText>1</w:instrText>
      </w:r>
      <w:r w:rsidRPr="00F03986">
        <w:fldChar w:fldCharType="end"/>
      </w:r>
      <w:r w:rsidRPr="00F03986">
        <w:instrText xml:space="preserve">" "6" </w:instrText>
      </w:r>
      <w:r w:rsidRPr="00F03986">
        <w:fldChar w:fldCharType="separate"/>
      </w:r>
      <w:r w:rsidR="00EA42ED" w:rsidRPr="00F03986">
        <w:rPr>
          <w:noProof/>
        </w:rPr>
        <w:instrText>1</w:instrText>
      </w:r>
      <w:r w:rsidRPr="00F03986">
        <w:fldChar w:fldCharType="end"/>
      </w:r>
      <w:r w:rsidRPr="00F03986">
        <w:instrText xml:space="preserve"> </w:instrText>
      </w:r>
      <w:r w:rsidRPr="00F03986">
        <w:fldChar w:fldCharType="separate"/>
      </w:r>
      <w:r w:rsidR="00B833F1">
        <w:rPr>
          <w:noProof/>
        </w:rPr>
        <w:instrText>1</w:instrText>
      </w:r>
      <w:r w:rsidRPr="00F03986">
        <w:fldChar w:fldCharType="end"/>
      </w:r>
      <w:r w:rsidRPr="00F03986">
        <w:instrText xml:space="preserve">" "" </w:instrText>
      </w:r>
      <w:r w:rsidRPr="00F03986">
        <w:fldChar w:fldCharType="separate"/>
      </w:r>
      <w:bookmarkStart w:id="2170" w:name="_Caption7881"/>
      <w:bookmarkStart w:id="2171" w:name="_Caption4603"/>
      <w:bookmarkStart w:id="2172" w:name="_Caption2298"/>
      <w:bookmarkStart w:id="2173" w:name="_Caption0161"/>
      <w:bookmarkStart w:id="2174" w:name="_Caption4741"/>
      <w:bookmarkStart w:id="2175" w:name="_Caption7402"/>
      <w:bookmarkStart w:id="2176" w:name="_Caption1892"/>
      <w:bookmarkStart w:id="2177" w:name="_Caption5258"/>
      <w:bookmarkStart w:id="2178" w:name="_Caption4476"/>
      <w:bookmarkStart w:id="2179" w:name="_Caption2530"/>
      <w:bookmarkStart w:id="2180" w:name="_Caption8969"/>
      <w:bookmarkStart w:id="2181" w:name="_Caption6990"/>
      <w:bookmarkStart w:id="2182" w:name="_Caption1057"/>
      <w:bookmarkStart w:id="2183" w:name="_Caption5677"/>
      <w:bookmarkStart w:id="2184" w:name="_Caption8034"/>
      <w:bookmarkStart w:id="2185" w:name="_Caption8837"/>
      <w:bookmarkStart w:id="2186" w:name="_Caption6974"/>
      <w:bookmarkStart w:id="2187" w:name="_Caption8711"/>
      <w:bookmarkStart w:id="2188" w:name="_Caption0346"/>
      <w:bookmarkStart w:id="2189" w:name="_Caption8173"/>
      <w:bookmarkStart w:id="2190" w:name="_Caption9036"/>
      <w:bookmarkStart w:id="2191" w:name="_Caption8769"/>
      <w:bookmarkStart w:id="2192" w:name="_Caption6268"/>
      <w:bookmarkStart w:id="2193" w:name="_Caption9873"/>
      <w:bookmarkStart w:id="2194" w:name="_Caption8551"/>
      <w:bookmarkStart w:id="2195" w:name="_Caption5936"/>
      <w:bookmarkStart w:id="2196" w:name="_Caption4243"/>
      <w:bookmarkStart w:id="2197" w:name="_Caption8495"/>
      <w:bookmarkStart w:id="2198" w:name="_Caption6119"/>
      <w:bookmarkStart w:id="2199" w:name="_Caption1437"/>
      <w:bookmarkStart w:id="2200" w:name="_Caption3854"/>
      <w:bookmarkStart w:id="2201" w:name="_Caption9295"/>
      <w:bookmarkStart w:id="2202" w:name="_Caption5054"/>
      <w:bookmarkStart w:id="2203" w:name="_Caption3475"/>
      <w:bookmarkStart w:id="2204" w:name="_Caption8685"/>
      <w:bookmarkStart w:id="2205" w:name="_Caption6592"/>
      <w:bookmarkStart w:id="2206" w:name="_Caption8412"/>
      <w:bookmarkStart w:id="2207" w:name="_Caption6338"/>
      <w:bookmarkStart w:id="2208" w:name="_Caption9026"/>
      <w:bookmarkStart w:id="2209" w:name="_Caption7428"/>
      <w:bookmarkStart w:id="2210" w:name="_Caption3680"/>
      <w:bookmarkStart w:id="2211" w:name="_Caption5136"/>
      <w:bookmarkStart w:id="2212" w:name="_Caption4309"/>
      <w:bookmarkStart w:id="2213" w:name="_Caption9488"/>
      <w:bookmarkStart w:id="2214" w:name="_Caption4342"/>
      <w:bookmarkStart w:id="2215" w:name="_Caption3007"/>
      <w:bookmarkStart w:id="2216" w:name="_Caption1552"/>
      <w:bookmarkStart w:id="2217" w:name="_Caption7076"/>
      <w:bookmarkStart w:id="2218" w:name="_Caption6870"/>
      <w:bookmarkStart w:id="2219" w:name="_Caption7155"/>
      <w:bookmarkStart w:id="2220" w:name="_Caption8788"/>
      <w:bookmarkStart w:id="2221" w:name="_Caption1406"/>
      <w:bookmarkStart w:id="2222" w:name="_Toc529869921"/>
      <w:bookmarkStart w:id="2223" w:name="_Toc530748417"/>
      <w:r w:rsidR="00EA42ED">
        <w:rPr>
          <w:noProof/>
        </w:rPr>
        <w:t>6</w:t>
      </w:r>
      <w:r w:rsidR="00EA42ED" w:rsidRPr="00F03986">
        <w:rPr>
          <w:noProof/>
        </w:rPr>
        <w:t>.</w:t>
      </w:r>
      <w:r w:rsidR="00EA42ED">
        <w:rPr>
          <w:noProof/>
        </w:rPr>
        <w:t>1</w:t>
      </w:r>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r w:rsidRPr="00F03986">
        <w:fldChar w:fldCharType="end"/>
      </w:r>
      <w:r w:rsidRPr="00F03986">
        <w:tab/>
      </w:r>
      <w:r w:rsidR="001533BB" w:rsidRPr="00F03986">
        <w:t xml:space="preserve">Modelled </w:t>
      </w:r>
      <w:r w:rsidR="009E45B9" w:rsidRPr="00F03986">
        <w:t xml:space="preserve">annual </w:t>
      </w:r>
      <w:r w:rsidR="001533BB" w:rsidRPr="00F03986">
        <w:t>energy savings — summary</w:t>
      </w:r>
      <w:bookmarkEnd w:id="2222"/>
      <w:bookmarkEnd w:id="2223"/>
    </w:p>
    <w:tbl>
      <w:tblPr>
        <w:tblW w:w="7939" w:type="dxa"/>
        <w:tblLayout w:type="fixed"/>
        <w:tblLook w:val="0000" w:firstRow="0" w:lastRow="0" w:firstColumn="0" w:lastColumn="0" w:noHBand="0" w:noVBand="0"/>
        <w:tblCaption w:val="Table 6.1: Modelled annual energy savings - summary"/>
        <w:tblDescription w:val="This table shows a summary of the modelled annual energy saving for each building classification in each Climate Zone. A comparision of electricity and gas is provided. "/>
      </w:tblPr>
      <w:tblGrid>
        <w:gridCol w:w="1493"/>
        <w:gridCol w:w="921"/>
        <w:gridCol w:w="921"/>
        <w:gridCol w:w="921"/>
        <w:gridCol w:w="920"/>
        <w:gridCol w:w="921"/>
        <w:gridCol w:w="921"/>
        <w:gridCol w:w="921"/>
      </w:tblGrid>
      <w:tr w:rsidR="00D171BF" w:rsidTr="00D171BF">
        <w:trPr>
          <w:trHeight w:val="230"/>
        </w:trPr>
        <w:tc>
          <w:tcPr>
            <w:tcW w:w="1493" w:type="dxa"/>
            <w:shd w:val="clear" w:color="auto" w:fill="6F6652"/>
            <w:tcMar>
              <w:left w:w="57" w:type="dxa"/>
              <w:right w:w="57" w:type="dxa"/>
            </w:tcMar>
          </w:tcPr>
          <w:p w:rsidR="00D171BF" w:rsidRDefault="00D171BF" w:rsidP="00D171BF">
            <w:pPr>
              <w:pStyle w:val="TableDataColumnHeading"/>
              <w:jc w:val="left"/>
              <w:rPr>
                <w:lang w:val="en-GB"/>
              </w:rPr>
            </w:pPr>
          </w:p>
        </w:tc>
        <w:tc>
          <w:tcPr>
            <w:tcW w:w="921" w:type="dxa"/>
            <w:shd w:val="clear" w:color="auto" w:fill="6F6652"/>
            <w:tcMar>
              <w:left w:w="57" w:type="dxa"/>
              <w:right w:w="57" w:type="dxa"/>
            </w:tcMar>
          </w:tcPr>
          <w:p w:rsidR="00D171BF" w:rsidRDefault="00E31EE8" w:rsidP="00D171BF">
            <w:pPr>
              <w:pStyle w:val="TableDataColumnHeading"/>
              <w:rPr>
                <w:lang w:val="en-GB"/>
              </w:rPr>
            </w:pPr>
            <w:r>
              <w:rPr>
                <w:lang w:val="en-GB"/>
              </w:rPr>
              <w:t>Climate Zone</w:t>
            </w:r>
            <w:r w:rsidR="00D171BF">
              <w:rPr>
                <w:lang w:val="en-GB"/>
              </w:rPr>
              <w:t xml:space="preserve"> 1</w:t>
            </w:r>
          </w:p>
        </w:tc>
        <w:tc>
          <w:tcPr>
            <w:tcW w:w="921" w:type="dxa"/>
            <w:shd w:val="clear" w:color="auto" w:fill="6F6652"/>
            <w:tcMar>
              <w:left w:w="57" w:type="dxa"/>
              <w:right w:w="57" w:type="dxa"/>
            </w:tcMar>
          </w:tcPr>
          <w:p w:rsidR="00D171BF" w:rsidRDefault="00E31EE8" w:rsidP="00D171BF">
            <w:pPr>
              <w:pStyle w:val="TableDataColumnHeading"/>
              <w:rPr>
                <w:lang w:val="en-GB"/>
              </w:rPr>
            </w:pPr>
            <w:r>
              <w:rPr>
                <w:lang w:val="en-GB"/>
              </w:rPr>
              <w:t>Climate Zone</w:t>
            </w:r>
            <w:r w:rsidR="00D171BF">
              <w:rPr>
                <w:lang w:val="en-GB"/>
              </w:rPr>
              <w:t xml:space="preserve"> 2</w:t>
            </w:r>
          </w:p>
        </w:tc>
        <w:tc>
          <w:tcPr>
            <w:tcW w:w="921" w:type="dxa"/>
            <w:shd w:val="clear" w:color="auto" w:fill="6F6652"/>
            <w:tcMar>
              <w:left w:w="57" w:type="dxa"/>
              <w:right w:w="57" w:type="dxa"/>
            </w:tcMar>
          </w:tcPr>
          <w:p w:rsidR="00D171BF" w:rsidRDefault="00E31EE8" w:rsidP="00D171BF">
            <w:pPr>
              <w:pStyle w:val="TableDataColumnHeading"/>
              <w:rPr>
                <w:lang w:val="en-GB"/>
              </w:rPr>
            </w:pPr>
            <w:r>
              <w:rPr>
                <w:lang w:val="en-GB"/>
              </w:rPr>
              <w:t>Climate Zone</w:t>
            </w:r>
            <w:r w:rsidR="00D171BF">
              <w:rPr>
                <w:lang w:val="en-GB"/>
              </w:rPr>
              <w:t xml:space="preserve"> 3</w:t>
            </w:r>
          </w:p>
        </w:tc>
        <w:tc>
          <w:tcPr>
            <w:tcW w:w="920" w:type="dxa"/>
            <w:shd w:val="clear" w:color="auto" w:fill="6F6652"/>
            <w:tcMar>
              <w:left w:w="57" w:type="dxa"/>
              <w:right w:w="57" w:type="dxa"/>
            </w:tcMar>
          </w:tcPr>
          <w:p w:rsidR="00D171BF" w:rsidRDefault="00E31EE8" w:rsidP="00D171BF">
            <w:pPr>
              <w:pStyle w:val="TableDataColumnHeading"/>
              <w:rPr>
                <w:lang w:val="en-GB"/>
              </w:rPr>
            </w:pPr>
            <w:r>
              <w:rPr>
                <w:lang w:val="en-GB"/>
              </w:rPr>
              <w:t>Climate Zone</w:t>
            </w:r>
            <w:r w:rsidR="00D171BF">
              <w:rPr>
                <w:lang w:val="en-GB"/>
              </w:rPr>
              <w:t xml:space="preserve"> 4</w:t>
            </w:r>
          </w:p>
        </w:tc>
        <w:tc>
          <w:tcPr>
            <w:tcW w:w="921" w:type="dxa"/>
            <w:shd w:val="clear" w:color="auto" w:fill="6F6652"/>
            <w:tcMar>
              <w:left w:w="57" w:type="dxa"/>
              <w:right w:w="57" w:type="dxa"/>
            </w:tcMar>
          </w:tcPr>
          <w:p w:rsidR="00D171BF" w:rsidRDefault="00E31EE8" w:rsidP="00D171BF">
            <w:pPr>
              <w:pStyle w:val="TableDataColumnHeading"/>
              <w:rPr>
                <w:lang w:val="en-GB"/>
              </w:rPr>
            </w:pPr>
            <w:r>
              <w:rPr>
                <w:lang w:val="en-GB"/>
              </w:rPr>
              <w:t>Climate Zone</w:t>
            </w:r>
            <w:r w:rsidR="00D171BF">
              <w:rPr>
                <w:lang w:val="en-GB"/>
              </w:rPr>
              <w:t xml:space="preserve"> 5</w:t>
            </w:r>
          </w:p>
        </w:tc>
        <w:tc>
          <w:tcPr>
            <w:tcW w:w="921" w:type="dxa"/>
            <w:shd w:val="clear" w:color="auto" w:fill="6F6652"/>
            <w:tcMar>
              <w:left w:w="57" w:type="dxa"/>
              <w:right w:w="57" w:type="dxa"/>
            </w:tcMar>
          </w:tcPr>
          <w:p w:rsidR="00D171BF" w:rsidRDefault="00E31EE8" w:rsidP="00D171BF">
            <w:pPr>
              <w:pStyle w:val="TableDataColumnHeading"/>
              <w:rPr>
                <w:lang w:val="en-GB"/>
              </w:rPr>
            </w:pPr>
            <w:r>
              <w:rPr>
                <w:lang w:val="en-GB"/>
              </w:rPr>
              <w:t>Climate Zone</w:t>
            </w:r>
            <w:r w:rsidR="00D171BF">
              <w:rPr>
                <w:lang w:val="en-GB"/>
              </w:rPr>
              <w:t xml:space="preserve"> 6</w:t>
            </w:r>
          </w:p>
        </w:tc>
        <w:tc>
          <w:tcPr>
            <w:tcW w:w="921" w:type="dxa"/>
            <w:shd w:val="clear" w:color="auto" w:fill="6F6652"/>
            <w:tcMar>
              <w:left w:w="57" w:type="dxa"/>
              <w:right w:w="57" w:type="dxa"/>
            </w:tcMar>
          </w:tcPr>
          <w:p w:rsidR="00D171BF" w:rsidRDefault="00E31EE8" w:rsidP="00D171BF">
            <w:pPr>
              <w:pStyle w:val="TableDataColumnHeading"/>
              <w:rPr>
                <w:lang w:val="en-GB"/>
              </w:rPr>
            </w:pPr>
            <w:r>
              <w:rPr>
                <w:lang w:val="en-GB"/>
              </w:rPr>
              <w:t>Climate Zone</w:t>
            </w:r>
            <w:r w:rsidR="00D171BF">
              <w:rPr>
                <w:lang w:val="en-GB"/>
              </w:rPr>
              <w:t xml:space="preserve"> 7</w:t>
            </w:r>
          </w:p>
        </w:tc>
      </w:tr>
      <w:tr w:rsidR="00D171BF" w:rsidTr="00D171BF">
        <w:trPr>
          <w:trHeight w:val="461"/>
        </w:trPr>
        <w:tc>
          <w:tcPr>
            <w:tcW w:w="1493" w:type="dxa"/>
            <w:tcBorders>
              <w:bottom w:val="single" w:sz="8" w:space="0" w:color="FFFFFF" w:themeColor="background1"/>
            </w:tcBorders>
            <w:shd w:val="clear" w:color="auto" w:fill="auto"/>
            <w:tcMar>
              <w:left w:w="57" w:type="dxa"/>
              <w:right w:w="57" w:type="dxa"/>
            </w:tcMar>
          </w:tcPr>
          <w:p w:rsidR="00D171BF" w:rsidRDefault="00D171BF" w:rsidP="00D171BF">
            <w:pPr>
              <w:pStyle w:val="TableUnit"/>
              <w:jc w:val="left"/>
              <w:rPr>
                <w:lang w:val="en-GB"/>
              </w:rPr>
            </w:pPr>
          </w:p>
        </w:tc>
        <w:tc>
          <w:tcPr>
            <w:tcW w:w="921" w:type="dxa"/>
            <w:tcBorders>
              <w:bottom w:val="single" w:sz="8" w:space="0" w:color="FFFFFF" w:themeColor="background1"/>
            </w:tcBorders>
            <w:shd w:val="clear" w:color="auto" w:fill="auto"/>
            <w:tcMar>
              <w:left w:w="57" w:type="dxa"/>
              <w:right w:w="57" w:type="dxa"/>
            </w:tcMar>
          </w:tcPr>
          <w:p w:rsidR="00D171BF" w:rsidRDefault="00D171BF" w:rsidP="00D171BF">
            <w:pPr>
              <w:pStyle w:val="TableUnit"/>
              <w:rPr>
                <w:lang w:val="en-GB"/>
              </w:rPr>
            </w:pPr>
            <w:r>
              <w:rPr>
                <w:lang w:val="en-GB"/>
              </w:rPr>
              <w:t>Unit per m</w:t>
            </w:r>
            <w:r w:rsidRPr="002B3C0A">
              <w:rPr>
                <w:vertAlign w:val="superscript"/>
                <w:lang w:val="en-GB"/>
              </w:rPr>
              <w:t>2</w:t>
            </w:r>
            <w:r>
              <w:rPr>
                <w:lang w:val="en-GB"/>
              </w:rPr>
              <w:t xml:space="preserve"> per year</w:t>
            </w:r>
          </w:p>
        </w:tc>
        <w:tc>
          <w:tcPr>
            <w:tcW w:w="921" w:type="dxa"/>
            <w:tcBorders>
              <w:bottom w:val="single" w:sz="8" w:space="0" w:color="FFFFFF" w:themeColor="background1"/>
            </w:tcBorders>
            <w:shd w:val="clear" w:color="auto" w:fill="auto"/>
            <w:tcMar>
              <w:left w:w="57" w:type="dxa"/>
              <w:right w:w="57" w:type="dxa"/>
            </w:tcMar>
          </w:tcPr>
          <w:p w:rsidR="00D171BF" w:rsidRDefault="00D171BF" w:rsidP="00D171BF">
            <w:pPr>
              <w:pStyle w:val="TableUnit"/>
              <w:rPr>
                <w:lang w:val="en-GB"/>
              </w:rPr>
            </w:pPr>
            <w:r>
              <w:rPr>
                <w:lang w:val="en-GB"/>
              </w:rPr>
              <w:t>Unit per m</w:t>
            </w:r>
            <w:r w:rsidRPr="002B3C0A">
              <w:rPr>
                <w:vertAlign w:val="superscript"/>
                <w:lang w:val="en-GB"/>
              </w:rPr>
              <w:t>2</w:t>
            </w:r>
            <w:r>
              <w:rPr>
                <w:lang w:val="en-GB"/>
              </w:rPr>
              <w:t xml:space="preserve"> per year</w:t>
            </w:r>
          </w:p>
        </w:tc>
        <w:tc>
          <w:tcPr>
            <w:tcW w:w="921" w:type="dxa"/>
            <w:tcBorders>
              <w:bottom w:val="single" w:sz="8" w:space="0" w:color="FFFFFF" w:themeColor="background1"/>
            </w:tcBorders>
            <w:shd w:val="clear" w:color="auto" w:fill="auto"/>
            <w:tcMar>
              <w:left w:w="57" w:type="dxa"/>
              <w:right w:w="57" w:type="dxa"/>
            </w:tcMar>
          </w:tcPr>
          <w:p w:rsidR="00D171BF" w:rsidRDefault="00D171BF" w:rsidP="00D171BF">
            <w:pPr>
              <w:pStyle w:val="TableUnit"/>
              <w:rPr>
                <w:lang w:val="en-GB"/>
              </w:rPr>
            </w:pPr>
            <w:r>
              <w:rPr>
                <w:lang w:val="en-GB"/>
              </w:rPr>
              <w:t>Unit per m</w:t>
            </w:r>
            <w:r w:rsidRPr="002B3C0A">
              <w:rPr>
                <w:vertAlign w:val="superscript"/>
                <w:lang w:val="en-GB"/>
              </w:rPr>
              <w:t>2</w:t>
            </w:r>
            <w:r>
              <w:rPr>
                <w:lang w:val="en-GB"/>
              </w:rPr>
              <w:t xml:space="preserve"> per year</w:t>
            </w:r>
          </w:p>
        </w:tc>
        <w:tc>
          <w:tcPr>
            <w:tcW w:w="920" w:type="dxa"/>
            <w:tcBorders>
              <w:bottom w:val="single" w:sz="8" w:space="0" w:color="FFFFFF" w:themeColor="background1"/>
            </w:tcBorders>
            <w:shd w:val="clear" w:color="auto" w:fill="auto"/>
            <w:tcMar>
              <w:left w:w="57" w:type="dxa"/>
              <w:right w:w="57" w:type="dxa"/>
            </w:tcMar>
          </w:tcPr>
          <w:p w:rsidR="00D171BF" w:rsidRDefault="00D171BF" w:rsidP="00D171BF">
            <w:pPr>
              <w:pStyle w:val="TableUnit"/>
              <w:rPr>
                <w:lang w:val="en-GB"/>
              </w:rPr>
            </w:pPr>
            <w:r>
              <w:rPr>
                <w:lang w:val="en-GB"/>
              </w:rPr>
              <w:t>Unit per m</w:t>
            </w:r>
            <w:r w:rsidRPr="002B3C0A">
              <w:rPr>
                <w:vertAlign w:val="superscript"/>
                <w:lang w:val="en-GB"/>
              </w:rPr>
              <w:t>2</w:t>
            </w:r>
            <w:r>
              <w:rPr>
                <w:lang w:val="en-GB"/>
              </w:rPr>
              <w:t xml:space="preserve"> per year</w:t>
            </w:r>
          </w:p>
        </w:tc>
        <w:tc>
          <w:tcPr>
            <w:tcW w:w="921" w:type="dxa"/>
            <w:tcBorders>
              <w:bottom w:val="single" w:sz="8" w:space="0" w:color="FFFFFF" w:themeColor="background1"/>
            </w:tcBorders>
            <w:shd w:val="clear" w:color="auto" w:fill="auto"/>
            <w:tcMar>
              <w:left w:w="57" w:type="dxa"/>
              <w:right w:w="57" w:type="dxa"/>
            </w:tcMar>
          </w:tcPr>
          <w:p w:rsidR="00D171BF" w:rsidRDefault="00D171BF" w:rsidP="00D171BF">
            <w:pPr>
              <w:pStyle w:val="TableUnit"/>
              <w:rPr>
                <w:lang w:val="en-GB"/>
              </w:rPr>
            </w:pPr>
            <w:r>
              <w:rPr>
                <w:lang w:val="en-GB"/>
              </w:rPr>
              <w:t>Unit per m</w:t>
            </w:r>
            <w:r w:rsidRPr="002B3C0A">
              <w:rPr>
                <w:vertAlign w:val="superscript"/>
                <w:lang w:val="en-GB"/>
              </w:rPr>
              <w:t>2</w:t>
            </w:r>
            <w:r>
              <w:rPr>
                <w:lang w:val="en-GB"/>
              </w:rPr>
              <w:t xml:space="preserve"> per year</w:t>
            </w:r>
          </w:p>
        </w:tc>
        <w:tc>
          <w:tcPr>
            <w:tcW w:w="921" w:type="dxa"/>
            <w:tcBorders>
              <w:bottom w:val="single" w:sz="8" w:space="0" w:color="FFFFFF" w:themeColor="background1"/>
            </w:tcBorders>
            <w:shd w:val="clear" w:color="auto" w:fill="auto"/>
            <w:tcMar>
              <w:left w:w="57" w:type="dxa"/>
              <w:right w:w="57" w:type="dxa"/>
            </w:tcMar>
          </w:tcPr>
          <w:p w:rsidR="00D171BF" w:rsidRDefault="00D171BF" w:rsidP="00D171BF">
            <w:pPr>
              <w:pStyle w:val="TableUnit"/>
              <w:rPr>
                <w:lang w:val="en-GB"/>
              </w:rPr>
            </w:pPr>
            <w:r>
              <w:rPr>
                <w:lang w:val="en-GB"/>
              </w:rPr>
              <w:t>Unit per m</w:t>
            </w:r>
            <w:r w:rsidRPr="002B3C0A">
              <w:rPr>
                <w:vertAlign w:val="superscript"/>
                <w:lang w:val="en-GB"/>
              </w:rPr>
              <w:t>2</w:t>
            </w:r>
            <w:r>
              <w:rPr>
                <w:lang w:val="en-GB"/>
              </w:rPr>
              <w:t xml:space="preserve"> per year</w:t>
            </w:r>
          </w:p>
        </w:tc>
        <w:tc>
          <w:tcPr>
            <w:tcW w:w="921" w:type="dxa"/>
            <w:tcBorders>
              <w:bottom w:val="single" w:sz="8" w:space="0" w:color="FFFFFF" w:themeColor="background1"/>
            </w:tcBorders>
            <w:shd w:val="clear" w:color="auto" w:fill="auto"/>
            <w:tcMar>
              <w:left w:w="57" w:type="dxa"/>
              <w:right w:w="57" w:type="dxa"/>
            </w:tcMar>
          </w:tcPr>
          <w:p w:rsidR="00D171BF" w:rsidRDefault="00D171BF" w:rsidP="00D171BF">
            <w:pPr>
              <w:pStyle w:val="TableUnit"/>
              <w:rPr>
                <w:lang w:val="en-GB"/>
              </w:rPr>
            </w:pPr>
            <w:r>
              <w:rPr>
                <w:lang w:val="en-GB"/>
              </w:rPr>
              <w:t>Unit per m</w:t>
            </w:r>
            <w:r w:rsidRPr="002B3C0A">
              <w:rPr>
                <w:vertAlign w:val="superscript"/>
                <w:lang w:val="en-GB"/>
              </w:rPr>
              <w:t>2</w:t>
            </w:r>
            <w:r>
              <w:rPr>
                <w:lang w:val="en-GB"/>
              </w:rPr>
              <w:t xml:space="preserve"> per year</w:t>
            </w:r>
          </w:p>
        </w:tc>
      </w:tr>
      <w:tr w:rsidR="00D171BF" w:rsidTr="00D171BF">
        <w:trPr>
          <w:trHeight w:val="230"/>
        </w:trPr>
        <w:tc>
          <w:tcPr>
            <w:tcW w:w="149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D171BF" w:rsidRDefault="00D171BF" w:rsidP="00D171BF">
            <w:pPr>
              <w:pStyle w:val="TableHeading1"/>
              <w:rPr>
                <w:lang w:val="en-GB"/>
              </w:rPr>
            </w:pPr>
            <w:r>
              <w:rPr>
                <w:lang w:val="en-GB"/>
              </w:rPr>
              <w:t>Electricity (Kwh)</w:t>
            </w:r>
          </w:p>
        </w:tc>
        <w:tc>
          <w:tcPr>
            <w:tcW w:w="921"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D171BF" w:rsidRDefault="00D171BF" w:rsidP="00D171BF">
            <w:pPr>
              <w:pStyle w:val="TableHeading1"/>
              <w:rPr>
                <w:lang w:val="en-GB"/>
              </w:rPr>
            </w:pPr>
          </w:p>
        </w:tc>
        <w:tc>
          <w:tcPr>
            <w:tcW w:w="921"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D171BF" w:rsidRDefault="00D171BF" w:rsidP="00D171BF">
            <w:pPr>
              <w:pStyle w:val="TableHeading1"/>
              <w:rPr>
                <w:lang w:val="en-GB"/>
              </w:rPr>
            </w:pPr>
          </w:p>
        </w:tc>
        <w:tc>
          <w:tcPr>
            <w:tcW w:w="921"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D171BF" w:rsidRDefault="00D171BF" w:rsidP="00D171BF">
            <w:pPr>
              <w:pStyle w:val="TableHeading1"/>
              <w:rPr>
                <w:lang w:val="en-GB"/>
              </w:rPr>
            </w:pPr>
          </w:p>
        </w:tc>
        <w:tc>
          <w:tcPr>
            <w:tcW w:w="920"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D171BF" w:rsidRDefault="00D171BF" w:rsidP="00D171BF">
            <w:pPr>
              <w:pStyle w:val="TableHeading1"/>
              <w:rPr>
                <w:lang w:val="en-GB"/>
              </w:rPr>
            </w:pPr>
          </w:p>
        </w:tc>
        <w:tc>
          <w:tcPr>
            <w:tcW w:w="921"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D171BF" w:rsidRDefault="00D171BF" w:rsidP="00D171BF">
            <w:pPr>
              <w:pStyle w:val="TableHeading1"/>
              <w:rPr>
                <w:lang w:val="en-GB"/>
              </w:rPr>
            </w:pPr>
          </w:p>
        </w:tc>
        <w:tc>
          <w:tcPr>
            <w:tcW w:w="921"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D171BF" w:rsidRDefault="00D171BF" w:rsidP="00D171BF">
            <w:pPr>
              <w:pStyle w:val="TableHeading1"/>
              <w:rPr>
                <w:lang w:val="en-GB"/>
              </w:rPr>
            </w:pPr>
          </w:p>
        </w:tc>
        <w:tc>
          <w:tcPr>
            <w:tcW w:w="921"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D171BF" w:rsidRDefault="00D171BF" w:rsidP="00D171BF">
            <w:pPr>
              <w:pStyle w:val="TableHeading1"/>
              <w:rPr>
                <w:lang w:val="en-GB"/>
              </w:rPr>
            </w:pPr>
          </w:p>
        </w:tc>
      </w:tr>
      <w:tr w:rsidR="00F03986" w:rsidTr="00F03986">
        <w:trPr>
          <w:trHeight w:val="230"/>
        </w:trPr>
        <w:tc>
          <w:tcPr>
            <w:tcW w:w="14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F03986" w:rsidRDefault="00F03986" w:rsidP="00F03986">
            <w:pPr>
              <w:pStyle w:val="TableDataEntries"/>
              <w:jc w:val="left"/>
              <w:rPr>
                <w:lang w:val="en-GB"/>
              </w:rPr>
            </w:pPr>
            <w:r>
              <w:rPr>
                <w:lang w:val="en-GB"/>
              </w:rPr>
              <w:t>Hotel</w:t>
            </w:r>
          </w:p>
        </w:tc>
        <w:tc>
          <w:tcPr>
            <w:tcW w:w="92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F03986" w:rsidRDefault="00F03986" w:rsidP="00F03986">
            <w:pPr>
              <w:pStyle w:val="TableDataEntries"/>
            </w:pPr>
            <w:r w:rsidRPr="00F03986">
              <w:t xml:space="preserve"> 11.28</w:t>
            </w:r>
          </w:p>
        </w:tc>
        <w:tc>
          <w:tcPr>
            <w:tcW w:w="92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F03986" w:rsidRDefault="00F03986" w:rsidP="00F03986">
            <w:pPr>
              <w:pStyle w:val="TableDataEntries"/>
            </w:pPr>
            <w:r w:rsidRPr="00F03986">
              <w:t xml:space="preserve"> 23.57</w:t>
            </w:r>
          </w:p>
        </w:tc>
        <w:tc>
          <w:tcPr>
            <w:tcW w:w="92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F03986" w:rsidRDefault="00F03986" w:rsidP="00F03986">
            <w:pPr>
              <w:pStyle w:val="TableDataEntries"/>
            </w:pPr>
            <w:r w:rsidRPr="00F03986">
              <w:t xml:space="preserve"> 18.36</w:t>
            </w:r>
          </w:p>
        </w:tc>
        <w:tc>
          <w:tcPr>
            <w:tcW w:w="92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F03986" w:rsidRDefault="00F03986" w:rsidP="00F03986">
            <w:pPr>
              <w:pStyle w:val="TableDataEntries"/>
            </w:pPr>
            <w:r w:rsidRPr="00F03986">
              <w:t xml:space="preserve"> 18.98</w:t>
            </w:r>
          </w:p>
        </w:tc>
        <w:tc>
          <w:tcPr>
            <w:tcW w:w="92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F03986" w:rsidRDefault="00F03986" w:rsidP="00F03986">
            <w:pPr>
              <w:pStyle w:val="TableDataEntries"/>
            </w:pPr>
            <w:r w:rsidRPr="00F03986">
              <w:t xml:space="preserve"> 19.70</w:t>
            </w:r>
          </w:p>
        </w:tc>
        <w:tc>
          <w:tcPr>
            <w:tcW w:w="92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F03986" w:rsidRDefault="00F03986" w:rsidP="00F03986">
            <w:pPr>
              <w:pStyle w:val="TableDataEntries"/>
            </w:pPr>
            <w:r w:rsidRPr="00F03986">
              <w:t xml:space="preserve"> 19.97</w:t>
            </w:r>
          </w:p>
        </w:tc>
        <w:tc>
          <w:tcPr>
            <w:tcW w:w="92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F03986" w:rsidRDefault="00F03986" w:rsidP="00F03986">
            <w:pPr>
              <w:pStyle w:val="TableDataEntries"/>
            </w:pPr>
            <w:r w:rsidRPr="00F03986">
              <w:t xml:space="preserve"> 18.67</w:t>
            </w:r>
          </w:p>
        </w:tc>
      </w:tr>
      <w:tr w:rsidR="00F03986" w:rsidTr="00F03986">
        <w:trPr>
          <w:trHeight w:val="230"/>
        </w:trPr>
        <w:tc>
          <w:tcPr>
            <w:tcW w:w="14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F03986" w:rsidRDefault="00F03986" w:rsidP="00F03986">
            <w:pPr>
              <w:pStyle w:val="TableDataEntries"/>
              <w:jc w:val="left"/>
              <w:rPr>
                <w:lang w:val="en-GB"/>
              </w:rPr>
            </w:pPr>
            <w:r>
              <w:rPr>
                <w:lang w:val="en-GB"/>
              </w:rPr>
              <w:t>Office building (40% WWR)</w:t>
            </w:r>
          </w:p>
        </w:tc>
        <w:tc>
          <w:tcPr>
            <w:tcW w:w="92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F03986" w:rsidRDefault="00F03986" w:rsidP="00F03986">
            <w:pPr>
              <w:pStyle w:val="TableDataEntries"/>
            </w:pPr>
            <w:r w:rsidRPr="00F03986">
              <w:t xml:space="preserve"> 7.40</w:t>
            </w:r>
          </w:p>
        </w:tc>
        <w:tc>
          <w:tcPr>
            <w:tcW w:w="92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F03986" w:rsidRDefault="00F03986" w:rsidP="00F03986">
            <w:pPr>
              <w:pStyle w:val="TableDataEntries"/>
            </w:pPr>
            <w:r w:rsidRPr="00F03986">
              <w:t xml:space="preserve"> 7.44</w:t>
            </w:r>
          </w:p>
        </w:tc>
        <w:tc>
          <w:tcPr>
            <w:tcW w:w="92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F03986" w:rsidRDefault="00F03986" w:rsidP="00F03986">
            <w:pPr>
              <w:pStyle w:val="TableDataEntries"/>
            </w:pPr>
            <w:r w:rsidRPr="00F03986">
              <w:t xml:space="preserve"> 3.84</w:t>
            </w:r>
          </w:p>
        </w:tc>
        <w:tc>
          <w:tcPr>
            <w:tcW w:w="92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F03986" w:rsidRDefault="00F03986" w:rsidP="00F03986">
            <w:pPr>
              <w:pStyle w:val="TableDataEntries"/>
            </w:pPr>
            <w:r w:rsidRPr="00F03986">
              <w:t xml:space="preserve"> 4.26</w:t>
            </w:r>
          </w:p>
        </w:tc>
        <w:tc>
          <w:tcPr>
            <w:tcW w:w="92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F03986" w:rsidRDefault="00F03986" w:rsidP="00F03986">
            <w:pPr>
              <w:pStyle w:val="TableDataEntries"/>
            </w:pPr>
            <w:r w:rsidRPr="00F03986">
              <w:t xml:space="preserve"> 6.13</w:t>
            </w:r>
          </w:p>
        </w:tc>
        <w:tc>
          <w:tcPr>
            <w:tcW w:w="92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F03986" w:rsidRDefault="00F03986" w:rsidP="00F03986">
            <w:pPr>
              <w:pStyle w:val="TableDataEntries"/>
            </w:pPr>
            <w:r w:rsidRPr="00F03986">
              <w:t xml:space="preserve"> 4.63</w:t>
            </w:r>
          </w:p>
        </w:tc>
        <w:tc>
          <w:tcPr>
            <w:tcW w:w="92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F03986" w:rsidRDefault="00F03986" w:rsidP="00F03986">
            <w:pPr>
              <w:pStyle w:val="TableDataEntries"/>
            </w:pPr>
            <w:r w:rsidRPr="00F03986">
              <w:t xml:space="preserve"> 4.21</w:t>
            </w:r>
          </w:p>
        </w:tc>
      </w:tr>
      <w:tr w:rsidR="00F03986" w:rsidTr="00F03986">
        <w:trPr>
          <w:trHeight w:val="230"/>
        </w:trPr>
        <w:tc>
          <w:tcPr>
            <w:tcW w:w="14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F03986" w:rsidRDefault="00F03986" w:rsidP="00F03986">
            <w:pPr>
              <w:pStyle w:val="TableDataEntries"/>
              <w:jc w:val="left"/>
              <w:rPr>
                <w:lang w:val="en-GB"/>
              </w:rPr>
            </w:pPr>
            <w:r>
              <w:rPr>
                <w:lang w:val="en-GB"/>
              </w:rPr>
              <w:t>Office building (56% WWR)</w:t>
            </w:r>
          </w:p>
        </w:tc>
        <w:tc>
          <w:tcPr>
            <w:tcW w:w="92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F03986" w:rsidRDefault="00F03986" w:rsidP="00F03986">
            <w:pPr>
              <w:pStyle w:val="TableDataEntries"/>
            </w:pPr>
            <w:r w:rsidRPr="00F03986">
              <w:t xml:space="preserve"> 23.31</w:t>
            </w:r>
          </w:p>
        </w:tc>
        <w:tc>
          <w:tcPr>
            <w:tcW w:w="92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F03986" w:rsidRDefault="00F03986" w:rsidP="00F03986">
            <w:pPr>
              <w:pStyle w:val="TableDataEntries"/>
            </w:pPr>
            <w:r w:rsidRPr="00F03986">
              <w:t xml:space="preserve"> 9.65</w:t>
            </w:r>
          </w:p>
        </w:tc>
        <w:tc>
          <w:tcPr>
            <w:tcW w:w="92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F03986" w:rsidRDefault="00F03986" w:rsidP="00F03986">
            <w:pPr>
              <w:pStyle w:val="TableDataEntries"/>
            </w:pPr>
            <w:r w:rsidRPr="00F03986">
              <w:t xml:space="preserve"> 6.72</w:t>
            </w:r>
          </w:p>
        </w:tc>
        <w:tc>
          <w:tcPr>
            <w:tcW w:w="92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F03986" w:rsidRDefault="00F03986" w:rsidP="00F03986">
            <w:pPr>
              <w:pStyle w:val="TableDataEntries"/>
            </w:pPr>
            <w:r w:rsidRPr="00F03986">
              <w:t xml:space="preserve"> 9.09</w:t>
            </w:r>
          </w:p>
        </w:tc>
        <w:tc>
          <w:tcPr>
            <w:tcW w:w="92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F03986" w:rsidRDefault="00F03986" w:rsidP="00F03986">
            <w:pPr>
              <w:pStyle w:val="TableDataEntries"/>
            </w:pPr>
            <w:r w:rsidRPr="00F03986">
              <w:t xml:space="preserve"> 10.32</w:t>
            </w:r>
          </w:p>
        </w:tc>
        <w:tc>
          <w:tcPr>
            <w:tcW w:w="92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F03986" w:rsidRDefault="00F03986" w:rsidP="00F03986">
            <w:pPr>
              <w:pStyle w:val="TableDataEntries"/>
            </w:pPr>
            <w:r w:rsidRPr="00F03986">
              <w:t xml:space="preserve"> 8.65</w:t>
            </w:r>
          </w:p>
        </w:tc>
        <w:tc>
          <w:tcPr>
            <w:tcW w:w="92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F03986" w:rsidRDefault="00F03986" w:rsidP="00F03986">
            <w:pPr>
              <w:pStyle w:val="TableDataEntries"/>
            </w:pPr>
            <w:r w:rsidRPr="00F03986">
              <w:t xml:space="preserve"> 10.54</w:t>
            </w:r>
          </w:p>
        </w:tc>
      </w:tr>
      <w:tr w:rsidR="00F03986" w:rsidTr="00F03986">
        <w:trPr>
          <w:trHeight w:val="230"/>
        </w:trPr>
        <w:tc>
          <w:tcPr>
            <w:tcW w:w="14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F03986" w:rsidRDefault="00F03986" w:rsidP="00F03986">
            <w:pPr>
              <w:pStyle w:val="TableDataEntries"/>
              <w:jc w:val="left"/>
              <w:rPr>
                <w:lang w:val="en-GB"/>
              </w:rPr>
            </w:pPr>
            <w:r>
              <w:rPr>
                <w:lang w:val="en-GB"/>
              </w:rPr>
              <w:t>Retail</w:t>
            </w:r>
          </w:p>
        </w:tc>
        <w:tc>
          <w:tcPr>
            <w:tcW w:w="92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F03986" w:rsidRDefault="00F03986" w:rsidP="00F03986">
            <w:pPr>
              <w:pStyle w:val="TableDataEntries"/>
            </w:pPr>
            <w:r w:rsidRPr="00F03986">
              <w:t xml:space="preserve"> 26.96</w:t>
            </w:r>
          </w:p>
        </w:tc>
        <w:tc>
          <w:tcPr>
            <w:tcW w:w="92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F03986" w:rsidRDefault="00F03986" w:rsidP="00F03986">
            <w:pPr>
              <w:pStyle w:val="TableDataEntries"/>
            </w:pPr>
            <w:r w:rsidRPr="00F03986">
              <w:t xml:space="preserve"> 20.42</w:t>
            </w:r>
          </w:p>
        </w:tc>
        <w:tc>
          <w:tcPr>
            <w:tcW w:w="92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F03986" w:rsidRDefault="00F03986" w:rsidP="00F03986">
            <w:pPr>
              <w:pStyle w:val="TableDataEntries"/>
            </w:pPr>
            <w:r w:rsidRPr="00F03986">
              <w:t xml:space="preserve"> 28.18</w:t>
            </w:r>
          </w:p>
        </w:tc>
        <w:tc>
          <w:tcPr>
            <w:tcW w:w="92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F03986" w:rsidRDefault="00F03986" w:rsidP="00F03986">
            <w:pPr>
              <w:pStyle w:val="TableDataEntries"/>
            </w:pPr>
            <w:r w:rsidRPr="00F03986">
              <w:t xml:space="preserve"> 23.61</w:t>
            </w:r>
          </w:p>
        </w:tc>
        <w:tc>
          <w:tcPr>
            <w:tcW w:w="92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F03986" w:rsidRDefault="00F03986" w:rsidP="00F03986">
            <w:pPr>
              <w:pStyle w:val="TableDataEntries"/>
            </w:pPr>
            <w:r w:rsidRPr="00F03986">
              <w:t xml:space="preserve"> 28.56</w:t>
            </w:r>
          </w:p>
        </w:tc>
        <w:tc>
          <w:tcPr>
            <w:tcW w:w="92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F03986" w:rsidRDefault="00F03986" w:rsidP="00F03986">
            <w:pPr>
              <w:pStyle w:val="TableDataEntries"/>
            </w:pPr>
            <w:r w:rsidRPr="00F03986">
              <w:t xml:space="preserve"> 24.70</w:t>
            </w:r>
          </w:p>
        </w:tc>
        <w:tc>
          <w:tcPr>
            <w:tcW w:w="92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F03986" w:rsidRDefault="00F03986" w:rsidP="00F03986">
            <w:pPr>
              <w:pStyle w:val="TableDataEntries"/>
            </w:pPr>
            <w:r w:rsidRPr="00F03986">
              <w:t>- 2.91</w:t>
            </w:r>
          </w:p>
        </w:tc>
      </w:tr>
      <w:tr w:rsidR="00F03986" w:rsidTr="00F03986">
        <w:trPr>
          <w:trHeight w:val="230"/>
        </w:trPr>
        <w:tc>
          <w:tcPr>
            <w:tcW w:w="14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F03986" w:rsidRDefault="00F03986" w:rsidP="00F03986">
            <w:pPr>
              <w:pStyle w:val="TableDataEntries"/>
              <w:jc w:val="left"/>
              <w:rPr>
                <w:lang w:val="en-GB"/>
              </w:rPr>
            </w:pPr>
            <w:r>
              <w:rPr>
                <w:lang w:val="en-GB"/>
              </w:rPr>
              <w:t xml:space="preserve">Aged care </w:t>
            </w:r>
            <w:r w:rsidR="00BB30D0">
              <w:rPr>
                <w:lang w:val="en-GB"/>
              </w:rPr>
              <w:t>facility</w:t>
            </w:r>
          </w:p>
        </w:tc>
        <w:tc>
          <w:tcPr>
            <w:tcW w:w="92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F03986" w:rsidRDefault="00F03986" w:rsidP="00F03986">
            <w:pPr>
              <w:pStyle w:val="TableDataEntries"/>
            </w:pPr>
            <w:r w:rsidRPr="00F03986">
              <w:t xml:space="preserve"> 21.78</w:t>
            </w:r>
          </w:p>
        </w:tc>
        <w:tc>
          <w:tcPr>
            <w:tcW w:w="92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F03986" w:rsidRDefault="00F03986" w:rsidP="00F03986">
            <w:pPr>
              <w:pStyle w:val="TableDataEntries"/>
            </w:pPr>
            <w:r w:rsidRPr="00F03986">
              <w:t xml:space="preserve"> 12.25</w:t>
            </w:r>
          </w:p>
        </w:tc>
        <w:tc>
          <w:tcPr>
            <w:tcW w:w="92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F03986" w:rsidRDefault="00F03986" w:rsidP="00F03986">
            <w:pPr>
              <w:pStyle w:val="TableDataEntries"/>
            </w:pPr>
            <w:r w:rsidRPr="00F03986">
              <w:t xml:space="preserve"> 16.10</w:t>
            </w:r>
          </w:p>
        </w:tc>
        <w:tc>
          <w:tcPr>
            <w:tcW w:w="92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F03986" w:rsidRDefault="00F03986" w:rsidP="00F03986">
            <w:pPr>
              <w:pStyle w:val="TableDataEntries"/>
            </w:pPr>
            <w:r w:rsidRPr="00F03986">
              <w:t xml:space="preserve"> 9.07</w:t>
            </w:r>
          </w:p>
        </w:tc>
        <w:tc>
          <w:tcPr>
            <w:tcW w:w="92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F03986" w:rsidRDefault="00F03986" w:rsidP="00F03986">
            <w:pPr>
              <w:pStyle w:val="TableDataEntries"/>
            </w:pPr>
            <w:r w:rsidRPr="00F03986">
              <w:t xml:space="preserve"> 8.60</w:t>
            </w:r>
          </w:p>
        </w:tc>
        <w:tc>
          <w:tcPr>
            <w:tcW w:w="92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F03986" w:rsidRDefault="00F03986" w:rsidP="00F03986">
            <w:pPr>
              <w:pStyle w:val="TableDataEntries"/>
            </w:pPr>
            <w:r w:rsidRPr="00F03986">
              <w:t xml:space="preserve"> 4.89</w:t>
            </w:r>
          </w:p>
        </w:tc>
        <w:tc>
          <w:tcPr>
            <w:tcW w:w="92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F03986" w:rsidRDefault="00F03986" w:rsidP="00F03986">
            <w:pPr>
              <w:pStyle w:val="TableDataEntries"/>
            </w:pPr>
            <w:r w:rsidRPr="00F03986">
              <w:t xml:space="preserve"> 9.80</w:t>
            </w:r>
          </w:p>
        </w:tc>
      </w:tr>
      <w:tr w:rsidR="00F03986" w:rsidTr="00F03986">
        <w:trPr>
          <w:trHeight w:val="230"/>
        </w:trPr>
        <w:tc>
          <w:tcPr>
            <w:tcW w:w="14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F03986" w:rsidRDefault="00F03986" w:rsidP="00F03986">
            <w:pPr>
              <w:pStyle w:val="TableDataEntries"/>
              <w:jc w:val="left"/>
              <w:rPr>
                <w:lang w:val="en-GB"/>
              </w:rPr>
            </w:pPr>
            <w:r>
              <w:rPr>
                <w:lang w:val="en-GB"/>
              </w:rPr>
              <w:t>School</w:t>
            </w:r>
          </w:p>
        </w:tc>
        <w:tc>
          <w:tcPr>
            <w:tcW w:w="92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F03986" w:rsidRDefault="00F03986" w:rsidP="00F03986">
            <w:pPr>
              <w:pStyle w:val="TableDataEntries"/>
            </w:pPr>
            <w:r w:rsidRPr="00F03986">
              <w:t xml:space="preserve"> 49.00</w:t>
            </w:r>
          </w:p>
        </w:tc>
        <w:tc>
          <w:tcPr>
            <w:tcW w:w="92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F03986" w:rsidRDefault="00F03986" w:rsidP="00F03986">
            <w:pPr>
              <w:pStyle w:val="TableDataEntries"/>
            </w:pPr>
            <w:r w:rsidRPr="00F03986">
              <w:t xml:space="preserve"> 33.55</w:t>
            </w:r>
          </w:p>
        </w:tc>
        <w:tc>
          <w:tcPr>
            <w:tcW w:w="92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F03986" w:rsidRDefault="00F03986" w:rsidP="00F03986">
            <w:pPr>
              <w:pStyle w:val="TableDataEntries"/>
            </w:pPr>
            <w:r w:rsidRPr="00F03986">
              <w:t xml:space="preserve"> 30.85</w:t>
            </w:r>
          </w:p>
        </w:tc>
        <w:tc>
          <w:tcPr>
            <w:tcW w:w="92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F03986" w:rsidRDefault="00F03986" w:rsidP="00F03986">
            <w:pPr>
              <w:pStyle w:val="TableDataEntries"/>
            </w:pPr>
            <w:r w:rsidRPr="00F03986">
              <w:t xml:space="preserve"> 19.15</w:t>
            </w:r>
          </w:p>
        </w:tc>
        <w:tc>
          <w:tcPr>
            <w:tcW w:w="92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F03986" w:rsidRDefault="00F03986" w:rsidP="00F03986">
            <w:pPr>
              <w:pStyle w:val="TableDataEntries"/>
            </w:pPr>
            <w:r w:rsidRPr="00F03986">
              <w:t xml:space="preserve"> 14.07</w:t>
            </w:r>
          </w:p>
        </w:tc>
        <w:tc>
          <w:tcPr>
            <w:tcW w:w="92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F03986" w:rsidRDefault="00F03986" w:rsidP="00F03986">
            <w:pPr>
              <w:pStyle w:val="TableDataEntries"/>
            </w:pPr>
            <w:r w:rsidRPr="00F03986">
              <w:t xml:space="preserve"> 15.64</w:t>
            </w:r>
          </w:p>
        </w:tc>
        <w:tc>
          <w:tcPr>
            <w:tcW w:w="92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F03986" w:rsidRDefault="00F03986" w:rsidP="00F03986">
            <w:pPr>
              <w:pStyle w:val="TableDataEntries"/>
            </w:pPr>
            <w:r w:rsidRPr="00F03986">
              <w:t xml:space="preserve"> 24.28</w:t>
            </w:r>
          </w:p>
        </w:tc>
      </w:tr>
      <w:tr w:rsidR="00D171BF" w:rsidTr="001533BB">
        <w:trPr>
          <w:trHeight w:val="230"/>
        </w:trPr>
        <w:tc>
          <w:tcPr>
            <w:tcW w:w="149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D171BF" w:rsidRDefault="00D171BF" w:rsidP="001533BB">
            <w:pPr>
              <w:pStyle w:val="TableHeading1"/>
              <w:rPr>
                <w:lang w:val="en-GB"/>
              </w:rPr>
            </w:pPr>
            <w:r>
              <w:rPr>
                <w:lang w:val="en-GB"/>
              </w:rPr>
              <w:t>Gas (MJ)</w:t>
            </w:r>
          </w:p>
        </w:tc>
        <w:tc>
          <w:tcPr>
            <w:tcW w:w="921"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D171BF" w:rsidRDefault="00D171BF" w:rsidP="001533BB">
            <w:pPr>
              <w:pStyle w:val="TableHeading1"/>
              <w:rPr>
                <w:lang w:val="en-GB"/>
              </w:rPr>
            </w:pPr>
          </w:p>
        </w:tc>
        <w:tc>
          <w:tcPr>
            <w:tcW w:w="921"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D171BF" w:rsidRDefault="00D171BF" w:rsidP="001533BB">
            <w:pPr>
              <w:pStyle w:val="TableHeading1"/>
              <w:rPr>
                <w:lang w:val="en-GB"/>
              </w:rPr>
            </w:pPr>
          </w:p>
        </w:tc>
        <w:tc>
          <w:tcPr>
            <w:tcW w:w="921"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D171BF" w:rsidRDefault="00D171BF" w:rsidP="001533BB">
            <w:pPr>
              <w:pStyle w:val="TableHeading1"/>
              <w:rPr>
                <w:lang w:val="en-GB"/>
              </w:rPr>
            </w:pPr>
          </w:p>
        </w:tc>
        <w:tc>
          <w:tcPr>
            <w:tcW w:w="920"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D171BF" w:rsidRDefault="00D171BF" w:rsidP="001533BB">
            <w:pPr>
              <w:pStyle w:val="TableHeading1"/>
              <w:rPr>
                <w:lang w:val="en-GB"/>
              </w:rPr>
            </w:pPr>
          </w:p>
        </w:tc>
        <w:tc>
          <w:tcPr>
            <w:tcW w:w="921"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D171BF" w:rsidRDefault="00D171BF" w:rsidP="001533BB">
            <w:pPr>
              <w:pStyle w:val="TableHeading1"/>
              <w:rPr>
                <w:lang w:val="en-GB"/>
              </w:rPr>
            </w:pPr>
          </w:p>
        </w:tc>
        <w:tc>
          <w:tcPr>
            <w:tcW w:w="921"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D171BF" w:rsidRDefault="00D171BF" w:rsidP="001533BB">
            <w:pPr>
              <w:pStyle w:val="TableHeading1"/>
              <w:rPr>
                <w:lang w:val="en-GB"/>
              </w:rPr>
            </w:pPr>
          </w:p>
        </w:tc>
        <w:tc>
          <w:tcPr>
            <w:tcW w:w="921"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D171BF" w:rsidRDefault="00D171BF" w:rsidP="001533BB">
            <w:pPr>
              <w:pStyle w:val="TableHeading1"/>
              <w:rPr>
                <w:lang w:val="en-GB"/>
              </w:rPr>
            </w:pPr>
          </w:p>
        </w:tc>
      </w:tr>
      <w:tr w:rsidR="00F03986" w:rsidTr="00F03986">
        <w:trPr>
          <w:trHeight w:val="230"/>
        </w:trPr>
        <w:tc>
          <w:tcPr>
            <w:tcW w:w="14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F03986" w:rsidRDefault="00F03986" w:rsidP="00F03986">
            <w:pPr>
              <w:pStyle w:val="TableDataEntries"/>
              <w:jc w:val="left"/>
              <w:rPr>
                <w:lang w:val="en-GB"/>
              </w:rPr>
            </w:pPr>
            <w:r>
              <w:rPr>
                <w:lang w:val="en-GB"/>
              </w:rPr>
              <w:t>Hotel</w:t>
            </w:r>
          </w:p>
        </w:tc>
        <w:tc>
          <w:tcPr>
            <w:tcW w:w="92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F03986" w:rsidRDefault="00F03986" w:rsidP="00F03986">
            <w:pPr>
              <w:pStyle w:val="TableDataEntries"/>
            </w:pPr>
            <w:r w:rsidRPr="00F03986">
              <w:t xml:space="preserve"> 0.00</w:t>
            </w:r>
          </w:p>
        </w:tc>
        <w:tc>
          <w:tcPr>
            <w:tcW w:w="92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F03986" w:rsidRDefault="00F03986" w:rsidP="00F03986">
            <w:pPr>
              <w:pStyle w:val="TableDataEntries"/>
            </w:pPr>
            <w:r w:rsidRPr="00F03986">
              <w:t xml:space="preserve"> 2.46</w:t>
            </w:r>
          </w:p>
        </w:tc>
        <w:tc>
          <w:tcPr>
            <w:tcW w:w="92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F03986" w:rsidRDefault="00F03986" w:rsidP="00F03986">
            <w:pPr>
              <w:pStyle w:val="TableDataEntries"/>
            </w:pPr>
            <w:r w:rsidRPr="00F03986">
              <w:t xml:space="preserve"> 0.36</w:t>
            </w:r>
          </w:p>
        </w:tc>
        <w:tc>
          <w:tcPr>
            <w:tcW w:w="92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F03986" w:rsidRDefault="00F03986" w:rsidP="00F03986">
            <w:pPr>
              <w:pStyle w:val="TableDataEntries"/>
            </w:pPr>
            <w:r w:rsidRPr="00F03986">
              <w:t xml:space="preserve"> 11.64</w:t>
            </w:r>
          </w:p>
        </w:tc>
        <w:tc>
          <w:tcPr>
            <w:tcW w:w="92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F03986" w:rsidRDefault="00F03986" w:rsidP="00F03986">
            <w:pPr>
              <w:pStyle w:val="TableDataEntries"/>
            </w:pPr>
            <w:r w:rsidRPr="00F03986">
              <w:t xml:space="preserve"> 0.34</w:t>
            </w:r>
          </w:p>
        </w:tc>
        <w:tc>
          <w:tcPr>
            <w:tcW w:w="92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F03986" w:rsidRDefault="00F03986" w:rsidP="00F03986">
            <w:pPr>
              <w:pStyle w:val="TableDataEntries"/>
            </w:pPr>
            <w:r w:rsidRPr="00F03986">
              <w:t xml:space="preserve"> 8.25</w:t>
            </w:r>
          </w:p>
        </w:tc>
        <w:tc>
          <w:tcPr>
            <w:tcW w:w="92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F03986" w:rsidRDefault="00F03986" w:rsidP="00F03986">
            <w:pPr>
              <w:pStyle w:val="TableDataEntries"/>
            </w:pPr>
            <w:r w:rsidRPr="00F03986">
              <w:t xml:space="preserve"> 8.55</w:t>
            </w:r>
          </w:p>
        </w:tc>
      </w:tr>
      <w:tr w:rsidR="00F03986" w:rsidTr="00F03986">
        <w:trPr>
          <w:trHeight w:val="230"/>
        </w:trPr>
        <w:tc>
          <w:tcPr>
            <w:tcW w:w="14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F03986" w:rsidRDefault="00F03986" w:rsidP="00F03986">
            <w:pPr>
              <w:pStyle w:val="TableDataEntries"/>
              <w:jc w:val="left"/>
              <w:rPr>
                <w:lang w:val="en-GB"/>
              </w:rPr>
            </w:pPr>
            <w:r>
              <w:rPr>
                <w:lang w:val="en-GB"/>
              </w:rPr>
              <w:t>Office building (40% WWR)</w:t>
            </w:r>
          </w:p>
        </w:tc>
        <w:tc>
          <w:tcPr>
            <w:tcW w:w="92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F03986" w:rsidRDefault="00F03986" w:rsidP="00F03986">
            <w:pPr>
              <w:pStyle w:val="TableDataEntries"/>
            </w:pPr>
            <w:r w:rsidRPr="00F03986">
              <w:t xml:space="preserve"> 0.00</w:t>
            </w:r>
          </w:p>
        </w:tc>
        <w:tc>
          <w:tcPr>
            <w:tcW w:w="92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F03986" w:rsidRDefault="00F03986" w:rsidP="00F03986">
            <w:pPr>
              <w:pStyle w:val="TableDataEntries"/>
            </w:pPr>
            <w:r w:rsidRPr="00F03986">
              <w:t xml:space="preserve"> 4.05</w:t>
            </w:r>
          </w:p>
        </w:tc>
        <w:tc>
          <w:tcPr>
            <w:tcW w:w="92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F03986" w:rsidRDefault="00F03986" w:rsidP="00F03986">
            <w:pPr>
              <w:pStyle w:val="TableDataEntries"/>
            </w:pPr>
            <w:r w:rsidRPr="00F03986">
              <w:t xml:space="preserve"> 3.60</w:t>
            </w:r>
          </w:p>
        </w:tc>
        <w:tc>
          <w:tcPr>
            <w:tcW w:w="92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F03986" w:rsidRDefault="00F03986" w:rsidP="00F03986">
            <w:pPr>
              <w:pStyle w:val="TableDataEntries"/>
            </w:pPr>
            <w:r w:rsidRPr="00F03986">
              <w:t xml:space="preserve"> 7.81</w:t>
            </w:r>
          </w:p>
        </w:tc>
        <w:tc>
          <w:tcPr>
            <w:tcW w:w="92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F03986" w:rsidRDefault="00F03986" w:rsidP="00F03986">
            <w:pPr>
              <w:pStyle w:val="TableDataEntries"/>
            </w:pPr>
            <w:r w:rsidRPr="00F03986">
              <w:t xml:space="preserve"> 8.61</w:t>
            </w:r>
          </w:p>
        </w:tc>
        <w:tc>
          <w:tcPr>
            <w:tcW w:w="92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F03986" w:rsidRDefault="00F03986" w:rsidP="00F03986">
            <w:pPr>
              <w:pStyle w:val="TableDataEntries"/>
            </w:pPr>
            <w:r w:rsidRPr="00F03986">
              <w:t xml:space="preserve"> 4.16</w:t>
            </w:r>
          </w:p>
        </w:tc>
        <w:tc>
          <w:tcPr>
            <w:tcW w:w="92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F03986" w:rsidRDefault="00F03986" w:rsidP="00F03986">
            <w:pPr>
              <w:pStyle w:val="TableDataEntries"/>
            </w:pPr>
            <w:r w:rsidRPr="00F03986">
              <w:t xml:space="preserve"> 7.83</w:t>
            </w:r>
          </w:p>
        </w:tc>
      </w:tr>
      <w:tr w:rsidR="00F03986" w:rsidTr="00F03986">
        <w:trPr>
          <w:trHeight w:val="230"/>
        </w:trPr>
        <w:tc>
          <w:tcPr>
            <w:tcW w:w="14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F03986" w:rsidRDefault="00F03986" w:rsidP="00F03986">
            <w:pPr>
              <w:pStyle w:val="TableDataEntries"/>
              <w:jc w:val="left"/>
              <w:rPr>
                <w:lang w:val="en-GB"/>
              </w:rPr>
            </w:pPr>
            <w:r>
              <w:rPr>
                <w:lang w:val="en-GB"/>
              </w:rPr>
              <w:t>Office building (56% WWR)</w:t>
            </w:r>
          </w:p>
        </w:tc>
        <w:tc>
          <w:tcPr>
            <w:tcW w:w="92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F03986" w:rsidRDefault="00F03986" w:rsidP="00F03986">
            <w:pPr>
              <w:pStyle w:val="TableDataEntries"/>
            </w:pPr>
            <w:r w:rsidRPr="00F03986">
              <w:t>- 0.01</w:t>
            </w:r>
          </w:p>
        </w:tc>
        <w:tc>
          <w:tcPr>
            <w:tcW w:w="92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F03986" w:rsidRDefault="00F03986" w:rsidP="00F03986">
            <w:pPr>
              <w:pStyle w:val="TableDataEntries"/>
            </w:pPr>
            <w:r w:rsidRPr="00F03986">
              <w:t xml:space="preserve"> 2.91</w:t>
            </w:r>
          </w:p>
        </w:tc>
        <w:tc>
          <w:tcPr>
            <w:tcW w:w="92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F03986" w:rsidRDefault="00F03986" w:rsidP="00F03986">
            <w:pPr>
              <w:pStyle w:val="TableDataEntries"/>
            </w:pPr>
            <w:r w:rsidRPr="00F03986">
              <w:t xml:space="preserve"> 5.43</w:t>
            </w:r>
          </w:p>
        </w:tc>
        <w:tc>
          <w:tcPr>
            <w:tcW w:w="92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F03986" w:rsidRDefault="00F03986" w:rsidP="00F03986">
            <w:pPr>
              <w:pStyle w:val="TableDataEntries"/>
            </w:pPr>
            <w:r w:rsidRPr="00F03986">
              <w:t>- 5.47</w:t>
            </w:r>
          </w:p>
        </w:tc>
        <w:tc>
          <w:tcPr>
            <w:tcW w:w="92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F03986" w:rsidRDefault="00F03986" w:rsidP="00F03986">
            <w:pPr>
              <w:pStyle w:val="TableDataEntries"/>
            </w:pPr>
            <w:r w:rsidRPr="00F03986">
              <w:t xml:space="preserve"> 0.62</w:t>
            </w:r>
          </w:p>
        </w:tc>
        <w:tc>
          <w:tcPr>
            <w:tcW w:w="92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F03986" w:rsidRDefault="00F03986" w:rsidP="00F03986">
            <w:pPr>
              <w:pStyle w:val="TableDataEntries"/>
            </w:pPr>
            <w:r w:rsidRPr="00F03986">
              <w:t>- 4.52</w:t>
            </w:r>
          </w:p>
        </w:tc>
        <w:tc>
          <w:tcPr>
            <w:tcW w:w="92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F03986" w:rsidRDefault="00F03986" w:rsidP="00F03986">
            <w:pPr>
              <w:pStyle w:val="TableDataEntries"/>
            </w:pPr>
            <w:r w:rsidRPr="00F03986">
              <w:t>- 16.43</w:t>
            </w:r>
          </w:p>
        </w:tc>
      </w:tr>
      <w:tr w:rsidR="00F03986" w:rsidTr="00F03986">
        <w:trPr>
          <w:trHeight w:val="230"/>
        </w:trPr>
        <w:tc>
          <w:tcPr>
            <w:tcW w:w="14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F03986" w:rsidRDefault="00F03986" w:rsidP="00F03986">
            <w:pPr>
              <w:pStyle w:val="TableDataEntries"/>
              <w:jc w:val="left"/>
              <w:rPr>
                <w:lang w:val="en-GB"/>
              </w:rPr>
            </w:pPr>
            <w:r>
              <w:rPr>
                <w:lang w:val="en-GB"/>
              </w:rPr>
              <w:t>Retail</w:t>
            </w:r>
          </w:p>
        </w:tc>
        <w:tc>
          <w:tcPr>
            <w:tcW w:w="92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F03986" w:rsidRDefault="00F03986" w:rsidP="00F03986">
            <w:pPr>
              <w:pStyle w:val="TableDataEntries"/>
            </w:pPr>
            <w:r w:rsidRPr="00F03986">
              <w:t>- 0.07</w:t>
            </w:r>
          </w:p>
        </w:tc>
        <w:tc>
          <w:tcPr>
            <w:tcW w:w="92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F03986" w:rsidRDefault="00F03986" w:rsidP="00F03986">
            <w:pPr>
              <w:pStyle w:val="TableDataEntries"/>
            </w:pPr>
            <w:r w:rsidRPr="00F03986">
              <w:t>- 4.42</w:t>
            </w:r>
          </w:p>
        </w:tc>
        <w:tc>
          <w:tcPr>
            <w:tcW w:w="92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F03986" w:rsidRDefault="00F03986" w:rsidP="00F03986">
            <w:pPr>
              <w:pStyle w:val="TableDataEntries"/>
            </w:pPr>
            <w:r w:rsidRPr="00F03986">
              <w:t>- 7.86</w:t>
            </w:r>
          </w:p>
        </w:tc>
        <w:tc>
          <w:tcPr>
            <w:tcW w:w="92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F03986" w:rsidRDefault="00F03986" w:rsidP="00F03986">
            <w:pPr>
              <w:pStyle w:val="TableDataEntries"/>
            </w:pPr>
            <w:r w:rsidRPr="00F03986">
              <w:t>- 29.34</w:t>
            </w:r>
          </w:p>
        </w:tc>
        <w:tc>
          <w:tcPr>
            <w:tcW w:w="92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F03986" w:rsidRDefault="00F03986" w:rsidP="00F03986">
            <w:pPr>
              <w:pStyle w:val="TableDataEntries"/>
            </w:pPr>
            <w:r w:rsidRPr="00F03986">
              <w:t>- 15.99</w:t>
            </w:r>
          </w:p>
        </w:tc>
        <w:tc>
          <w:tcPr>
            <w:tcW w:w="92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F03986" w:rsidRDefault="00F03986" w:rsidP="00F03986">
            <w:pPr>
              <w:pStyle w:val="TableDataEntries"/>
            </w:pPr>
            <w:r w:rsidRPr="00F03986">
              <w:t>- 64.32</w:t>
            </w:r>
          </w:p>
        </w:tc>
        <w:tc>
          <w:tcPr>
            <w:tcW w:w="92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F03986" w:rsidRDefault="00F03986" w:rsidP="00F03986">
            <w:pPr>
              <w:pStyle w:val="TableDataEntries"/>
            </w:pPr>
            <w:r w:rsidRPr="00F03986">
              <w:t xml:space="preserve"> 32.59</w:t>
            </w:r>
          </w:p>
        </w:tc>
      </w:tr>
      <w:tr w:rsidR="00F03986" w:rsidTr="00F03986">
        <w:trPr>
          <w:trHeight w:val="230"/>
        </w:trPr>
        <w:tc>
          <w:tcPr>
            <w:tcW w:w="14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F03986" w:rsidRDefault="00F03986" w:rsidP="00F03986">
            <w:pPr>
              <w:pStyle w:val="TableDataEntries"/>
              <w:jc w:val="left"/>
              <w:rPr>
                <w:lang w:val="en-GB"/>
              </w:rPr>
            </w:pPr>
            <w:r>
              <w:rPr>
                <w:lang w:val="en-GB"/>
              </w:rPr>
              <w:t xml:space="preserve">Aged care </w:t>
            </w:r>
            <w:r w:rsidR="00BB30D0">
              <w:rPr>
                <w:lang w:val="en-GB"/>
              </w:rPr>
              <w:t>facility</w:t>
            </w:r>
          </w:p>
        </w:tc>
        <w:tc>
          <w:tcPr>
            <w:tcW w:w="92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F03986" w:rsidRDefault="00F03986" w:rsidP="00F03986">
            <w:pPr>
              <w:pStyle w:val="TableDataEntries"/>
            </w:pPr>
            <w:r w:rsidRPr="00F03986">
              <w:t>- 0.03</w:t>
            </w:r>
          </w:p>
        </w:tc>
        <w:tc>
          <w:tcPr>
            <w:tcW w:w="92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F03986" w:rsidRDefault="00F03986" w:rsidP="00F03986">
            <w:pPr>
              <w:pStyle w:val="TableDataEntries"/>
            </w:pPr>
            <w:r w:rsidRPr="00F03986">
              <w:t>- 0.77</w:t>
            </w:r>
          </w:p>
        </w:tc>
        <w:tc>
          <w:tcPr>
            <w:tcW w:w="92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F03986" w:rsidRDefault="00F03986" w:rsidP="00F03986">
            <w:pPr>
              <w:pStyle w:val="TableDataEntries"/>
            </w:pPr>
            <w:r w:rsidRPr="00F03986">
              <w:t xml:space="preserve"> 2.80</w:t>
            </w:r>
          </w:p>
        </w:tc>
        <w:tc>
          <w:tcPr>
            <w:tcW w:w="92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F03986" w:rsidRDefault="00F03986" w:rsidP="00F03986">
            <w:pPr>
              <w:pStyle w:val="TableDataEntries"/>
            </w:pPr>
            <w:r w:rsidRPr="00F03986">
              <w:t>- 1.59</w:t>
            </w:r>
          </w:p>
        </w:tc>
        <w:tc>
          <w:tcPr>
            <w:tcW w:w="92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F03986" w:rsidRDefault="00F03986" w:rsidP="00F03986">
            <w:pPr>
              <w:pStyle w:val="TableDataEntries"/>
            </w:pPr>
            <w:r w:rsidRPr="00F03986">
              <w:t>- 0.51</w:t>
            </w:r>
          </w:p>
        </w:tc>
        <w:tc>
          <w:tcPr>
            <w:tcW w:w="92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F03986" w:rsidRDefault="00F03986" w:rsidP="00F03986">
            <w:pPr>
              <w:pStyle w:val="TableDataEntries"/>
            </w:pPr>
            <w:r w:rsidRPr="00F03986">
              <w:t>- 31.83</w:t>
            </w:r>
          </w:p>
        </w:tc>
        <w:tc>
          <w:tcPr>
            <w:tcW w:w="92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F03986" w:rsidRDefault="00F03986" w:rsidP="00F03986">
            <w:pPr>
              <w:pStyle w:val="TableDataEntries"/>
            </w:pPr>
            <w:r w:rsidRPr="00F03986">
              <w:t>- 41.73</w:t>
            </w:r>
          </w:p>
        </w:tc>
      </w:tr>
      <w:tr w:rsidR="00F03986" w:rsidTr="00F03986">
        <w:trPr>
          <w:trHeight w:val="230"/>
        </w:trPr>
        <w:tc>
          <w:tcPr>
            <w:tcW w:w="1493" w:type="dxa"/>
            <w:tcBorders>
              <w:top w:val="single" w:sz="8" w:space="0" w:color="FFFFFF" w:themeColor="background1"/>
              <w:bottom w:val="single" w:sz="6" w:space="0" w:color="6F6652"/>
            </w:tcBorders>
            <w:shd w:val="clear" w:color="auto" w:fill="E9E8E5" w:themeFill="background2"/>
            <w:tcMar>
              <w:left w:w="57" w:type="dxa"/>
              <w:right w:w="57" w:type="dxa"/>
            </w:tcMar>
          </w:tcPr>
          <w:p w:rsidR="00F03986" w:rsidRDefault="00F03986" w:rsidP="00F03986">
            <w:pPr>
              <w:pStyle w:val="TableDataEntries"/>
              <w:jc w:val="left"/>
              <w:rPr>
                <w:lang w:val="en-GB"/>
              </w:rPr>
            </w:pPr>
            <w:r>
              <w:rPr>
                <w:lang w:val="en-GB"/>
              </w:rPr>
              <w:t>School</w:t>
            </w:r>
          </w:p>
        </w:tc>
        <w:tc>
          <w:tcPr>
            <w:tcW w:w="921"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rsidR="00F03986" w:rsidRPr="00F03986" w:rsidRDefault="00F03986" w:rsidP="00F03986">
            <w:pPr>
              <w:pStyle w:val="TableDataEntries"/>
            </w:pPr>
            <w:r w:rsidRPr="00F03986">
              <w:t xml:space="preserve"> 0.26</w:t>
            </w:r>
          </w:p>
        </w:tc>
        <w:tc>
          <w:tcPr>
            <w:tcW w:w="921"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rsidR="00F03986" w:rsidRPr="00F03986" w:rsidRDefault="00F03986" w:rsidP="00F03986">
            <w:pPr>
              <w:pStyle w:val="TableDataEntries"/>
            </w:pPr>
            <w:r w:rsidRPr="00F03986">
              <w:t>- 10.91</w:t>
            </w:r>
          </w:p>
        </w:tc>
        <w:tc>
          <w:tcPr>
            <w:tcW w:w="921"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rsidR="00F03986" w:rsidRPr="00F03986" w:rsidRDefault="00F03986" w:rsidP="00F03986">
            <w:pPr>
              <w:pStyle w:val="TableDataEntries"/>
            </w:pPr>
            <w:r w:rsidRPr="00F03986">
              <w:t xml:space="preserve"> 12.25</w:t>
            </w:r>
          </w:p>
        </w:tc>
        <w:tc>
          <w:tcPr>
            <w:tcW w:w="920"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rsidR="00F03986" w:rsidRPr="00F03986" w:rsidRDefault="00F03986" w:rsidP="00F03986">
            <w:pPr>
              <w:pStyle w:val="TableDataEntries"/>
            </w:pPr>
            <w:r w:rsidRPr="00F03986">
              <w:t xml:space="preserve"> 35.54</w:t>
            </w:r>
          </w:p>
        </w:tc>
        <w:tc>
          <w:tcPr>
            <w:tcW w:w="921"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rsidR="00F03986" w:rsidRPr="00F03986" w:rsidRDefault="00F03986" w:rsidP="00F03986">
            <w:pPr>
              <w:pStyle w:val="TableDataEntries"/>
            </w:pPr>
            <w:r w:rsidRPr="00F03986">
              <w:t xml:space="preserve"> 20.03</w:t>
            </w:r>
          </w:p>
        </w:tc>
        <w:tc>
          <w:tcPr>
            <w:tcW w:w="921"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rsidR="00F03986" w:rsidRPr="00F03986" w:rsidRDefault="00F03986" w:rsidP="00F03986">
            <w:pPr>
              <w:pStyle w:val="TableDataEntries"/>
            </w:pPr>
            <w:r w:rsidRPr="00F03986">
              <w:t xml:space="preserve"> 42.01</w:t>
            </w:r>
          </w:p>
        </w:tc>
        <w:tc>
          <w:tcPr>
            <w:tcW w:w="921"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rsidR="00F03986" w:rsidRPr="00F03986" w:rsidRDefault="00F03986" w:rsidP="00F03986">
            <w:pPr>
              <w:pStyle w:val="TableDataEntries"/>
            </w:pPr>
            <w:r w:rsidRPr="00F03986">
              <w:t xml:space="preserve"> 28.75</w:t>
            </w:r>
          </w:p>
        </w:tc>
      </w:tr>
    </w:tbl>
    <w:p w:rsidR="00D171BF" w:rsidRDefault="00D171BF" w:rsidP="00D171BF">
      <w:pPr>
        <w:pStyle w:val="Source"/>
      </w:pPr>
      <w:r>
        <w:rPr>
          <w:i/>
        </w:rPr>
        <w:t>Source</w:t>
      </w:r>
      <w:r w:rsidRPr="00E4232C">
        <w:rPr>
          <w:i/>
        </w:rPr>
        <w:t>:</w:t>
      </w:r>
      <w:r>
        <w:t xml:space="preserve"> </w:t>
      </w:r>
      <w:r w:rsidR="003F28DD">
        <w:t>EA</w:t>
      </w:r>
      <w:r w:rsidR="001533BB">
        <w:t xml:space="preserve"> modelling.</w:t>
      </w:r>
    </w:p>
    <w:p w:rsidR="00612FD3" w:rsidRDefault="00612FD3" w:rsidP="00612FD3">
      <w:pPr>
        <w:pStyle w:val="BodyText"/>
      </w:pPr>
      <w:r>
        <w:t>These estimates represent modelled energy savings as a result of the proposed changes to the NCC. This cannot be interpreted as the change in stringency.</w:t>
      </w:r>
    </w:p>
    <w:p w:rsidR="00612FD3" w:rsidRDefault="00612FD3" w:rsidP="00612FD3">
      <w:pPr>
        <w:pStyle w:val="ListBullet"/>
        <w:numPr>
          <w:ilvl w:val="0"/>
          <w:numId w:val="36"/>
        </w:numPr>
      </w:pPr>
      <w:r>
        <w:t>Modelled energy savings takes into account the assumed uptake of energy efficient technologies that would occur even if the NCC remained unchanged (i.e. under the baseline scenario), such as LED lighting. This approach is appropriate for the RIS as it focuses on estimating energy savings that would occur as a result of the proposed changes to the NCC.</w:t>
      </w:r>
    </w:p>
    <w:p w:rsidR="00612FD3" w:rsidRDefault="00612FD3" w:rsidP="00612FD3">
      <w:pPr>
        <w:pStyle w:val="ListBullet"/>
        <w:numPr>
          <w:ilvl w:val="0"/>
          <w:numId w:val="36"/>
        </w:numPr>
      </w:pPr>
      <w:r>
        <w:t>By contrast, modelling the change of stringency would compare a building built as close as possible to the NCC minimum requirements under the proposed changes to the existing code. The change in stringency would be higher than the modelled energy savings as it would include the energy saving benefits from the shift towards LED lighting. However, for the purposes of the RIS, it would in appropriately attribute the uptake of LED lighting to the proposed changes to the NCC.</w:t>
      </w:r>
    </w:p>
    <w:p w:rsidR="00612FD3" w:rsidRDefault="00612FD3" w:rsidP="00612FD3">
      <w:pPr>
        <w:pStyle w:val="Heading4"/>
        <w:numPr>
          <w:ilvl w:val="3"/>
          <w:numId w:val="5"/>
        </w:numPr>
      </w:pPr>
      <w:r>
        <w:t>Hotels</w:t>
      </w:r>
    </w:p>
    <w:p w:rsidR="00612FD3" w:rsidRDefault="00612FD3" w:rsidP="00612FD3">
      <w:pPr>
        <w:pStyle w:val="BodyText"/>
      </w:pPr>
      <w:r>
        <w:t>The proposed changes to the NCC is estimated to reduce energy consumption in hotels by around 20</w:t>
      </w:r>
      <w:r>
        <w:noBreakHyphen/>
        <w:t xml:space="preserve">25 per cent in most </w:t>
      </w:r>
      <w:r w:rsidR="00E31EE8">
        <w:t>Climate Zone</w:t>
      </w:r>
      <w:r>
        <w:t>s (chart</w:t>
      </w:r>
      <w:r w:rsidR="001533BB">
        <w:t> </w:t>
      </w:r>
      <w:r w:rsidR="005153A6">
        <w:rPr>
          <w:noProof/>
        </w:rPr>
        <w:fldChar w:fldCharType="begin"/>
      </w:r>
      <w:r w:rsidR="005153A6">
        <w:rPr>
          <w:noProof/>
        </w:rPr>
        <w:instrText xml:space="preserve"> REF _Caption3115 </w:instrText>
      </w:r>
      <w:r w:rsidR="005153A6">
        <w:rPr>
          <w:noProof/>
        </w:rPr>
        <w:fldChar w:fldCharType="separate"/>
      </w:r>
      <w:r w:rsidR="006B79B8" w:rsidRPr="007502CF">
        <w:rPr>
          <w:noProof/>
        </w:rPr>
        <w:t>6.2</w:t>
      </w:r>
      <w:r w:rsidR="005153A6">
        <w:rPr>
          <w:noProof/>
        </w:rPr>
        <w:fldChar w:fldCharType="end"/>
      </w:r>
      <w:r>
        <w:t xml:space="preserve">). This is mainly due to reduced energy consumption from chillers and fans. In </w:t>
      </w:r>
      <w:r w:rsidR="00E31EE8">
        <w:t>Climate Zone</w:t>
      </w:r>
      <w:r>
        <w:t xml:space="preserve"> 1, energy savings are estimated to be lower at less than 10 per cent, due to a slight increase in energy consumption from chillers.</w:t>
      </w:r>
    </w:p>
    <w:p w:rsidR="00612FD3" w:rsidRPr="00695C93" w:rsidRDefault="00612FD3" w:rsidP="00612FD3">
      <w:pPr>
        <w:pStyle w:val="Caption"/>
      </w:pPr>
      <w:r w:rsidRPr="007502CF">
        <w:fldChar w:fldCharType="begin"/>
      </w:r>
      <w:r w:rsidRPr="007502CF">
        <w:instrText xml:space="preserve"> IF 1 = 1 "</w:instrText>
      </w:r>
      <w:r w:rsidRPr="007502CF">
        <w:fldChar w:fldCharType="begin"/>
      </w:r>
      <w:r w:rsidRPr="007502CF">
        <w:instrText xml:space="preserve"> IF </w:instrText>
      </w:r>
      <w:r w:rsidRPr="007502CF">
        <w:rPr>
          <w:noProof/>
        </w:rPr>
        <w:fldChar w:fldCharType="begin"/>
      </w:r>
      <w:r w:rsidRPr="007502CF">
        <w:rPr>
          <w:noProof/>
        </w:rPr>
        <w:instrText xml:space="preserve"> STYLEREF "Heading 6" \l \n </w:instrText>
      </w:r>
      <w:r w:rsidRPr="007502CF">
        <w:rPr>
          <w:noProof/>
        </w:rPr>
        <w:fldChar w:fldCharType="separate"/>
      </w:r>
      <w:r w:rsidR="00B833F1">
        <w:rPr>
          <w:noProof/>
        </w:rPr>
        <w:instrText>0</w:instrText>
      </w:r>
      <w:r w:rsidRPr="007502CF">
        <w:rPr>
          <w:noProof/>
        </w:rPr>
        <w:fldChar w:fldCharType="end"/>
      </w:r>
      <w:r w:rsidRPr="007502CF">
        <w:instrText xml:space="preserve"> = 0 "</w:instrText>
      </w:r>
      <w:r w:rsidRPr="007502CF">
        <w:fldChar w:fldCharType="begin"/>
      </w:r>
      <w:r w:rsidRPr="007502CF">
        <w:instrText xml:space="preserve"> IF </w:instrText>
      </w:r>
      <w:r w:rsidRPr="007502CF">
        <w:rPr>
          <w:noProof/>
        </w:rPr>
        <w:fldChar w:fldCharType="begin"/>
      </w:r>
      <w:r w:rsidRPr="007502CF">
        <w:rPr>
          <w:noProof/>
        </w:rPr>
        <w:instrText xml:space="preserve"> STYLEREF "Heading 1" \l \n </w:instrText>
      </w:r>
      <w:r w:rsidRPr="007502CF">
        <w:rPr>
          <w:noProof/>
        </w:rPr>
        <w:fldChar w:fldCharType="separate"/>
      </w:r>
      <w:r w:rsidR="00B833F1">
        <w:rPr>
          <w:noProof/>
        </w:rPr>
        <w:instrText>6</w:instrText>
      </w:r>
      <w:r w:rsidRPr="007502CF">
        <w:rPr>
          <w:noProof/>
        </w:rPr>
        <w:fldChar w:fldCharType="end"/>
      </w:r>
      <w:r w:rsidRPr="007502CF">
        <w:instrText xml:space="preserve"> = 0 "" "</w:instrText>
      </w:r>
      <w:r w:rsidRPr="007502CF">
        <w:rPr>
          <w:noProof/>
        </w:rPr>
        <w:fldChar w:fldCharType="begin"/>
      </w:r>
      <w:r w:rsidRPr="007502CF">
        <w:rPr>
          <w:noProof/>
        </w:rPr>
        <w:instrText xml:space="preserve"> STYLEREF "Heading 1" \l \n </w:instrText>
      </w:r>
      <w:r w:rsidRPr="007502CF">
        <w:rPr>
          <w:noProof/>
        </w:rPr>
        <w:fldChar w:fldCharType="separate"/>
      </w:r>
      <w:r w:rsidR="00B833F1">
        <w:rPr>
          <w:noProof/>
        </w:rPr>
        <w:instrText>6</w:instrText>
      </w:r>
      <w:r w:rsidRPr="007502CF">
        <w:rPr>
          <w:noProof/>
        </w:rPr>
        <w:fldChar w:fldCharType="end"/>
      </w:r>
      <w:r w:rsidRPr="007502CF">
        <w:instrText xml:space="preserve">." </w:instrText>
      </w:r>
      <w:r w:rsidRPr="007502CF">
        <w:fldChar w:fldCharType="separate"/>
      </w:r>
      <w:r w:rsidR="00B833F1">
        <w:rPr>
          <w:noProof/>
        </w:rPr>
        <w:instrText>6</w:instrText>
      </w:r>
      <w:r w:rsidR="00B833F1" w:rsidRPr="007502CF">
        <w:rPr>
          <w:noProof/>
        </w:rPr>
        <w:instrText>.</w:instrText>
      </w:r>
      <w:r w:rsidRPr="007502CF">
        <w:fldChar w:fldCharType="end"/>
      </w:r>
      <w:r w:rsidRPr="007502CF">
        <w:instrText>" "</w:instrText>
      </w:r>
      <w:r w:rsidRPr="007502CF">
        <w:rPr>
          <w:noProof/>
        </w:rPr>
        <w:fldChar w:fldCharType="begin"/>
      </w:r>
      <w:r w:rsidRPr="007502CF">
        <w:rPr>
          <w:noProof/>
        </w:rPr>
        <w:instrText xml:space="preserve"> STYLEREF "Heading 6" \l \n </w:instrText>
      </w:r>
      <w:r w:rsidRPr="007502CF">
        <w:rPr>
          <w:noProof/>
        </w:rPr>
        <w:fldChar w:fldCharType="separate"/>
      </w:r>
      <w:r w:rsidRPr="007502CF">
        <w:rPr>
          <w:noProof/>
        </w:rPr>
        <w:instrText>A</w:instrText>
      </w:r>
      <w:r w:rsidRPr="007502CF">
        <w:rPr>
          <w:noProof/>
        </w:rPr>
        <w:fldChar w:fldCharType="end"/>
      </w:r>
      <w:r w:rsidRPr="007502CF">
        <w:instrText xml:space="preserve">." </w:instrText>
      </w:r>
      <w:r w:rsidRPr="007502CF">
        <w:fldChar w:fldCharType="separate"/>
      </w:r>
      <w:r w:rsidR="00EA42ED">
        <w:rPr>
          <w:noProof/>
        </w:rPr>
        <w:instrText>6</w:instrText>
      </w:r>
      <w:r w:rsidR="00EA42ED" w:rsidRPr="007502CF">
        <w:rPr>
          <w:noProof/>
        </w:rPr>
        <w:instrText>.</w:instrText>
      </w:r>
      <w:r w:rsidRPr="007502CF">
        <w:fldChar w:fldCharType="end"/>
      </w:r>
      <w:r w:rsidRPr="007502CF">
        <w:fldChar w:fldCharType="begin"/>
      </w:r>
      <w:r w:rsidRPr="007502CF">
        <w:instrText xml:space="preserve"> SEQ Item \* ARABIC \s </w:instrText>
      </w:r>
      <w:r w:rsidRPr="007502CF">
        <w:fldChar w:fldCharType="begin"/>
      </w:r>
      <w:r w:rsidRPr="007502CF">
        <w:instrText xml:space="preserve"> IF </w:instrText>
      </w:r>
      <w:r w:rsidRPr="007502CF">
        <w:rPr>
          <w:noProof/>
        </w:rPr>
        <w:fldChar w:fldCharType="begin"/>
      </w:r>
      <w:r w:rsidRPr="007502CF">
        <w:rPr>
          <w:noProof/>
        </w:rPr>
        <w:instrText xml:space="preserve"> STYLEREF "Heading 6" \l \n </w:instrText>
      </w:r>
      <w:r w:rsidRPr="007502CF">
        <w:rPr>
          <w:noProof/>
        </w:rPr>
        <w:fldChar w:fldCharType="separate"/>
      </w:r>
      <w:r w:rsidR="00B833F1">
        <w:rPr>
          <w:noProof/>
        </w:rPr>
        <w:instrText>0</w:instrText>
      </w:r>
      <w:r w:rsidRPr="007502CF">
        <w:rPr>
          <w:noProof/>
        </w:rPr>
        <w:fldChar w:fldCharType="end"/>
      </w:r>
      <w:r w:rsidRPr="007502CF">
        <w:instrText xml:space="preserve"> = 0 "</w:instrText>
      </w:r>
      <w:r w:rsidRPr="007502CF">
        <w:fldChar w:fldCharType="begin"/>
      </w:r>
      <w:r w:rsidRPr="007502CF">
        <w:instrText xml:space="preserve"> IF </w:instrText>
      </w:r>
      <w:r w:rsidRPr="007502CF">
        <w:rPr>
          <w:noProof/>
        </w:rPr>
        <w:fldChar w:fldCharType="begin"/>
      </w:r>
      <w:r w:rsidRPr="007502CF">
        <w:rPr>
          <w:noProof/>
        </w:rPr>
        <w:instrText xml:space="preserve"> STYLEREF "Heading 1" \l \n </w:instrText>
      </w:r>
      <w:r w:rsidRPr="007502CF">
        <w:rPr>
          <w:noProof/>
        </w:rPr>
        <w:fldChar w:fldCharType="separate"/>
      </w:r>
      <w:r w:rsidR="00B833F1">
        <w:rPr>
          <w:noProof/>
        </w:rPr>
        <w:instrText>6</w:instrText>
      </w:r>
      <w:r w:rsidRPr="007502CF">
        <w:rPr>
          <w:noProof/>
        </w:rPr>
        <w:fldChar w:fldCharType="end"/>
      </w:r>
      <w:r w:rsidRPr="007502CF">
        <w:instrText xml:space="preserve"> = 0 "" "1" </w:instrText>
      </w:r>
      <w:r w:rsidRPr="007502CF">
        <w:fldChar w:fldCharType="separate"/>
      </w:r>
      <w:r w:rsidR="00EA42ED" w:rsidRPr="007502CF">
        <w:rPr>
          <w:noProof/>
        </w:rPr>
        <w:instrText>1</w:instrText>
      </w:r>
      <w:r w:rsidRPr="007502CF">
        <w:fldChar w:fldCharType="end"/>
      </w:r>
      <w:r w:rsidRPr="007502CF">
        <w:instrText xml:space="preserve">" "6" </w:instrText>
      </w:r>
      <w:r w:rsidRPr="007502CF">
        <w:fldChar w:fldCharType="separate"/>
      </w:r>
      <w:r w:rsidR="00EA42ED" w:rsidRPr="007502CF">
        <w:rPr>
          <w:noProof/>
        </w:rPr>
        <w:instrText>1</w:instrText>
      </w:r>
      <w:r w:rsidRPr="007502CF">
        <w:fldChar w:fldCharType="end"/>
      </w:r>
      <w:r w:rsidRPr="007502CF">
        <w:instrText xml:space="preserve"> </w:instrText>
      </w:r>
      <w:r w:rsidRPr="007502CF">
        <w:fldChar w:fldCharType="separate"/>
      </w:r>
      <w:r w:rsidR="00B833F1">
        <w:rPr>
          <w:noProof/>
        </w:rPr>
        <w:instrText>2</w:instrText>
      </w:r>
      <w:r w:rsidRPr="007502CF">
        <w:fldChar w:fldCharType="end"/>
      </w:r>
      <w:r w:rsidRPr="007502CF">
        <w:instrText xml:space="preserve">" "" </w:instrText>
      </w:r>
      <w:r w:rsidRPr="007502CF">
        <w:fldChar w:fldCharType="separate"/>
      </w:r>
      <w:bookmarkStart w:id="2224" w:name="_Caption1634"/>
      <w:bookmarkStart w:id="2225" w:name="_Caption1620"/>
      <w:bookmarkStart w:id="2226" w:name="_Caption2858"/>
      <w:bookmarkStart w:id="2227" w:name="_Caption8414"/>
      <w:bookmarkStart w:id="2228" w:name="_Caption9710"/>
      <w:bookmarkStart w:id="2229" w:name="_Caption5321"/>
      <w:bookmarkStart w:id="2230" w:name="_Caption3365"/>
      <w:bookmarkStart w:id="2231" w:name="_Caption2097"/>
      <w:bookmarkStart w:id="2232" w:name="_Caption1630"/>
      <w:bookmarkStart w:id="2233" w:name="_Caption9337"/>
      <w:bookmarkStart w:id="2234" w:name="_Caption5750"/>
      <w:bookmarkStart w:id="2235" w:name="_Caption4857"/>
      <w:bookmarkStart w:id="2236" w:name="_Caption0938"/>
      <w:bookmarkStart w:id="2237" w:name="_Caption3832"/>
      <w:bookmarkStart w:id="2238" w:name="_Caption7933"/>
      <w:bookmarkStart w:id="2239" w:name="_Caption8015"/>
      <w:bookmarkStart w:id="2240" w:name="_Caption2993"/>
      <w:bookmarkStart w:id="2241" w:name="_Caption3461"/>
      <w:bookmarkStart w:id="2242" w:name="_Caption1239"/>
      <w:bookmarkStart w:id="2243" w:name="_Caption9978"/>
      <w:bookmarkStart w:id="2244" w:name="_Caption1408"/>
      <w:bookmarkStart w:id="2245" w:name="_Caption3115"/>
      <w:bookmarkStart w:id="2246" w:name="_Caption2213"/>
      <w:bookmarkStart w:id="2247" w:name="_Caption7742"/>
      <w:bookmarkStart w:id="2248" w:name="_Caption6158"/>
      <w:bookmarkStart w:id="2249" w:name="_Caption5992"/>
      <w:bookmarkStart w:id="2250" w:name="_Caption0997"/>
      <w:bookmarkStart w:id="2251" w:name="_Caption2470"/>
      <w:bookmarkStart w:id="2252" w:name="_Caption2499"/>
      <w:bookmarkStart w:id="2253" w:name="_Caption9062"/>
      <w:bookmarkStart w:id="2254" w:name="_Caption2424"/>
      <w:bookmarkStart w:id="2255" w:name="_Caption0944"/>
      <w:bookmarkStart w:id="2256" w:name="_Caption5660"/>
      <w:bookmarkStart w:id="2257" w:name="_Caption3811"/>
      <w:bookmarkStart w:id="2258" w:name="_Caption4203"/>
      <w:bookmarkStart w:id="2259" w:name="_Caption0439"/>
      <w:bookmarkStart w:id="2260" w:name="_Caption6221"/>
      <w:bookmarkStart w:id="2261" w:name="_Caption0914"/>
      <w:bookmarkStart w:id="2262" w:name="_Caption6333"/>
      <w:bookmarkStart w:id="2263" w:name="_Caption5586"/>
      <w:bookmarkStart w:id="2264" w:name="_Caption1751"/>
      <w:bookmarkStart w:id="2265" w:name="_Caption4215"/>
      <w:bookmarkStart w:id="2266" w:name="_Caption5694"/>
      <w:bookmarkStart w:id="2267" w:name="_Caption1895"/>
      <w:bookmarkStart w:id="2268" w:name="_Caption0375"/>
      <w:bookmarkStart w:id="2269" w:name="_Caption9508"/>
      <w:bookmarkStart w:id="2270" w:name="_Caption0508"/>
      <w:bookmarkStart w:id="2271" w:name="_Caption4948"/>
      <w:bookmarkStart w:id="2272" w:name="_Caption2080"/>
      <w:bookmarkStart w:id="2273" w:name="_Caption3584"/>
      <w:bookmarkStart w:id="2274" w:name="_Caption0812"/>
      <w:bookmarkStart w:id="2275" w:name="_Caption0188"/>
      <w:bookmarkStart w:id="2276" w:name="_Caption2293"/>
      <w:bookmarkStart w:id="2277" w:name="_Caption6820"/>
      <w:bookmarkStart w:id="2278" w:name="_Caption4316"/>
      <w:bookmarkStart w:id="2279" w:name="_Caption3484"/>
      <w:bookmarkStart w:id="2280" w:name="_Caption7703"/>
      <w:bookmarkStart w:id="2281" w:name="_Caption4091"/>
      <w:bookmarkStart w:id="2282" w:name="_Caption6739"/>
      <w:bookmarkStart w:id="2283" w:name="_Caption0615"/>
      <w:bookmarkStart w:id="2284" w:name="_Caption1410"/>
      <w:bookmarkStart w:id="2285" w:name="_Caption2297"/>
      <w:bookmarkStart w:id="2286" w:name="_Caption2306"/>
      <w:bookmarkStart w:id="2287" w:name="_Caption9964"/>
      <w:bookmarkStart w:id="2288" w:name="_Caption8374"/>
      <w:bookmarkStart w:id="2289" w:name="_Caption9193"/>
      <w:bookmarkStart w:id="2290" w:name="_Caption6476"/>
      <w:bookmarkStart w:id="2291" w:name="_Toc529869922"/>
      <w:bookmarkStart w:id="2292" w:name="_Toc530748418"/>
      <w:r w:rsidR="00EA42ED">
        <w:rPr>
          <w:noProof/>
        </w:rPr>
        <w:t>6</w:t>
      </w:r>
      <w:r w:rsidR="00EA42ED" w:rsidRPr="007502CF">
        <w:rPr>
          <w:noProof/>
        </w:rPr>
        <w:t>.</w:t>
      </w:r>
      <w:r w:rsidR="00EA42ED">
        <w:rPr>
          <w:noProof/>
        </w:rPr>
        <w:t>2</w:t>
      </w:r>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r w:rsidRPr="007502CF">
        <w:fldChar w:fldCharType="end"/>
      </w:r>
      <w:r w:rsidRPr="007502CF">
        <w:tab/>
        <w:t>Modelled energy savings — hotels</w:t>
      </w:r>
      <w:bookmarkEnd w:id="2291"/>
      <w:bookmarkEnd w:id="2292"/>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8"/>
      </w:tblGrid>
      <w:tr w:rsidR="00612FD3" w:rsidTr="00301B6D">
        <w:trPr>
          <w:cantSplit/>
        </w:trPr>
        <w:tc>
          <w:tcPr>
            <w:tcW w:w="7938" w:type="dxa"/>
            <w:shd w:val="clear" w:color="auto" w:fill="E9E8E5" w:themeFill="background2"/>
          </w:tcPr>
          <w:p w:rsidR="00612FD3" w:rsidRDefault="00612FD3" w:rsidP="00301B6D">
            <w:pPr>
              <w:pStyle w:val="Chart"/>
            </w:pPr>
            <w:r w:rsidRPr="00530989">
              <w:rPr>
                <w:noProof/>
                <w:lang w:eastAsia="en-AU"/>
              </w:rPr>
              <w:drawing>
                <wp:inline distT="0" distB="0" distL="0" distR="0" wp14:anchorId="201ADA32" wp14:editId="053C73DF">
                  <wp:extent cx="5099050" cy="2495550"/>
                  <wp:effectExtent l="0" t="0" r="0" b="0"/>
                  <wp:docPr id="69" name="Picture 69" descr="The chart presents energy savings in percentage terms for hotels by equipment. Energy consumption from chillers (except in Climate Zone 1) and fans. Most climate zones will see energy saving by around 20 per cent except climate zone 1 where the savings is smaller at 10 per cent due to a slight increase in energy consumption from chillers." title="Chart 6.2: Modelled energy savings - hot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99050" cy="2495550"/>
                          </a:xfrm>
                          <a:prstGeom prst="rect">
                            <a:avLst/>
                          </a:prstGeom>
                          <a:noFill/>
                          <a:ln>
                            <a:noFill/>
                          </a:ln>
                        </pic:spPr>
                      </pic:pic>
                    </a:graphicData>
                  </a:graphic>
                </wp:inline>
              </w:drawing>
            </w:r>
          </w:p>
        </w:tc>
      </w:tr>
    </w:tbl>
    <w:p w:rsidR="00612FD3" w:rsidRPr="00A97BEC" w:rsidRDefault="00612FD3" w:rsidP="00612FD3">
      <w:pPr>
        <w:pStyle w:val="Note"/>
      </w:pPr>
      <w:r w:rsidRPr="00A97BEC">
        <w:rPr>
          <w:i/>
        </w:rPr>
        <w:t xml:space="preserve">Note: </w:t>
      </w:r>
      <w:r w:rsidRPr="00E6222F">
        <w:t>Graph presents energy savings in percentage terms to provide some context; however, it is the absolute change in consumption (as reported in table </w:t>
      </w:r>
      <w:r w:rsidR="003F17B1">
        <w:rPr>
          <w:noProof/>
        </w:rPr>
        <w:fldChar w:fldCharType="begin"/>
      </w:r>
      <w:r w:rsidR="003F17B1">
        <w:rPr>
          <w:noProof/>
        </w:rPr>
        <w:instrText xml:space="preserve"> REF _Caption6974 </w:instrText>
      </w:r>
      <w:r w:rsidR="003F17B1">
        <w:rPr>
          <w:noProof/>
        </w:rPr>
        <w:fldChar w:fldCharType="separate"/>
      </w:r>
      <w:r w:rsidR="006B79B8">
        <w:rPr>
          <w:noProof/>
        </w:rPr>
        <w:t>6</w:t>
      </w:r>
      <w:r w:rsidR="006B79B8" w:rsidRPr="00F03986">
        <w:rPr>
          <w:noProof/>
        </w:rPr>
        <w:t>.</w:t>
      </w:r>
      <w:r w:rsidR="006B79B8">
        <w:rPr>
          <w:noProof/>
        </w:rPr>
        <w:t>1</w:t>
      </w:r>
      <w:r w:rsidR="003F17B1">
        <w:rPr>
          <w:noProof/>
        </w:rPr>
        <w:fldChar w:fldCharType="end"/>
      </w:r>
      <w:r w:rsidR="001640D9">
        <w:t xml:space="preserve"> </w:t>
      </w:r>
      <w:r w:rsidRPr="00E6222F">
        <w:t>above that matters for the CBA.</w:t>
      </w:r>
    </w:p>
    <w:p w:rsidR="00612FD3" w:rsidRDefault="00612FD3" w:rsidP="00612FD3">
      <w:pPr>
        <w:pStyle w:val="Source"/>
      </w:pPr>
      <w:r>
        <w:rPr>
          <w:i/>
        </w:rPr>
        <w:t>Data source</w:t>
      </w:r>
      <w:r w:rsidRPr="00A67576">
        <w:rPr>
          <w:i/>
        </w:rPr>
        <w:t>:</w:t>
      </w:r>
      <w:r>
        <w:t xml:space="preserve"> </w:t>
      </w:r>
      <w:r w:rsidR="007B311B">
        <w:t xml:space="preserve">CIE based on </w:t>
      </w:r>
      <w:r w:rsidR="003F28DD">
        <w:t>EA</w:t>
      </w:r>
      <w:r>
        <w:t xml:space="preserve"> modelling.</w:t>
      </w:r>
    </w:p>
    <w:p w:rsidR="00612FD3" w:rsidRDefault="00612FD3" w:rsidP="00612FD3">
      <w:pPr>
        <w:pStyle w:val="Heading4"/>
        <w:numPr>
          <w:ilvl w:val="3"/>
          <w:numId w:val="5"/>
        </w:numPr>
      </w:pPr>
      <w:r>
        <w:t>Office buildings</w:t>
      </w:r>
    </w:p>
    <w:p w:rsidR="00612FD3" w:rsidRDefault="00612FD3" w:rsidP="00612FD3">
      <w:pPr>
        <w:pStyle w:val="BodyText"/>
        <w:rPr>
          <w:lang w:eastAsia="en-US"/>
        </w:rPr>
      </w:pPr>
      <w:r>
        <w:rPr>
          <w:lang w:eastAsia="en-US"/>
        </w:rPr>
        <w:t xml:space="preserve">For an office buildings (5A) with a WWR of 40 per cent, energy savings are estimated to be generally </w:t>
      </w:r>
      <w:r w:rsidR="00860E29">
        <w:rPr>
          <w:lang w:eastAsia="en-US"/>
        </w:rPr>
        <w:t>around</w:t>
      </w:r>
      <w:r>
        <w:rPr>
          <w:lang w:eastAsia="en-US"/>
        </w:rPr>
        <w:t xml:space="preserve"> the </w:t>
      </w:r>
      <w:r w:rsidR="00860E29">
        <w:rPr>
          <w:lang w:eastAsia="en-US"/>
        </w:rPr>
        <w:t>10</w:t>
      </w:r>
      <w:r w:rsidR="00860E29">
        <w:rPr>
          <w:lang w:eastAsia="en-US"/>
        </w:rPr>
        <w:noBreakHyphen/>
        <w:t>15</w:t>
      </w:r>
      <w:r>
        <w:rPr>
          <w:lang w:eastAsia="en-US"/>
        </w:rPr>
        <w:t xml:space="preserve"> per cent range </w:t>
      </w:r>
      <w:r w:rsidR="00860E29">
        <w:rPr>
          <w:lang w:eastAsia="en-US"/>
        </w:rPr>
        <w:t>in most</w:t>
      </w:r>
      <w:r>
        <w:rPr>
          <w:lang w:eastAsia="en-US"/>
        </w:rPr>
        <w:t xml:space="preserve"> </w:t>
      </w:r>
      <w:r w:rsidR="00E31EE8">
        <w:rPr>
          <w:lang w:eastAsia="en-US"/>
        </w:rPr>
        <w:t>Climate Zone</w:t>
      </w:r>
      <w:r>
        <w:rPr>
          <w:lang w:eastAsia="en-US"/>
        </w:rPr>
        <w:t>s</w:t>
      </w:r>
      <w:r w:rsidR="001533BB">
        <w:rPr>
          <w:lang w:eastAsia="en-US"/>
        </w:rPr>
        <w:t xml:space="preserve"> (table </w:t>
      </w:r>
      <w:r w:rsidR="001533BB">
        <w:rPr>
          <w:lang w:eastAsia="en-US"/>
        </w:rPr>
        <w:fldChar w:fldCharType="begin"/>
      </w:r>
      <w:r w:rsidR="001533BB">
        <w:rPr>
          <w:lang w:eastAsia="en-US"/>
        </w:rPr>
        <w:instrText xml:space="preserve"> REF _Caption9552 </w:instrText>
      </w:r>
      <w:r w:rsidR="001533BB">
        <w:rPr>
          <w:lang w:eastAsia="en-US"/>
        </w:rPr>
        <w:fldChar w:fldCharType="separate"/>
      </w:r>
      <w:r w:rsidR="006B79B8" w:rsidRPr="007502CF">
        <w:rPr>
          <w:noProof/>
        </w:rPr>
        <w:t>6.3</w:t>
      </w:r>
      <w:r w:rsidR="001533BB">
        <w:rPr>
          <w:lang w:eastAsia="en-US"/>
        </w:rPr>
        <w:fldChar w:fldCharType="end"/>
      </w:r>
      <w:r w:rsidR="001533BB">
        <w:rPr>
          <w:lang w:eastAsia="en-US"/>
        </w:rPr>
        <w:t>)</w:t>
      </w:r>
      <w:r>
        <w:rPr>
          <w:lang w:eastAsia="en-US"/>
        </w:rPr>
        <w:t>.</w:t>
      </w:r>
      <w:r w:rsidR="001640D9">
        <w:rPr>
          <w:lang w:eastAsia="en-US"/>
        </w:rPr>
        <w:t xml:space="preserve"> In most </w:t>
      </w:r>
      <w:r w:rsidR="00E31EE8">
        <w:rPr>
          <w:lang w:eastAsia="en-US"/>
        </w:rPr>
        <w:t>Climate Zone</w:t>
      </w:r>
      <w:r w:rsidR="00FA5EF0">
        <w:rPr>
          <w:lang w:eastAsia="en-US"/>
        </w:rPr>
        <w:t>s</w:t>
      </w:r>
      <w:r w:rsidR="001640D9">
        <w:rPr>
          <w:lang w:eastAsia="en-US"/>
        </w:rPr>
        <w:t>, the source of energy saving is broadly based across the various services.</w:t>
      </w:r>
    </w:p>
    <w:p w:rsidR="00612FD3" w:rsidRPr="00695C93" w:rsidRDefault="00612FD3" w:rsidP="00612FD3">
      <w:pPr>
        <w:pStyle w:val="Caption"/>
      </w:pPr>
      <w:r w:rsidRPr="007502CF">
        <w:fldChar w:fldCharType="begin"/>
      </w:r>
      <w:r w:rsidRPr="007502CF">
        <w:instrText xml:space="preserve"> IF 1 = 1 "</w:instrText>
      </w:r>
      <w:r w:rsidRPr="007502CF">
        <w:fldChar w:fldCharType="begin"/>
      </w:r>
      <w:r w:rsidRPr="007502CF">
        <w:instrText xml:space="preserve"> IF </w:instrText>
      </w:r>
      <w:r w:rsidRPr="007502CF">
        <w:rPr>
          <w:noProof/>
        </w:rPr>
        <w:fldChar w:fldCharType="begin"/>
      </w:r>
      <w:r w:rsidRPr="007502CF">
        <w:rPr>
          <w:noProof/>
        </w:rPr>
        <w:instrText xml:space="preserve"> STYLEREF "Heading 6" \l \n </w:instrText>
      </w:r>
      <w:r w:rsidRPr="007502CF">
        <w:rPr>
          <w:noProof/>
        </w:rPr>
        <w:fldChar w:fldCharType="separate"/>
      </w:r>
      <w:r w:rsidR="00B833F1">
        <w:rPr>
          <w:noProof/>
        </w:rPr>
        <w:instrText>0</w:instrText>
      </w:r>
      <w:r w:rsidRPr="007502CF">
        <w:rPr>
          <w:noProof/>
        </w:rPr>
        <w:fldChar w:fldCharType="end"/>
      </w:r>
      <w:r w:rsidRPr="007502CF">
        <w:instrText xml:space="preserve"> = 0 "</w:instrText>
      </w:r>
      <w:r w:rsidRPr="007502CF">
        <w:fldChar w:fldCharType="begin"/>
      </w:r>
      <w:r w:rsidRPr="007502CF">
        <w:instrText xml:space="preserve"> IF </w:instrText>
      </w:r>
      <w:r w:rsidRPr="007502CF">
        <w:rPr>
          <w:noProof/>
        </w:rPr>
        <w:fldChar w:fldCharType="begin"/>
      </w:r>
      <w:r w:rsidRPr="007502CF">
        <w:rPr>
          <w:noProof/>
        </w:rPr>
        <w:instrText xml:space="preserve"> STYLEREF "Heading 1" \l \n </w:instrText>
      </w:r>
      <w:r w:rsidRPr="007502CF">
        <w:rPr>
          <w:noProof/>
        </w:rPr>
        <w:fldChar w:fldCharType="separate"/>
      </w:r>
      <w:r w:rsidR="00B833F1">
        <w:rPr>
          <w:noProof/>
        </w:rPr>
        <w:instrText>6</w:instrText>
      </w:r>
      <w:r w:rsidRPr="007502CF">
        <w:rPr>
          <w:noProof/>
        </w:rPr>
        <w:fldChar w:fldCharType="end"/>
      </w:r>
      <w:r w:rsidRPr="007502CF">
        <w:instrText xml:space="preserve"> = 0 "" "</w:instrText>
      </w:r>
      <w:r w:rsidRPr="007502CF">
        <w:rPr>
          <w:noProof/>
        </w:rPr>
        <w:fldChar w:fldCharType="begin"/>
      </w:r>
      <w:r w:rsidRPr="007502CF">
        <w:rPr>
          <w:noProof/>
        </w:rPr>
        <w:instrText xml:space="preserve"> STYLEREF "Heading 1" \l \n </w:instrText>
      </w:r>
      <w:r w:rsidRPr="007502CF">
        <w:rPr>
          <w:noProof/>
        </w:rPr>
        <w:fldChar w:fldCharType="separate"/>
      </w:r>
      <w:r w:rsidR="00B833F1">
        <w:rPr>
          <w:noProof/>
        </w:rPr>
        <w:instrText>6</w:instrText>
      </w:r>
      <w:r w:rsidRPr="007502CF">
        <w:rPr>
          <w:noProof/>
        </w:rPr>
        <w:fldChar w:fldCharType="end"/>
      </w:r>
      <w:r w:rsidRPr="007502CF">
        <w:instrText xml:space="preserve">." </w:instrText>
      </w:r>
      <w:r w:rsidRPr="007502CF">
        <w:fldChar w:fldCharType="separate"/>
      </w:r>
      <w:r w:rsidR="00B833F1">
        <w:rPr>
          <w:noProof/>
        </w:rPr>
        <w:instrText>6</w:instrText>
      </w:r>
      <w:r w:rsidR="00B833F1" w:rsidRPr="007502CF">
        <w:rPr>
          <w:noProof/>
        </w:rPr>
        <w:instrText>.</w:instrText>
      </w:r>
      <w:r w:rsidRPr="007502CF">
        <w:fldChar w:fldCharType="end"/>
      </w:r>
      <w:r w:rsidRPr="007502CF">
        <w:instrText>" "</w:instrText>
      </w:r>
      <w:r w:rsidRPr="007502CF">
        <w:rPr>
          <w:noProof/>
        </w:rPr>
        <w:fldChar w:fldCharType="begin"/>
      </w:r>
      <w:r w:rsidRPr="007502CF">
        <w:rPr>
          <w:noProof/>
        </w:rPr>
        <w:instrText xml:space="preserve"> STYLEREF "Heading 6" \l \n </w:instrText>
      </w:r>
      <w:r w:rsidRPr="007502CF">
        <w:rPr>
          <w:noProof/>
        </w:rPr>
        <w:fldChar w:fldCharType="separate"/>
      </w:r>
      <w:r w:rsidRPr="007502CF">
        <w:rPr>
          <w:noProof/>
        </w:rPr>
        <w:instrText>A</w:instrText>
      </w:r>
      <w:r w:rsidRPr="007502CF">
        <w:rPr>
          <w:noProof/>
        </w:rPr>
        <w:fldChar w:fldCharType="end"/>
      </w:r>
      <w:r w:rsidRPr="007502CF">
        <w:instrText xml:space="preserve">." </w:instrText>
      </w:r>
      <w:r w:rsidRPr="007502CF">
        <w:fldChar w:fldCharType="separate"/>
      </w:r>
      <w:r w:rsidR="00EA42ED">
        <w:rPr>
          <w:noProof/>
        </w:rPr>
        <w:instrText>6</w:instrText>
      </w:r>
      <w:r w:rsidR="00EA42ED" w:rsidRPr="007502CF">
        <w:rPr>
          <w:noProof/>
        </w:rPr>
        <w:instrText>.</w:instrText>
      </w:r>
      <w:r w:rsidRPr="007502CF">
        <w:fldChar w:fldCharType="end"/>
      </w:r>
      <w:r w:rsidRPr="007502CF">
        <w:fldChar w:fldCharType="begin"/>
      </w:r>
      <w:r w:rsidRPr="007502CF">
        <w:instrText xml:space="preserve"> SEQ Item \* ARABIC \s </w:instrText>
      </w:r>
      <w:r w:rsidRPr="007502CF">
        <w:fldChar w:fldCharType="begin"/>
      </w:r>
      <w:r w:rsidRPr="007502CF">
        <w:instrText xml:space="preserve"> IF </w:instrText>
      </w:r>
      <w:r w:rsidRPr="007502CF">
        <w:rPr>
          <w:noProof/>
        </w:rPr>
        <w:fldChar w:fldCharType="begin"/>
      </w:r>
      <w:r w:rsidRPr="007502CF">
        <w:rPr>
          <w:noProof/>
        </w:rPr>
        <w:instrText xml:space="preserve"> STYLEREF "Heading 6" \l \n </w:instrText>
      </w:r>
      <w:r w:rsidRPr="007502CF">
        <w:rPr>
          <w:noProof/>
        </w:rPr>
        <w:fldChar w:fldCharType="separate"/>
      </w:r>
      <w:r w:rsidR="00B833F1">
        <w:rPr>
          <w:noProof/>
        </w:rPr>
        <w:instrText>0</w:instrText>
      </w:r>
      <w:r w:rsidRPr="007502CF">
        <w:rPr>
          <w:noProof/>
        </w:rPr>
        <w:fldChar w:fldCharType="end"/>
      </w:r>
      <w:r w:rsidRPr="007502CF">
        <w:instrText xml:space="preserve"> = 0 "</w:instrText>
      </w:r>
      <w:r w:rsidRPr="007502CF">
        <w:fldChar w:fldCharType="begin"/>
      </w:r>
      <w:r w:rsidRPr="007502CF">
        <w:instrText xml:space="preserve"> IF </w:instrText>
      </w:r>
      <w:r w:rsidRPr="007502CF">
        <w:rPr>
          <w:noProof/>
        </w:rPr>
        <w:fldChar w:fldCharType="begin"/>
      </w:r>
      <w:r w:rsidRPr="007502CF">
        <w:rPr>
          <w:noProof/>
        </w:rPr>
        <w:instrText xml:space="preserve"> STYLEREF "Heading 1" \l \n </w:instrText>
      </w:r>
      <w:r w:rsidRPr="007502CF">
        <w:rPr>
          <w:noProof/>
        </w:rPr>
        <w:fldChar w:fldCharType="separate"/>
      </w:r>
      <w:r w:rsidR="00B833F1">
        <w:rPr>
          <w:noProof/>
        </w:rPr>
        <w:instrText>6</w:instrText>
      </w:r>
      <w:r w:rsidRPr="007502CF">
        <w:rPr>
          <w:noProof/>
        </w:rPr>
        <w:fldChar w:fldCharType="end"/>
      </w:r>
      <w:r w:rsidRPr="007502CF">
        <w:instrText xml:space="preserve"> = 0 "" "1" </w:instrText>
      </w:r>
      <w:r w:rsidRPr="007502CF">
        <w:fldChar w:fldCharType="separate"/>
      </w:r>
      <w:r w:rsidR="00EA42ED" w:rsidRPr="007502CF">
        <w:rPr>
          <w:noProof/>
        </w:rPr>
        <w:instrText>1</w:instrText>
      </w:r>
      <w:r w:rsidRPr="007502CF">
        <w:fldChar w:fldCharType="end"/>
      </w:r>
      <w:r w:rsidRPr="007502CF">
        <w:instrText xml:space="preserve">" "6" </w:instrText>
      </w:r>
      <w:r w:rsidRPr="007502CF">
        <w:fldChar w:fldCharType="separate"/>
      </w:r>
      <w:r w:rsidR="00EA42ED" w:rsidRPr="007502CF">
        <w:rPr>
          <w:noProof/>
        </w:rPr>
        <w:instrText>1</w:instrText>
      </w:r>
      <w:r w:rsidRPr="007502CF">
        <w:fldChar w:fldCharType="end"/>
      </w:r>
      <w:r w:rsidRPr="007502CF">
        <w:instrText xml:space="preserve"> </w:instrText>
      </w:r>
      <w:r w:rsidRPr="007502CF">
        <w:fldChar w:fldCharType="separate"/>
      </w:r>
      <w:r w:rsidR="00B833F1">
        <w:rPr>
          <w:noProof/>
        </w:rPr>
        <w:instrText>3</w:instrText>
      </w:r>
      <w:r w:rsidRPr="007502CF">
        <w:fldChar w:fldCharType="end"/>
      </w:r>
      <w:r w:rsidRPr="007502CF">
        <w:instrText xml:space="preserve">" "" </w:instrText>
      </w:r>
      <w:r w:rsidRPr="007502CF">
        <w:fldChar w:fldCharType="separate"/>
      </w:r>
      <w:bookmarkStart w:id="2293" w:name="_Caption9965"/>
      <w:bookmarkStart w:id="2294" w:name="_Caption9230"/>
      <w:bookmarkStart w:id="2295" w:name="_Caption7318"/>
      <w:bookmarkStart w:id="2296" w:name="_Caption8373"/>
      <w:bookmarkStart w:id="2297" w:name="_Caption9765"/>
      <w:bookmarkStart w:id="2298" w:name="_Caption9365"/>
      <w:bookmarkStart w:id="2299" w:name="_Caption4260"/>
      <w:bookmarkStart w:id="2300" w:name="_Caption1456"/>
      <w:bookmarkStart w:id="2301" w:name="_Caption1309"/>
      <w:bookmarkStart w:id="2302" w:name="_Caption0656"/>
      <w:bookmarkStart w:id="2303" w:name="_Caption2398"/>
      <w:bookmarkStart w:id="2304" w:name="_Caption2960"/>
      <w:bookmarkStart w:id="2305" w:name="_Caption6839"/>
      <w:bookmarkStart w:id="2306" w:name="_Caption3604"/>
      <w:bookmarkStart w:id="2307" w:name="_Caption3086"/>
      <w:bookmarkStart w:id="2308" w:name="_Caption0873"/>
      <w:bookmarkStart w:id="2309" w:name="_Caption1925"/>
      <w:bookmarkStart w:id="2310" w:name="_Caption3181"/>
      <w:bookmarkStart w:id="2311" w:name="_Caption0304"/>
      <w:bookmarkStart w:id="2312" w:name="_Caption8630"/>
      <w:bookmarkStart w:id="2313" w:name="_Caption9552"/>
      <w:bookmarkStart w:id="2314" w:name="_Caption6040"/>
      <w:bookmarkStart w:id="2315" w:name="_Caption6165"/>
      <w:bookmarkStart w:id="2316" w:name="_Caption0647"/>
      <w:bookmarkStart w:id="2317" w:name="_Caption6853"/>
      <w:bookmarkStart w:id="2318" w:name="_Caption7889"/>
      <w:bookmarkStart w:id="2319" w:name="_Caption0168"/>
      <w:bookmarkStart w:id="2320" w:name="_Caption4407"/>
      <w:bookmarkStart w:id="2321" w:name="_Caption8415"/>
      <w:bookmarkStart w:id="2322" w:name="_Caption7394"/>
      <w:bookmarkStart w:id="2323" w:name="_Caption3386"/>
      <w:bookmarkStart w:id="2324" w:name="_Caption3548"/>
      <w:bookmarkStart w:id="2325" w:name="_Caption1705"/>
      <w:bookmarkStart w:id="2326" w:name="_Caption3675"/>
      <w:bookmarkStart w:id="2327" w:name="_Caption9344"/>
      <w:bookmarkStart w:id="2328" w:name="_Caption2336"/>
      <w:bookmarkStart w:id="2329" w:name="_Caption0681"/>
      <w:bookmarkStart w:id="2330" w:name="_Caption8645"/>
      <w:bookmarkStart w:id="2331" w:name="_Caption6867"/>
      <w:bookmarkStart w:id="2332" w:name="_Caption9792"/>
      <w:bookmarkStart w:id="2333" w:name="_Caption4226"/>
      <w:bookmarkStart w:id="2334" w:name="_Caption6080"/>
      <w:bookmarkStart w:id="2335" w:name="_Caption3322"/>
      <w:bookmarkStart w:id="2336" w:name="_Caption5432"/>
      <w:bookmarkStart w:id="2337" w:name="_Caption5475"/>
      <w:bookmarkStart w:id="2338" w:name="_Caption5922"/>
      <w:bookmarkStart w:id="2339" w:name="_Caption5518"/>
      <w:bookmarkStart w:id="2340" w:name="_Caption3081"/>
      <w:bookmarkStart w:id="2341" w:name="_Caption1413"/>
      <w:bookmarkStart w:id="2342" w:name="_Caption3824"/>
      <w:bookmarkStart w:id="2343" w:name="_Caption3431"/>
      <w:bookmarkStart w:id="2344" w:name="_Caption2925"/>
      <w:bookmarkStart w:id="2345" w:name="_Caption1593"/>
      <w:bookmarkStart w:id="2346" w:name="_Caption2308"/>
      <w:bookmarkStart w:id="2347" w:name="_Caption5598"/>
      <w:bookmarkStart w:id="2348" w:name="_Caption1374"/>
      <w:bookmarkStart w:id="2349" w:name="_Caption5327"/>
      <w:bookmarkStart w:id="2350" w:name="_Caption9738"/>
      <w:bookmarkStart w:id="2351" w:name="_Caption1336"/>
      <w:bookmarkStart w:id="2352" w:name="_Caption5076"/>
      <w:bookmarkStart w:id="2353" w:name="_Caption9594"/>
      <w:bookmarkStart w:id="2354" w:name="_Caption8279"/>
      <w:bookmarkStart w:id="2355" w:name="_Caption9341"/>
      <w:bookmarkStart w:id="2356" w:name="_Caption7106"/>
      <w:bookmarkStart w:id="2357" w:name="_Caption8206"/>
      <w:bookmarkStart w:id="2358" w:name="_Caption2677"/>
      <w:bookmarkStart w:id="2359" w:name="_Caption9787"/>
      <w:bookmarkStart w:id="2360" w:name="_Toc529869923"/>
      <w:bookmarkStart w:id="2361" w:name="_Toc530748419"/>
      <w:r w:rsidR="00EA42ED">
        <w:rPr>
          <w:noProof/>
        </w:rPr>
        <w:t>6</w:t>
      </w:r>
      <w:r w:rsidR="00EA42ED" w:rsidRPr="007502CF">
        <w:rPr>
          <w:noProof/>
        </w:rPr>
        <w:t>.</w:t>
      </w:r>
      <w:r w:rsidR="00EA42ED">
        <w:rPr>
          <w:noProof/>
        </w:rPr>
        <w:t>3</w:t>
      </w:r>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r w:rsidRPr="007502CF">
        <w:fldChar w:fldCharType="end"/>
      </w:r>
      <w:r w:rsidRPr="007502CF">
        <w:tab/>
        <w:t>Modelled energy savings — office buildings (40 per cent WWR)</w:t>
      </w:r>
      <w:bookmarkEnd w:id="2360"/>
      <w:bookmarkEnd w:id="2361"/>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8"/>
      </w:tblGrid>
      <w:tr w:rsidR="00612FD3" w:rsidTr="00301B6D">
        <w:trPr>
          <w:cantSplit/>
        </w:trPr>
        <w:tc>
          <w:tcPr>
            <w:tcW w:w="7938" w:type="dxa"/>
            <w:shd w:val="clear" w:color="auto" w:fill="E9E8E5" w:themeFill="background2"/>
          </w:tcPr>
          <w:p w:rsidR="00612FD3" w:rsidRDefault="00860E29" w:rsidP="00301B6D">
            <w:pPr>
              <w:pStyle w:val="Chart"/>
            </w:pPr>
            <w:r w:rsidRPr="00860E29">
              <w:rPr>
                <w:noProof/>
                <w:lang w:eastAsia="en-AU"/>
              </w:rPr>
              <w:drawing>
                <wp:inline distT="0" distB="0" distL="0" distR="0" wp14:anchorId="2024381B" wp14:editId="500C8387">
                  <wp:extent cx="5035550" cy="2463800"/>
                  <wp:effectExtent l="0" t="0" r="0" b="0"/>
                  <wp:docPr id="11" name="Picture 11" descr="The chart shows energy savings in percentage terms for office buildings with 40% WWR by equipment. Energy saving is in the order of 10-15 per cent, and fans make the largest contribution to total energy savings. " title="Chart 6.3: Modelled energy savings - office buil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35550" cy="2463800"/>
                          </a:xfrm>
                          <a:prstGeom prst="rect">
                            <a:avLst/>
                          </a:prstGeom>
                          <a:noFill/>
                          <a:ln>
                            <a:noFill/>
                          </a:ln>
                        </pic:spPr>
                      </pic:pic>
                    </a:graphicData>
                  </a:graphic>
                </wp:inline>
              </w:drawing>
            </w:r>
          </w:p>
        </w:tc>
      </w:tr>
    </w:tbl>
    <w:p w:rsidR="00612FD3" w:rsidRPr="00A97BEC" w:rsidRDefault="00612FD3" w:rsidP="00612FD3">
      <w:pPr>
        <w:pStyle w:val="Note"/>
      </w:pPr>
      <w:r w:rsidRPr="00A97BEC">
        <w:rPr>
          <w:i/>
        </w:rPr>
        <w:t xml:space="preserve">Note: </w:t>
      </w:r>
      <w:r w:rsidR="001640D9" w:rsidRPr="00E6222F">
        <w:t>Graph presents energy savings in percentage terms to provide some context; however, it is the absolute change in consumption (as reported in table </w:t>
      </w:r>
      <w:r w:rsidR="003F17B1">
        <w:rPr>
          <w:noProof/>
        </w:rPr>
        <w:fldChar w:fldCharType="begin"/>
      </w:r>
      <w:r w:rsidR="003F17B1">
        <w:rPr>
          <w:noProof/>
        </w:rPr>
        <w:instrText xml:space="preserve"> REF _Caption6974 </w:instrText>
      </w:r>
      <w:r w:rsidR="003F17B1">
        <w:rPr>
          <w:noProof/>
        </w:rPr>
        <w:fldChar w:fldCharType="separate"/>
      </w:r>
      <w:r w:rsidR="006B79B8">
        <w:rPr>
          <w:noProof/>
        </w:rPr>
        <w:t>6</w:t>
      </w:r>
      <w:r w:rsidR="006B79B8" w:rsidRPr="00F03986">
        <w:rPr>
          <w:noProof/>
        </w:rPr>
        <w:t>.</w:t>
      </w:r>
      <w:r w:rsidR="006B79B8">
        <w:rPr>
          <w:noProof/>
        </w:rPr>
        <w:t>1</w:t>
      </w:r>
      <w:r w:rsidR="003F17B1">
        <w:rPr>
          <w:noProof/>
        </w:rPr>
        <w:fldChar w:fldCharType="end"/>
      </w:r>
      <w:r w:rsidR="001640D9">
        <w:t xml:space="preserve"> </w:t>
      </w:r>
      <w:r w:rsidR="001640D9" w:rsidRPr="00E6222F">
        <w:t>above that matters for the CBA.</w:t>
      </w:r>
      <w:r w:rsidR="00BB30D0">
        <w:t>)</w:t>
      </w:r>
    </w:p>
    <w:p w:rsidR="00612FD3" w:rsidRDefault="00612FD3" w:rsidP="00612FD3">
      <w:pPr>
        <w:pStyle w:val="Source"/>
      </w:pPr>
      <w:r w:rsidRPr="00E372D7">
        <w:rPr>
          <w:i/>
        </w:rPr>
        <w:t>Data source:</w:t>
      </w:r>
      <w:r w:rsidRPr="007B311B">
        <w:t xml:space="preserve"> </w:t>
      </w:r>
      <w:r w:rsidR="00895F8B" w:rsidRPr="007B311B">
        <w:t xml:space="preserve">CIE based on </w:t>
      </w:r>
      <w:r w:rsidR="003F28DD">
        <w:t>EA</w:t>
      </w:r>
      <w:r w:rsidR="00C07C84" w:rsidRPr="007B311B">
        <w:t xml:space="preserve"> modelling.</w:t>
      </w:r>
    </w:p>
    <w:p w:rsidR="001533BB" w:rsidRDefault="001640D9" w:rsidP="001533BB">
      <w:pPr>
        <w:pStyle w:val="BodyText"/>
        <w:rPr>
          <w:lang w:eastAsia="en-US"/>
        </w:rPr>
      </w:pPr>
      <w:r>
        <w:rPr>
          <w:lang w:eastAsia="en-US"/>
        </w:rPr>
        <w:t xml:space="preserve">For the more extensively glazed office building archetype, energy savings are estimated to be around 20 per cent in </w:t>
      </w:r>
      <w:r w:rsidR="00E31EE8">
        <w:rPr>
          <w:lang w:eastAsia="en-US"/>
        </w:rPr>
        <w:t>Climate Zone</w:t>
      </w:r>
      <w:r>
        <w:rPr>
          <w:lang w:eastAsia="en-US"/>
        </w:rPr>
        <w:t xml:space="preserve"> 1 and generally around the 5</w:t>
      </w:r>
      <w:r>
        <w:rPr>
          <w:lang w:eastAsia="en-US"/>
        </w:rPr>
        <w:noBreakHyphen/>
        <w:t xml:space="preserve">10 per cent range in the remaining </w:t>
      </w:r>
      <w:r w:rsidR="00E31EE8">
        <w:rPr>
          <w:lang w:eastAsia="en-US"/>
        </w:rPr>
        <w:t>Climate Zone</w:t>
      </w:r>
      <w:r>
        <w:rPr>
          <w:lang w:eastAsia="en-US"/>
        </w:rPr>
        <w:t>s.</w:t>
      </w:r>
    </w:p>
    <w:p w:rsidR="001640D9" w:rsidRDefault="001640D9" w:rsidP="001640D9">
      <w:pPr>
        <w:pStyle w:val="ListBullet"/>
        <w:numPr>
          <w:ilvl w:val="0"/>
          <w:numId w:val="36"/>
        </w:numPr>
        <w:rPr>
          <w:lang w:eastAsia="en-US"/>
        </w:rPr>
      </w:pPr>
      <w:r>
        <w:rPr>
          <w:lang w:eastAsia="en-US"/>
        </w:rPr>
        <w:t xml:space="preserve">In most </w:t>
      </w:r>
      <w:r w:rsidR="00E31EE8">
        <w:rPr>
          <w:lang w:eastAsia="en-US"/>
        </w:rPr>
        <w:t>Climate Zone</w:t>
      </w:r>
      <w:r w:rsidR="00BE59E3">
        <w:rPr>
          <w:lang w:eastAsia="en-US"/>
        </w:rPr>
        <w:t>s</w:t>
      </w:r>
      <w:r>
        <w:rPr>
          <w:lang w:eastAsia="en-US"/>
        </w:rPr>
        <w:t>, fans generally make the largest contribution to total energy savings.</w:t>
      </w:r>
    </w:p>
    <w:p w:rsidR="001640D9" w:rsidRDefault="001640D9" w:rsidP="00E52B0E">
      <w:pPr>
        <w:pStyle w:val="ListBullet"/>
        <w:numPr>
          <w:ilvl w:val="0"/>
          <w:numId w:val="36"/>
        </w:numPr>
        <w:rPr>
          <w:lang w:eastAsia="en-US"/>
        </w:rPr>
      </w:pPr>
      <w:r>
        <w:rPr>
          <w:lang w:eastAsia="en-US"/>
        </w:rPr>
        <w:t xml:space="preserve">By contrast, energy consumption from fans is estimated to increase significantly in </w:t>
      </w:r>
      <w:r w:rsidR="00E31EE8">
        <w:rPr>
          <w:lang w:eastAsia="en-US"/>
        </w:rPr>
        <w:t>Climate Zone</w:t>
      </w:r>
      <w:r>
        <w:rPr>
          <w:lang w:eastAsia="en-US"/>
        </w:rPr>
        <w:t xml:space="preserve"> 2. However, this is more than offset by energy savings from pumps and other equipment.</w:t>
      </w:r>
    </w:p>
    <w:p w:rsidR="00765802" w:rsidRPr="00695C93" w:rsidRDefault="00765802" w:rsidP="005153A6">
      <w:pPr>
        <w:pStyle w:val="Caption"/>
      </w:pPr>
      <w:r w:rsidRPr="007502CF">
        <w:fldChar w:fldCharType="begin"/>
      </w:r>
      <w:r w:rsidRPr="007502CF">
        <w:instrText xml:space="preserve"> IF 1 = 1 "</w:instrText>
      </w:r>
      <w:r w:rsidRPr="007502CF">
        <w:fldChar w:fldCharType="begin"/>
      </w:r>
      <w:r w:rsidRPr="007502CF">
        <w:instrText xml:space="preserve"> IF </w:instrText>
      </w:r>
      <w:r w:rsidRPr="007502CF">
        <w:rPr>
          <w:noProof/>
        </w:rPr>
        <w:fldChar w:fldCharType="begin"/>
      </w:r>
      <w:r w:rsidRPr="007502CF">
        <w:rPr>
          <w:noProof/>
        </w:rPr>
        <w:instrText xml:space="preserve"> STYLEREF "Heading 6" \l \n </w:instrText>
      </w:r>
      <w:r w:rsidRPr="007502CF">
        <w:rPr>
          <w:noProof/>
        </w:rPr>
        <w:fldChar w:fldCharType="separate"/>
      </w:r>
      <w:r w:rsidR="00B833F1">
        <w:rPr>
          <w:noProof/>
        </w:rPr>
        <w:instrText>0</w:instrText>
      </w:r>
      <w:r w:rsidRPr="007502CF">
        <w:rPr>
          <w:noProof/>
        </w:rPr>
        <w:fldChar w:fldCharType="end"/>
      </w:r>
      <w:r w:rsidRPr="007502CF">
        <w:instrText xml:space="preserve"> = 0 "</w:instrText>
      </w:r>
      <w:r w:rsidRPr="007502CF">
        <w:fldChar w:fldCharType="begin"/>
      </w:r>
      <w:r w:rsidRPr="007502CF">
        <w:instrText xml:space="preserve"> IF </w:instrText>
      </w:r>
      <w:r w:rsidR="005153A6" w:rsidRPr="007502CF">
        <w:rPr>
          <w:noProof/>
        </w:rPr>
        <w:fldChar w:fldCharType="begin"/>
      </w:r>
      <w:r w:rsidR="005153A6" w:rsidRPr="007502CF">
        <w:rPr>
          <w:noProof/>
        </w:rPr>
        <w:instrText xml:space="preserve"> STYLEREF "Heading 1" \l \n </w:instrText>
      </w:r>
      <w:r w:rsidR="005153A6" w:rsidRPr="007502CF">
        <w:rPr>
          <w:noProof/>
        </w:rPr>
        <w:fldChar w:fldCharType="separate"/>
      </w:r>
      <w:r w:rsidR="00B833F1">
        <w:rPr>
          <w:noProof/>
        </w:rPr>
        <w:instrText>6</w:instrText>
      </w:r>
      <w:r w:rsidR="005153A6" w:rsidRPr="007502CF">
        <w:rPr>
          <w:noProof/>
        </w:rPr>
        <w:fldChar w:fldCharType="end"/>
      </w:r>
      <w:r w:rsidRPr="007502CF">
        <w:instrText xml:space="preserve"> = 0 "" "</w:instrText>
      </w:r>
      <w:r w:rsidR="005153A6" w:rsidRPr="007502CF">
        <w:rPr>
          <w:noProof/>
        </w:rPr>
        <w:fldChar w:fldCharType="begin"/>
      </w:r>
      <w:r w:rsidR="005153A6" w:rsidRPr="007502CF">
        <w:rPr>
          <w:noProof/>
        </w:rPr>
        <w:instrText xml:space="preserve"> STYLEREF "Heading 1" \l \n </w:instrText>
      </w:r>
      <w:r w:rsidR="005153A6" w:rsidRPr="007502CF">
        <w:rPr>
          <w:noProof/>
        </w:rPr>
        <w:fldChar w:fldCharType="separate"/>
      </w:r>
      <w:r w:rsidR="00B833F1">
        <w:rPr>
          <w:noProof/>
        </w:rPr>
        <w:instrText>6</w:instrText>
      </w:r>
      <w:r w:rsidR="005153A6" w:rsidRPr="007502CF">
        <w:rPr>
          <w:noProof/>
        </w:rPr>
        <w:fldChar w:fldCharType="end"/>
      </w:r>
      <w:r w:rsidRPr="007502CF">
        <w:instrText xml:space="preserve">." </w:instrText>
      </w:r>
      <w:r w:rsidRPr="007502CF">
        <w:fldChar w:fldCharType="separate"/>
      </w:r>
      <w:r w:rsidR="00B833F1">
        <w:rPr>
          <w:noProof/>
        </w:rPr>
        <w:instrText>6</w:instrText>
      </w:r>
      <w:r w:rsidR="00B833F1" w:rsidRPr="007502CF">
        <w:rPr>
          <w:noProof/>
        </w:rPr>
        <w:instrText>.</w:instrText>
      </w:r>
      <w:r w:rsidRPr="007502CF">
        <w:fldChar w:fldCharType="end"/>
      </w:r>
      <w:r w:rsidRPr="007502CF">
        <w:instrText>" "</w:instrText>
      </w:r>
      <w:r w:rsidRPr="007502CF">
        <w:rPr>
          <w:noProof/>
        </w:rPr>
        <w:fldChar w:fldCharType="begin"/>
      </w:r>
      <w:r w:rsidRPr="007502CF">
        <w:rPr>
          <w:noProof/>
        </w:rPr>
        <w:instrText xml:space="preserve"> STYLEREF "Heading 6" \l \n </w:instrText>
      </w:r>
      <w:r w:rsidRPr="007502CF">
        <w:rPr>
          <w:noProof/>
        </w:rPr>
        <w:fldChar w:fldCharType="separate"/>
      </w:r>
      <w:r w:rsidRPr="007502CF">
        <w:rPr>
          <w:noProof/>
        </w:rPr>
        <w:instrText>A</w:instrText>
      </w:r>
      <w:r w:rsidRPr="007502CF">
        <w:rPr>
          <w:noProof/>
        </w:rPr>
        <w:fldChar w:fldCharType="end"/>
      </w:r>
      <w:r w:rsidRPr="007502CF">
        <w:instrText xml:space="preserve">." </w:instrText>
      </w:r>
      <w:r w:rsidRPr="007502CF">
        <w:fldChar w:fldCharType="separate"/>
      </w:r>
      <w:r w:rsidR="00EA42ED">
        <w:rPr>
          <w:noProof/>
        </w:rPr>
        <w:instrText>6</w:instrText>
      </w:r>
      <w:r w:rsidR="00EA42ED" w:rsidRPr="007502CF">
        <w:rPr>
          <w:noProof/>
        </w:rPr>
        <w:instrText>.</w:instrText>
      </w:r>
      <w:r w:rsidRPr="007502CF">
        <w:fldChar w:fldCharType="end"/>
      </w:r>
      <w:r w:rsidRPr="007502CF">
        <w:fldChar w:fldCharType="begin"/>
      </w:r>
      <w:r w:rsidRPr="007502CF">
        <w:instrText xml:space="preserve"> SEQ Item \* ARABIC \s </w:instrText>
      </w:r>
      <w:r w:rsidRPr="007502CF">
        <w:fldChar w:fldCharType="begin"/>
      </w:r>
      <w:r w:rsidRPr="007502CF">
        <w:instrText xml:space="preserve"> IF </w:instrText>
      </w:r>
      <w:r w:rsidRPr="007502CF">
        <w:rPr>
          <w:noProof/>
        </w:rPr>
        <w:fldChar w:fldCharType="begin"/>
      </w:r>
      <w:r w:rsidRPr="007502CF">
        <w:rPr>
          <w:noProof/>
        </w:rPr>
        <w:instrText xml:space="preserve"> STYLEREF "Heading 6" \l \n </w:instrText>
      </w:r>
      <w:r w:rsidRPr="007502CF">
        <w:rPr>
          <w:noProof/>
        </w:rPr>
        <w:fldChar w:fldCharType="separate"/>
      </w:r>
      <w:r w:rsidR="00B833F1">
        <w:rPr>
          <w:noProof/>
        </w:rPr>
        <w:instrText>0</w:instrText>
      </w:r>
      <w:r w:rsidRPr="007502CF">
        <w:rPr>
          <w:noProof/>
        </w:rPr>
        <w:fldChar w:fldCharType="end"/>
      </w:r>
      <w:r w:rsidRPr="007502CF">
        <w:instrText xml:space="preserve"> = 0 "</w:instrText>
      </w:r>
      <w:r w:rsidRPr="007502CF">
        <w:fldChar w:fldCharType="begin"/>
      </w:r>
      <w:r w:rsidRPr="007502CF">
        <w:instrText xml:space="preserve"> IF </w:instrText>
      </w:r>
      <w:r w:rsidR="005153A6" w:rsidRPr="007502CF">
        <w:rPr>
          <w:noProof/>
        </w:rPr>
        <w:fldChar w:fldCharType="begin"/>
      </w:r>
      <w:r w:rsidR="005153A6" w:rsidRPr="007502CF">
        <w:rPr>
          <w:noProof/>
        </w:rPr>
        <w:instrText xml:space="preserve"> STYLEREF "Heading 1" \l \n </w:instrText>
      </w:r>
      <w:r w:rsidR="005153A6" w:rsidRPr="007502CF">
        <w:rPr>
          <w:noProof/>
        </w:rPr>
        <w:fldChar w:fldCharType="separate"/>
      </w:r>
      <w:r w:rsidR="00B833F1">
        <w:rPr>
          <w:noProof/>
        </w:rPr>
        <w:instrText>6</w:instrText>
      </w:r>
      <w:r w:rsidR="005153A6" w:rsidRPr="007502CF">
        <w:rPr>
          <w:noProof/>
        </w:rPr>
        <w:fldChar w:fldCharType="end"/>
      </w:r>
      <w:r w:rsidRPr="007502CF">
        <w:instrText xml:space="preserve"> = 0 "" "1" </w:instrText>
      </w:r>
      <w:r w:rsidRPr="007502CF">
        <w:fldChar w:fldCharType="separate"/>
      </w:r>
      <w:r w:rsidR="00EA42ED" w:rsidRPr="007502CF">
        <w:rPr>
          <w:noProof/>
        </w:rPr>
        <w:instrText>1</w:instrText>
      </w:r>
      <w:r w:rsidRPr="007502CF">
        <w:fldChar w:fldCharType="end"/>
      </w:r>
      <w:r w:rsidRPr="007502CF">
        <w:instrText xml:space="preserve">" "6" </w:instrText>
      </w:r>
      <w:r w:rsidRPr="007502CF">
        <w:fldChar w:fldCharType="separate"/>
      </w:r>
      <w:r w:rsidR="00EA42ED" w:rsidRPr="007502CF">
        <w:rPr>
          <w:noProof/>
        </w:rPr>
        <w:instrText>1</w:instrText>
      </w:r>
      <w:r w:rsidRPr="007502CF">
        <w:fldChar w:fldCharType="end"/>
      </w:r>
      <w:r w:rsidRPr="007502CF">
        <w:instrText xml:space="preserve"> </w:instrText>
      </w:r>
      <w:r w:rsidRPr="007502CF">
        <w:fldChar w:fldCharType="separate"/>
      </w:r>
      <w:r w:rsidR="00B833F1">
        <w:rPr>
          <w:noProof/>
        </w:rPr>
        <w:instrText>4</w:instrText>
      </w:r>
      <w:r w:rsidRPr="007502CF">
        <w:fldChar w:fldCharType="end"/>
      </w:r>
      <w:r w:rsidRPr="007502CF">
        <w:instrText xml:space="preserve">" "" </w:instrText>
      </w:r>
      <w:r w:rsidRPr="007502CF">
        <w:fldChar w:fldCharType="separate"/>
      </w:r>
      <w:bookmarkStart w:id="2362" w:name="_Caption9151"/>
      <w:bookmarkStart w:id="2363" w:name="_Caption4692"/>
      <w:bookmarkStart w:id="2364" w:name="_Caption2979"/>
      <w:bookmarkStart w:id="2365" w:name="_Caption9040"/>
      <w:bookmarkStart w:id="2366" w:name="_Caption2048"/>
      <w:bookmarkStart w:id="2367" w:name="_Caption6161"/>
      <w:bookmarkStart w:id="2368" w:name="_Caption9921"/>
      <w:bookmarkStart w:id="2369" w:name="_Caption3042"/>
      <w:bookmarkStart w:id="2370" w:name="_Caption4926"/>
      <w:bookmarkStart w:id="2371" w:name="_Caption1537"/>
      <w:bookmarkStart w:id="2372" w:name="_Caption0074"/>
      <w:bookmarkStart w:id="2373" w:name="_Caption1976"/>
      <w:bookmarkStart w:id="2374" w:name="_Caption3354"/>
      <w:bookmarkStart w:id="2375" w:name="_Caption2282"/>
      <w:bookmarkStart w:id="2376" w:name="_Caption2939"/>
      <w:bookmarkStart w:id="2377" w:name="_Caption5466"/>
      <w:bookmarkStart w:id="2378" w:name="_Caption0634"/>
      <w:bookmarkStart w:id="2379" w:name="_Caption4183"/>
      <w:bookmarkStart w:id="2380" w:name="_Caption1692"/>
      <w:bookmarkStart w:id="2381" w:name="_Caption5853"/>
      <w:bookmarkStart w:id="2382" w:name="_Caption5265"/>
      <w:bookmarkStart w:id="2383" w:name="_Caption4518"/>
      <w:bookmarkStart w:id="2384" w:name="_Caption1158"/>
      <w:bookmarkStart w:id="2385" w:name="_Caption0008"/>
      <w:bookmarkStart w:id="2386" w:name="_Caption3624"/>
      <w:bookmarkStart w:id="2387" w:name="_Caption8550"/>
      <w:bookmarkStart w:id="2388" w:name="_Caption2473"/>
      <w:bookmarkStart w:id="2389" w:name="_Caption2582"/>
      <w:bookmarkStart w:id="2390" w:name="_Caption9813"/>
      <w:bookmarkStart w:id="2391" w:name="_Caption8061"/>
      <w:bookmarkStart w:id="2392" w:name="_Caption5605"/>
      <w:bookmarkStart w:id="2393" w:name="_Caption9415"/>
      <w:bookmarkStart w:id="2394" w:name="_Caption9840"/>
      <w:bookmarkStart w:id="2395" w:name="_Caption9227"/>
      <w:bookmarkStart w:id="2396" w:name="_Caption0837"/>
      <w:bookmarkStart w:id="2397" w:name="_Caption8142"/>
      <w:bookmarkStart w:id="2398" w:name="_Caption6132"/>
      <w:bookmarkStart w:id="2399" w:name="_Caption7075"/>
      <w:bookmarkStart w:id="2400" w:name="_Caption4661"/>
      <w:bookmarkStart w:id="2401" w:name="_Caption1270"/>
      <w:bookmarkStart w:id="2402" w:name="_Caption7369"/>
      <w:bookmarkStart w:id="2403" w:name="_Caption3727"/>
      <w:bookmarkStart w:id="2404" w:name="_Caption2692"/>
      <w:bookmarkStart w:id="2405" w:name="_Caption5527"/>
      <w:bookmarkStart w:id="2406" w:name="_Caption1619"/>
      <w:bookmarkStart w:id="2407" w:name="_Caption6358"/>
      <w:bookmarkStart w:id="2408" w:name="_Caption6817"/>
      <w:bookmarkStart w:id="2409" w:name="_Caption8272"/>
      <w:bookmarkStart w:id="2410" w:name="_Caption1842"/>
      <w:bookmarkStart w:id="2411" w:name="_Toc529869924"/>
      <w:bookmarkStart w:id="2412" w:name="_Toc530748420"/>
      <w:r w:rsidR="00EA42ED">
        <w:rPr>
          <w:noProof/>
        </w:rPr>
        <w:t>6</w:t>
      </w:r>
      <w:r w:rsidR="00EA42ED" w:rsidRPr="007502CF">
        <w:rPr>
          <w:noProof/>
        </w:rPr>
        <w:t>.</w:t>
      </w:r>
      <w:r w:rsidR="00EA42ED">
        <w:rPr>
          <w:noProof/>
        </w:rPr>
        <w:t>4</w:t>
      </w:r>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r w:rsidRPr="007502CF">
        <w:fldChar w:fldCharType="end"/>
      </w:r>
      <w:r w:rsidRPr="007502CF">
        <w:tab/>
        <w:t>Modelled energy savings — office buildings (5</w:t>
      </w:r>
      <w:r w:rsidR="00F67AEA" w:rsidRPr="007502CF">
        <w:t>6</w:t>
      </w:r>
      <w:r w:rsidRPr="007502CF">
        <w:t xml:space="preserve"> per cent WWR)</w:t>
      </w:r>
      <w:bookmarkEnd w:id="2411"/>
      <w:bookmarkEnd w:id="2412"/>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8"/>
      </w:tblGrid>
      <w:tr w:rsidR="00765802" w:rsidTr="005153A6">
        <w:trPr>
          <w:cantSplit/>
        </w:trPr>
        <w:tc>
          <w:tcPr>
            <w:tcW w:w="7938" w:type="dxa"/>
            <w:shd w:val="clear" w:color="auto" w:fill="E9E8E5" w:themeFill="background2"/>
          </w:tcPr>
          <w:p w:rsidR="00765802" w:rsidRDefault="00860E29" w:rsidP="005153A6">
            <w:pPr>
              <w:pStyle w:val="Chart"/>
            </w:pPr>
            <w:r w:rsidRPr="00860E29">
              <w:rPr>
                <w:noProof/>
                <w:lang w:eastAsia="en-AU"/>
              </w:rPr>
              <w:drawing>
                <wp:inline distT="0" distB="0" distL="0" distR="0" wp14:anchorId="3074247E" wp14:editId="1C7787F5">
                  <wp:extent cx="5035550" cy="2463800"/>
                  <wp:effectExtent l="0" t="0" r="0" b="0"/>
                  <wp:docPr id="13" name="Picture 13" descr="The chart shows energy savings in percentage terms for office building with 56% WWR by equipment. Total savings are estimated to be around 20 per cent in Climate Zone 1 and generally around 5-10 per cent range in other climate zones. Fans make the largest contribution to total energy savings except in Climate Zone 2 where fans increase energy consumption by 15 per cent which is offset by savings from pumps and other equipment." title="Chart 6.4: Modelled energy savings - office buildings (56% WW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35550" cy="2463800"/>
                          </a:xfrm>
                          <a:prstGeom prst="rect">
                            <a:avLst/>
                          </a:prstGeom>
                          <a:noFill/>
                          <a:ln>
                            <a:noFill/>
                          </a:ln>
                        </pic:spPr>
                      </pic:pic>
                    </a:graphicData>
                  </a:graphic>
                </wp:inline>
              </w:drawing>
            </w:r>
          </w:p>
        </w:tc>
      </w:tr>
    </w:tbl>
    <w:p w:rsidR="00765802" w:rsidRPr="00A97BEC" w:rsidRDefault="00765802" w:rsidP="005153A6">
      <w:pPr>
        <w:pStyle w:val="Note"/>
      </w:pPr>
      <w:r w:rsidRPr="00A97BEC">
        <w:rPr>
          <w:rStyle w:val="NoteLabel"/>
        </w:rPr>
        <w:t>a</w:t>
      </w:r>
      <w:r w:rsidRPr="00A97BEC">
        <w:t xml:space="preserve"> </w:t>
      </w:r>
      <w:r w:rsidR="001640D9">
        <w:t xml:space="preserve">The WWR in </w:t>
      </w:r>
      <w:r w:rsidR="00E31EE8">
        <w:t>Climate Zone</w:t>
      </w:r>
      <w:r w:rsidR="001640D9">
        <w:t xml:space="preserve"> 7 is 50 per cent (see above).</w:t>
      </w:r>
    </w:p>
    <w:p w:rsidR="00765802" w:rsidRPr="00A97BEC" w:rsidRDefault="00765802" w:rsidP="005153A6">
      <w:pPr>
        <w:pStyle w:val="Note"/>
      </w:pPr>
      <w:r w:rsidRPr="00A97BEC">
        <w:rPr>
          <w:i/>
        </w:rPr>
        <w:t xml:space="preserve">Note: </w:t>
      </w:r>
      <w:r w:rsidR="001640D9" w:rsidRPr="00E6222F">
        <w:t>Graph presents energy savings in percentage terms to provide some context; however, it is the absolute change in consumption (as reported in table </w:t>
      </w:r>
      <w:r w:rsidR="003F17B1">
        <w:rPr>
          <w:noProof/>
        </w:rPr>
        <w:fldChar w:fldCharType="begin"/>
      </w:r>
      <w:r w:rsidR="003F17B1">
        <w:rPr>
          <w:noProof/>
        </w:rPr>
        <w:instrText xml:space="preserve"> REF _Caption6974 </w:instrText>
      </w:r>
      <w:r w:rsidR="003F17B1">
        <w:rPr>
          <w:noProof/>
        </w:rPr>
        <w:fldChar w:fldCharType="separate"/>
      </w:r>
      <w:r w:rsidR="006B79B8">
        <w:rPr>
          <w:noProof/>
        </w:rPr>
        <w:t>6</w:t>
      </w:r>
      <w:r w:rsidR="006B79B8" w:rsidRPr="00F03986">
        <w:rPr>
          <w:noProof/>
        </w:rPr>
        <w:t>.</w:t>
      </w:r>
      <w:r w:rsidR="006B79B8">
        <w:rPr>
          <w:noProof/>
        </w:rPr>
        <w:t>1</w:t>
      </w:r>
      <w:r w:rsidR="003F17B1">
        <w:rPr>
          <w:noProof/>
        </w:rPr>
        <w:fldChar w:fldCharType="end"/>
      </w:r>
      <w:r w:rsidR="001640D9">
        <w:t xml:space="preserve"> </w:t>
      </w:r>
      <w:r w:rsidR="001640D9" w:rsidRPr="00E6222F">
        <w:t>above that matters for the CBA.</w:t>
      </w:r>
    </w:p>
    <w:p w:rsidR="00765802" w:rsidRDefault="00765802" w:rsidP="005153A6">
      <w:pPr>
        <w:pStyle w:val="Source"/>
      </w:pPr>
      <w:r>
        <w:rPr>
          <w:i/>
        </w:rPr>
        <w:t>Data source</w:t>
      </w:r>
      <w:r w:rsidRPr="00A67576">
        <w:rPr>
          <w:i/>
        </w:rPr>
        <w:t>:</w:t>
      </w:r>
      <w:r>
        <w:t xml:space="preserve"> </w:t>
      </w:r>
      <w:r w:rsidR="00860E29">
        <w:t xml:space="preserve">CIE based on </w:t>
      </w:r>
      <w:r w:rsidR="003F28DD">
        <w:t>EA</w:t>
      </w:r>
      <w:r w:rsidR="00860E29">
        <w:t xml:space="preserve"> modelling.</w:t>
      </w:r>
    </w:p>
    <w:p w:rsidR="00612FD3" w:rsidRDefault="00612FD3" w:rsidP="00612FD3">
      <w:pPr>
        <w:pStyle w:val="Heading4"/>
        <w:numPr>
          <w:ilvl w:val="3"/>
          <w:numId w:val="5"/>
        </w:numPr>
        <w:rPr>
          <w:lang w:eastAsia="en-US"/>
        </w:rPr>
      </w:pPr>
      <w:r>
        <w:rPr>
          <w:lang w:eastAsia="en-US"/>
        </w:rPr>
        <w:t>Retail</w:t>
      </w:r>
    </w:p>
    <w:p w:rsidR="00612FD3" w:rsidRDefault="00612FD3" w:rsidP="00612FD3">
      <w:pPr>
        <w:pStyle w:val="BodyText"/>
        <w:rPr>
          <w:lang w:eastAsia="en-US"/>
        </w:rPr>
      </w:pPr>
      <w:r>
        <w:rPr>
          <w:lang w:eastAsia="en-US"/>
        </w:rPr>
        <w:t>The modelled energy savings are generally around 5</w:t>
      </w:r>
      <w:r>
        <w:rPr>
          <w:lang w:eastAsia="en-US"/>
        </w:rPr>
        <w:noBreakHyphen/>
        <w:t xml:space="preserve">10 per cent in most </w:t>
      </w:r>
      <w:r w:rsidR="00E31EE8">
        <w:rPr>
          <w:lang w:eastAsia="en-US"/>
        </w:rPr>
        <w:t>Climate Zone</w:t>
      </w:r>
      <w:r>
        <w:rPr>
          <w:lang w:eastAsia="en-US"/>
        </w:rPr>
        <w:t xml:space="preserve">s, but less than 5 per cent in the cooler </w:t>
      </w:r>
      <w:r w:rsidR="00E31EE8">
        <w:rPr>
          <w:lang w:eastAsia="en-US"/>
        </w:rPr>
        <w:t>Climate Zone</w:t>
      </w:r>
      <w:r>
        <w:rPr>
          <w:lang w:eastAsia="en-US"/>
        </w:rPr>
        <w:t>s (</w:t>
      </w:r>
      <w:r w:rsidR="00E31EE8">
        <w:rPr>
          <w:lang w:eastAsia="en-US"/>
        </w:rPr>
        <w:t>Climate Zone</w:t>
      </w:r>
      <w:r>
        <w:rPr>
          <w:lang w:eastAsia="en-US"/>
        </w:rPr>
        <w:t>s 6 and 7) (chart </w:t>
      </w:r>
      <w:r w:rsidR="006133DD">
        <w:rPr>
          <w:lang w:eastAsia="en-US"/>
        </w:rPr>
        <w:fldChar w:fldCharType="begin"/>
      </w:r>
      <w:r w:rsidR="006133DD">
        <w:rPr>
          <w:lang w:eastAsia="en-US"/>
        </w:rPr>
        <w:instrText xml:space="preserve"> REF _Caption5062 </w:instrText>
      </w:r>
      <w:r w:rsidR="006133DD">
        <w:rPr>
          <w:lang w:eastAsia="en-US"/>
        </w:rPr>
        <w:fldChar w:fldCharType="separate"/>
      </w:r>
      <w:r w:rsidR="006B79B8" w:rsidRPr="007502CF">
        <w:rPr>
          <w:noProof/>
        </w:rPr>
        <w:t>6.5</w:t>
      </w:r>
      <w:r w:rsidR="006133DD">
        <w:rPr>
          <w:lang w:eastAsia="en-US"/>
        </w:rPr>
        <w:fldChar w:fldCharType="end"/>
      </w:r>
      <w:r>
        <w:rPr>
          <w:lang w:eastAsia="en-US"/>
        </w:rPr>
        <w:t>).</w:t>
      </w:r>
    </w:p>
    <w:p w:rsidR="00612FD3" w:rsidRDefault="00612FD3" w:rsidP="00612FD3">
      <w:pPr>
        <w:pStyle w:val="ListBullet"/>
        <w:numPr>
          <w:ilvl w:val="0"/>
          <w:numId w:val="36"/>
        </w:numPr>
        <w:rPr>
          <w:lang w:eastAsia="en-US"/>
        </w:rPr>
      </w:pPr>
      <w:r>
        <w:rPr>
          <w:lang w:eastAsia="en-US"/>
        </w:rPr>
        <w:t xml:space="preserve">In most </w:t>
      </w:r>
      <w:r w:rsidR="00E31EE8">
        <w:rPr>
          <w:lang w:eastAsia="en-US"/>
        </w:rPr>
        <w:t>Climate Zone</w:t>
      </w:r>
      <w:r>
        <w:rPr>
          <w:lang w:eastAsia="en-US"/>
        </w:rPr>
        <w:t xml:space="preserve">s, chillers and fans make the largest contribution to energy savings; however, these savings are partly offset by higher energy consumption from boilers in several </w:t>
      </w:r>
      <w:r w:rsidR="00E31EE8">
        <w:rPr>
          <w:lang w:eastAsia="en-US"/>
        </w:rPr>
        <w:t>Climate Zone</w:t>
      </w:r>
      <w:r>
        <w:rPr>
          <w:lang w:eastAsia="en-US"/>
        </w:rPr>
        <w:t>s.</w:t>
      </w:r>
      <w:r w:rsidR="00F64F58">
        <w:rPr>
          <w:lang w:eastAsia="en-US"/>
        </w:rPr>
        <w:t xml:space="preserve"> Increase in boiler energy use is related to over-stringency of the 2016 glazing </w:t>
      </w:r>
      <w:r w:rsidR="006F1C6A">
        <w:rPr>
          <w:lang w:eastAsia="en-US"/>
        </w:rPr>
        <w:t>U-Value</w:t>
      </w:r>
      <w:r w:rsidR="00F64F58">
        <w:rPr>
          <w:lang w:eastAsia="en-US"/>
        </w:rPr>
        <w:t xml:space="preserve"> requirement, and the 6B model having a high surface area to volume ratio. It is not expected that this result would be seen in larger buildings.</w:t>
      </w:r>
    </w:p>
    <w:p w:rsidR="00612FD3" w:rsidRDefault="00612FD3" w:rsidP="00612FD3">
      <w:pPr>
        <w:pStyle w:val="ListBullet"/>
        <w:numPr>
          <w:ilvl w:val="0"/>
          <w:numId w:val="36"/>
        </w:numPr>
        <w:rPr>
          <w:lang w:eastAsia="en-US"/>
        </w:rPr>
      </w:pPr>
      <w:r>
        <w:rPr>
          <w:lang w:eastAsia="en-US"/>
        </w:rPr>
        <w:t xml:space="preserve">In contrast to other </w:t>
      </w:r>
      <w:r w:rsidR="00E31EE8">
        <w:rPr>
          <w:lang w:eastAsia="en-US"/>
        </w:rPr>
        <w:t>Climate Zone</w:t>
      </w:r>
      <w:r>
        <w:rPr>
          <w:lang w:eastAsia="en-US"/>
        </w:rPr>
        <w:t xml:space="preserve">, boilers make the largest contribution to energy savings in </w:t>
      </w:r>
      <w:r w:rsidR="00E31EE8">
        <w:rPr>
          <w:lang w:eastAsia="en-US"/>
        </w:rPr>
        <w:t>Climate Zone</w:t>
      </w:r>
      <w:r>
        <w:rPr>
          <w:lang w:eastAsia="en-US"/>
        </w:rPr>
        <w:t xml:space="preserve"> 7, with energy consumption from fans increa</w:t>
      </w:r>
      <w:r w:rsidR="008313A6">
        <w:rPr>
          <w:lang w:eastAsia="en-US"/>
        </w:rPr>
        <w:t xml:space="preserve">se. These results and </w:t>
      </w:r>
      <w:r w:rsidR="00AA4B21">
        <w:rPr>
          <w:lang w:eastAsia="en-US"/>
        </w:rPr>
        <w:t xml:space="preserve">fan sizing methodology </w:t>
      </w:r>
      <w:r w:rsidR="008313A6">
        <w:rPr>
          <w:lang w:eastAsia="en-US"/>
        </w:rPr>
        <w:t>is discussed in the EA</w:t>
      </w:r>
      <w:r w:rsidR="00AA4B21">
        <w:rPr>
          <w:lang w:eastAsia="en-US"/>
        </w:rPr>
        <w:t xml:space="preserve"> report</w:t>
      </w:r>
      <w:r>
        <w:rPr>
          <w:lang w:eastAsia="en-US"/>
        </w:rPr>
        <w:t>.</w:t>
      </w:r>
    </w:p>
    <w:p w:rsidR="00612FD3" w:rsidRPr="00695C93" w:rsidRDefault="00612FD3" w:rsidP="00612FD3">
      <w:pPr>
        <w:pStyle w:val="Caption"/>
      </w:pPr>
      <w:r w:rsidRPr="007502CF">
        <w:fldChar w:fldCharType="begin"/>
      </w:r>
      <w:r w:rsidRPr="007502CF">
        <w:instrText xml:space="preserve"> IF 1 = 1 "</w:instrText>
      </w:r>
      <w:r w:rsidRPr="007502CF">
        <w:fldChar w:fldCharType="begin"/>
      </w:r>
      <w:r w:rsidRPr="007502CF">
        <w:instrText xml:space="preserve"> IF </w:instrText>
      </w:r>
      <w:r w:rsidRPr="007502CF">
        <w:rPr>
          <w:noProof/>
        </w:rPr>
        <w:fldChar w:fldCharType="begin"/>
      </w:r>
      <w:r w:rsidRPr="007502CF">
        <w:rPr>
          <w:noProof/>
        </w:rPr>
        <w:instrText xml:space="preserve"> STYLEREF "Heading 6" \l \n </w:instrText>
      </w:r>
      <w:r w:rsidRPr="007502CF">
        <w:rPr>
          <w:noProof/>
        </w:rPr>
        <w:fldChar w:fldCharType="separate"/>
      </w:r>
      <w:r w:rsidR="00B833F1">
        <w:rPr>
          <w:noProof/>
        </w:rPr>
        <w:instrText>0</w:instrText>
      </w:r>
      <w:r w:rsidRPr="007502CF">
        <w:rPr>
          <w:noProof/>
        </w:rPr>
        <w:fldChar w:fldCharType="end"/>
      </w:r>
      <w:r w:rsidRPr="007502CF">
        <w:instrText xml:space="preserve"> = 0 "</w:instrText>
      </w:r>
      <w:r w:rsidRPr="007502CF">
        <w:fldChar w:fldCharType="begin"/>
      </w:r>
      <w:r w:rsidRPr="007502CF">
        <w:instrText xml:space="preserve"> IF </w:instrText>
      </w:r>
      <w:r w:rsidRPr="007502CF">
        <w:rPr>
          <w:noProof/>
        </w:rPr>
        <w:fldChar w:fldCharType="begin"/>
      </w:r>
      <w:r w:rsidRPr="007502CF">
        <w:rPr>
          <w:noProof/>
        </w:rPr>
        <w:instrText xml:space="preserve"> STYLEREF "Heading 1" \l \n </w:instrText>
      </w:r>
      <w:r w:rsidRPr="007502CF">
        <w:rPr>
          <w:noProof/>
        </w:rPr>
        <w:fldChar w:fldCharType="separate"/>
      </w:r>
      <w:r w:rsidR="00B833F1">
        <w:rPr>
          <w:noProof/>
        </w:rPr>
        <w:instrText>6</w:instrText>
      </w:r>
      <w:r w:rsidRPr="007502CF">
        <w:rPr>
          <w:noProof/>
        </w:rPr>
        <w:fldChar w:fldCharType="end"/>
      </w:r>
      <w:r w:rsidRPr="007502CF">
        <w:instrText xml:space="preserve"> = 0 "" "</w:instrText>
      </w:r>
      <w:r w:rsidRPr="007502CF">
        <w:rPr>
          <w:noProof/>
        </w:rPr>
        <w:fldChar w:fldCharType="begin"/>
      </w:r>
      <w:r w:rsidRPr="007502CF">
        <w:rPr>
          <w:noProof/>
        </w:rPr>
        <w:instrText xml:space="preserve"> STYLEREF "Heading 1" \l \n </w:instrText>
      </w:r>
      <w:r w:rsidRPr="007502CF">
        <w:rPr>
          <w:noProof/>
        </w:rPr>
        <w:fldChar w:fldCharType="separate"/>
      </w:r>
      <w:r w:rsidR="00B833F1">
        <w:rPr>
          <w:noProof/>
        </w:rPr>
        <w:instrText>6</w:instrText>
      </w:r>
      <w:r w:rsidRPr="007502CF">
        <w:rPr>
          <w:noProof/>
        </w:rPr>
        <w:fldChar w:fldCharType="end"/>
      </w:r>
      <w:r w:rsidRPr="007502CF">
        <w:instrText xml:space="preserve">." </w:instrText>
      </w:r>
      <w:r w:rsidRPr="007502CF">
        <w:fldChar w:fldCharType="separate"/>
      </w:r>
      <w:r w:rsidR="00B833F1">
        <w:rPr>
          <w:noProof/>
        </w:rPr>
        <w:instrText>6</w:instrText>
      </w:r>
      <w:r w:rsidR="00B833F1" w:rsidRPr="007502CF">
        <w:rPr>
          <w:noProof/>
        </w:rPr>
        <w:instrText>.</w:instrText>
      </w:r>
      <w:r w:rsidRPr="007502CF">
        <w:fldChar w:fldCharType="end"/>
      </w:r>
      <w:r w:rsidRPr="007502CF">
        <w:instrText>" "</w:instrText>
      </w:r>
      <w:r w:rsidRPr="007502CF">
        <w:rPr>
          <w:noProof/>
        </w:rPr>
        <w:fldChar w:fldCharType="begin"/>
      </w:r>
      <w:r w:rsidRPr="007502CF">
        <w:rPr>
          <w:noProof/>
        </w:rPr>
        <w:instrText xml:space="preserve"> STYLEREF "Heading 6" \l \n </w:instrText>
      </w:r>
      <w:r w:rsidRPr="007502CF">
        <w:rPr>
          <w:noProof/>
        </w:rPr>
        <w:fldChar w:fldCharType="separate"/>
      </w:r>
      <w:r w:rsidRPr="007502CF">
        <w:rPr>
          <w:noProof/>
        </w:rPr>
        <w:instrText>A</w:instrText>
      </w:r>
      <w:r w:rsidRPr="007502CF">
        <w:rPr>
          <w:noProof/>
        </w:rPr>
        <w:fldChar w:fldCharType="end"/>
      </w:r>
      <w:r w:rsidRPr="007502CF">
        <w:instrText xml:space="preserve">." </w:instrText>
      </w:r>
      <w:r w:rsidRPr="007502CF">
        <w:fldChar w:fldCharType="separate"/>
      </w:r>
      <w:r w:rsidR="00EA42ED">
        <w:rPr>
          <w:noProof/>
        </w:rPr>
        <w:instrText>6</w:instrText>
      </w:r>
      <w:r w:rsidR="00EA42ED" w:rsidRPr="007502CF">
        <w:rPr>
          <w:noProof/>
        </w:rPr>
        <w:instrText>.</w:instrText>
      </w:r>
      <w:r w:rsidRPr="007502CF">
        <w:fldChar w:fldCharType="end"/>
      </w:r>
      <w:r w:rsidRPr="007502CF">
        <w:fldChar w:fldCharType="begin"/>
      </w:r>
      <w:r w:rsidRPr="007502CF">
        <w:instrText xml:space="preserve"> SEQ Item \* ARABIC \s </w:instrText>
      </w:r>
      <w:r w:rsidRPr="007502CF">
        <w:fldChar w:fldCharType="begin"/>
      </w:r>
      <w:r w:rsidRPr="007502CF">
        <w:instrText xml:space="preserve"> IF </w:instrText>
      </w:r>
      <w:r w:rsidRPr="007502CF">
        <w:rPr>
          <w:noProof/>
        </w:rPr>
        <w:fldChar w:fldCharType="begin"/>
      </w:r>
      <w:r w:rsidRPr="007502CF">
        <w:rPr>
          <w:noProof/>
        </w:rPr>
        <w:instrText xml:space="preserve"> STYLEREF "Heading 6" \l \n </w:instrText>
      </w:r>
      <w:r w:rsidRPr="007502CF">
        <w:rPr>
          <w:noProof/>
        </w:rPr>
        <w:fldChar w:fldCharType="separate"/>
      </w:r>
      <w:r w:rsidR="00B833F1">
        <w:rPr>
          <w:noProof/>
        </w:rPr>
        <w:instrText>0</w:instrText>
      </w:r>
      <w:r w:rsidRPr="007502CF">
        <w:rPr>
          <w:noProof/>
        </w:rPr>
        <w:fldChar w:fldCharType="end"/>
      </w:r>
      <w:r w:rsidRPr="007502CF">
        <w:instrText xml:space="preserve"> = 0 "</w:instrText>
      </w:r>
      <w:r w:rsidRPr="007502CF">
        <w:fldChar w:fldCharType="begin"/>
      </w:r>
      <w:r w:rsidRPr="007502CF">
        <w:instrText xml:space="preserve"> IF </w:instrText>
      </w:r>
      <w:r w:rsidRPr="007502CF">
        <w:rPr>
          <w:noProof/>
        </w:rPr>
        <w:fldChar w:fldCharType="begin"/>
      </w:r>
      <w:r w:rsidRPr="007502CF">
        <w:rPr>
          <w:noProof/>
        </w:rPr>
        <w:instrText xml:space="preserve"> STYLEREF "Heading 1" \l \n </w:instrText>
      </w:r>
      <w:r w:rsidRPr="007502CF">
        <w:rPr>
          <w:noProof/>
        </w:rPr>
        <w:fldChar w:fldCharType="separate"/>
      </w:r>
      <w:r w:rsidR="00B833F1">
        <w:rPr>
          <w:noProof/>
        </w:rPr>
        <w:instrText>6</w:instrText>
      </w:r>
      <w:r w:rsidRPr="007502CF">
        <w:rPr>
          <w:noProof/>
        </w:rPr>
        <w:fldChar w:fldCharType="end"/>
      </w:r>
      <w:r w:rsidRPr="007502CF">
        <w:instrText xml:space="preserve"> = 0 "" "1" </w:instrText>
      </w:r>
      <w:r w:rsidRPr="007502CF">
        <w:fldChar w:fldCharType="separate"/>
      </w:r>
      <w:r w:rsidR="00EA42ED" w:rsidRPr="007502CF">
        <w:rPr>
          <w:noProof/>
        </w:rPr>
        <w:instrText>1</w:instrText>
      </w:r>
      <w:r w:rsidRPr="007502CF">
        <w:fldChar w:fldCharType="end"/>
      </w:r>
      <w:r w:rsidRPr="007502CF">
        <w:instrText xml:space="preserve">" "6" </w:instrText>
      </w:r>
      <w:r w:rsidRPr="007502CF">
        <w:fldChar w:fldCharType="separate"/>
      </w:r>
      <w:r w:rsidR="00EA42ED" w:rsidRPr="007502CF">
        <w:rPr>
          <w:noProof/>
        </w:rPr>
        <w:instrText>1</w:instrText>
      </w:r>
      <w:r w:rsidRPr="007502CF">
        <w:fldChar w:fldCharType="end"/>
      </w:r>
      <w:r w:rsidRPr="007502CF">
        <w:instrText xml:space="preserve"> </w:instrText>
      </w:r>
      <w:r w:rsidRPr="007502CF">
        <w:fldChar w:fldCharType="separate"/>
      </w:r>
      <w:r w:rsidR="00B833F1">
        <w:rPr>
          <w:noProof/>
        </w:rPr>
        <w:instrText>5</w:instrText>
      </w:r>
      <w:r w:rsidRPr="007502CF">
        <w:fldChar w:fldCharType="end"/>
      </w:r>
      <w:r w:rsidRPr="007502CF">
        <w:instrText xml:space="preserve">" "" </w:instrText>
      </w:r>
      <w:r w:rsidRPr="007502CF">
        <w:fldChar w:fldCharType="separate"/>
      </w:r>
      <w:bookmarkStart w:id="2413" w:name="_Caption1019"/>
      <w:bookmarkStart w:id="2414" w:name="_Caption4478"/>
      <w:bookmarkStart w:id="2415" w:name="_Caption8103"/>
      <w:bookmarkStart w:id="2416" w:name="_Caption5088"/>
      <w:bookmarkStart w:id="2417" w:name="_Caption3264"/>
      <w:bookmarkStart w:id="2418" w:name="_Caption5034"/>
      <w:bookmarkStart w:id="2419" w:name="_Caption3887"/>
      <w:bookmarkStart w:id="2420" w:name="_Caption5926"/>
      <w:bookmarkStart w:id="2421" w:name="_Caption2083"/>
      <w:bookmarkStart w:id="2422" w:name="_Caption6196"/>
      <w:bookmarkStart w:id="2423" w:name="_Caption1249"/>
      <w:bookmarkStart w:id="2424" w:name="_Caption2363"/>
      <w:bookmarkStart w:id="2425" w:name="_Caption2448"/>
      <w:bookmarkStart w:id="2426" w:name="_Caption1822"/>
      <w:bookmarkStart w:id="2427" w:name="_Caption6744"/>
      <w:bookmarkStart w:id="2428" w:name="_Caption7282"/>
      <w:bookmarkStart w:id="2429" w:name="_Caption2129"/>
      <w:bookmarkStart w:id="2430" w:name="_Caption4717"/>
      <w:bookmarkStart w:id="2431" w:name="_Caption8904"/>
      <w:bookmarkStart w:id="2432" w:name="_Caption8350"/>
      <w:bookmarkStart w:id="2433" w:name="_Caption0433"/>
      <w:bookmarkStart w:id="2434" w:name="_Caption1955"/>
      <w:bookmarkStart w:id="2435" w:name="_Caption4308"/>
      <w:bookmarkStart w:id="2436" w:name="_Caption7590"/>
      <w:bookmarkStart w:id="2437" w:name="_Caption4143"/>
      <w:bookmarkStart w:id="2438" w:name="_Caption6887"/>
      <w:bookmarkStart w:id="2439" w:name="_Caption9262"/>
      <w:bookmarkStart w:id="2440" w:name="_Caption6223"/>
      <w:bookmarkStart w:id="2441" w:name="_Caption3622"/>
      <w:bookmarkStart w:id="2442" w:name="_Caption8934"/>
      <w:bookmarkStart w:id="2443" w:name="_Caption7846"/>
      <w:bookmarkStart w:id="2444" w:name="_Caption5190"/>
      <w:bookmarkStart w:id="2445" w:name="_Caption7366"/>
      <w:bookmarkStart w:id="2446" w:name="_Caption0018"/>
      <w:bookmarkStart w:id="2447" w:name="_Caption1264"/>
      <w:bookmarkStart w:id="2448" w:name="_Caption8055"/>
      <w:bookmarkStart w:id="2449" w:name="_Caption9170"/>
      <w:bookmarkStart w:id="2450" w:name="_Caption7379"/>
      <w:bookmarkStart w:id="2451" w:name="_Caption0072"/>
      <w:bookmarkStart w:id="2452" w:name="_Caption8308"/>
      <w:bookmarkStart w:id="2453" w:name="_Caption2700"/>
      <w:bookmarkStart w:id="2454" w:name="_Caption0323"/>
      <w:bookmarkStart w:id="2455" w:name="_Caption2687"/>
      <w:bookmarkStart w:id="2456" w:name="_Caption3402"/>
      <w:bookmarkStart w:id="2457" w:name="_Caption2030"/>
      <w:bookmarkStart w:id="2458" w:name="_Caption2868"/>
      <w:bookmarkStart w:id="2459" w:name="_Caption4579"/>
      <w:bookmarkStart w:id="2460" w:name="_Caption1089"/>
      <w:bookmarkStart w:id="2461" w:name="_Caption9826"/>
      <w:bookmarkStart w:id="2462" w:name="_Caption0443"/>
      <w:bookmarkStart w:id="2463" w:name="_Caption6757"/>
      <w:bookmarkStart w:id="2464" w:name="_Caption5341"/>
      <w:bookmarkStart w:id="2465" w:name="_Caption8561"/>
      <w:bookmarkStart w:id="2466" w:name="_Caption5111"/>
      <w:bookmarkStart w:id="2467" w:name="_Caption7760"/>
      <w:bookmarkStart w:id="2468" w:name="_Caption2058"/>
      <w:bookmarkStart w:id="2469" w:name="_Caption5062"/>
      <w:bookmarkStart w:id="2470" w:name="_Caption0523"/>
      <w:bookmarkStart w:id="2471" w:name="_Caption0640"/>
      <w:bookmarkStart w:id="2472" w:name="_Caption8170"/>
      <w:bookmarkStart w:id="2473" w:name="_Caption8010"/>
      <w:bookmarkStart w:id="2474" w:name="_Caption0894"/>
      <w:bookmarkStart w:id="2475" w:name="_Caption7600"/>
      <w:bookmarkStart w:id="2476" w:name="_Caption5685"/>
      <w:bookmarkStart w:id="2477" w:name="_Caption3774"/>
      <w:bookmarkStart w:id="2478" w:name="_Caption5856"/>
      <w:bookmarkStart w:id="2479" w:name="_Caption6037"/>
      <w:bookmarkStart w:id="2480" w:name="_Toc529869925"/>
      <w:bookmarkStart w:id="2481" w:name="_Toc530748421"/>
      <w:r w:rsidR="00EA42ED">
        <w:rPr>
          <w:noProof/>
        </w:rPr>
        <w:t>6</w:t>
      </w:r>
      <w:r w:rsidR="00EA42ED" w:rsidRPr="007502CF">
        <w:rPr>
          <w:noProof/>
        </w:rPr>
        <w:t>.</w:t>
      </w:r>
      <w:r w:rsidR="00EA42ED">
        <w:rPr>
          <w:noProof/>
        </w:rPr>
        <w:t>5</w:t>
      </w:r>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r w:rsidRPr="007502CF">
        <w:fldChar w:fldCharType="end"/>
      </w:r>
      <w:r w:rsidRPr="007502CF">
        <w:tab/>
        <w:t>Modelled energy savings — retail</w:t>
      </w:r>
      <w:bookmarkEnd w:id="2480"/>
      <w:bookmarkEnd w:id="2481"/>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8"/>
      </w:tblGrid>
      <w:tr w:rsidR="00612FD3" w:rsidTr="00301B6D">
        <w:trPr>
          <w:cantSplit/>
        </w:trPr>
        <w:tc>
          <w:tcPr>
            <w:tcW w:w="7938" w:type="dxa"/>
            <w:shd w:val="clear" w:color="auto" w:fill="E9E8E5" w:themeFill="background2"/>
          </w:tcPr>
          <w:p w:rsidR="00612FD3" w:rsidRDefault="00612FD3" w:rsidP="00301B6D">
            <w:pPr>
              <w:pStyle w:val="Chart"/>
            </w:pPr>
            <w:r>
              <w:t xml:space="preserve"> </w:t>
            </w:r>
            <w:r w:rsidRPr="00221341">
              <w:rPr>
                <w:noProof/>
                <w:lang w:eastAsia="en-AU"/>
              </w:rPr>
              <w:drawing>
                <wp:inline distT="0" distB="0" distL="0" distR="0" wp14:anchorId="4E268EC1" wp14:editId="54E679CF">
                  <wp:extent cx="5099050" cy="2495550"/>
                  <wp:effectExtent l="0" t="0" r="0" b="0"/>
                  <wp:docPr id="71" name="Picture 71" descr="The chart shows energy savings in percentage terms for retail buildings by equipment. Total savings are estimated to be around 5-10 per cent in most climate zones, but less than 5 per cent in Climate Zones 5 and 6. in most climate zones, chillers and fans make the largest contribution to energy savings." title="Chart 6.5: Modelled energy savings - r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99050" cy="2495550"/>
                          </a:xfrm>
                          <a:prstGeom prst="rect">
                            <a:avLst/>
                          </a:prstGeom>
                          <a:noFill/>
                          <a:ln>
                            <a:noFill/>
                          </a:ln>
                        </pic:spPr>
                      </pic:pic>
                    </a:graphicData>
                  </a:graphic>
                </wp:inline>
              </w:drawing>
            </w:r>
          </w:p>
        </w:tc>
      </w:tr>
    </w:tbl>
    <w:p w:rsidR="00612FD3" w:rsidRPr="00A97BEC" w:rsidRDefault="00612FD3" w:rsidP="00612FD3">
      <w:pPr>
        <w:pStyle w:val="Note"/>
      </w:pPr>
      <w:r w:rsidRPr="00A97BEC">
        <w:rPr>
          <w:i/>
        </w:rPr>
        <w:t xml:space="preserve">Note: </w:t>
      </w:r>
      <w:r w:rsidR="001640D9" w:rsidRPr="00E6222F">
        <w:t>Graph presents energy savings in percentage terms to provide some context; however, it is the absolute change in consumption (as reported in table </w:t>
      </w:r>
      <w:r w:rsidR="003F17B1">
        <w:rPr>
          <w:noProof/>
        </w:rPr>
        <w:fldChar w:fldCharType="begin"/>
      </w:r>
      <w:r w:rsidR="003F17B1">
        <w:rPr>
          <w:noProof/>
        </w:rPr>
        <w:instrText xml:space="preserve"> REF _Caption6974 </w:instrText>
      </w:r>
      <w:r w:rsidR="003F17B1">
        <w:rPr>
          <w:noProof/>
        </w:rPr>
        <w:fldChar w:fldCharType="separate"/>
      </w:r>
      <w:r w:rsidR="006B79B8">
        <w:rPr>
          <w:noProof/>
        </w:rPr>
        <w:t>6</w:t>
      </w:r>
      <w:r w:rsidR="006B79B8" w:rsidRPr="00F03986">
        <w:rPr>
          <w:noProof/>
        </w:rPr>
        <w:t>.</w:t>
      </w:r>
      <w:r w:rsidR="006B79B8">
        <w:rPr>
          <w:noProof/>
        </w:rPr>
        <w:t>1</w:t>
      </w:r>
      <w:r w:rsidR="003F17B1">
        <w:rPr>
          <w:noProof/>
        </w:rPr>
        <w:fldChar w:fldCharType="end"/>
      </w:r>
      <w:r w:rsidR="001640D9">
        <w:t xml:space="preserve"> </w:t>
      </w:r>
      <w:r w:rsidR="001640D9" w:rsidRPr="00E6222F">
        <w:t>above that matters for the CBA.</w:t>
      </w:r>
    </w:p>
    <w:p w:rsidR="00612FD3" w:rsidRDefault="00612FD3" w:rsidP="00612FD3">
      <w:pPr>
        <w:pStyle w:val="Source"/>
      </w:pPr>
      <w:r>
        <w:rPr>
          <w:i/>
        </w:rPr>
        <w:t>Data source</w:t>
      </w:r>
      <w:r w:rsidRPr="00A67576">
        <w:rPr>
          <w:i/>
        </w:rPr>
        <w:t>:</w:t>
      </w:r>
      <w:r>
        <w:t xml:space="preserve"> </w:t>
      </w:r>
    </w:p>
    <w:p w:rsidR="00612FD3" w:rsidRDefault="00612FD3" w:rsidP="00612FD3">
      <w:pPr>
        <w:pStyle w:val="Heading4"/>
        <w:numPr>
          <w:ilvl w:val="3"/>
          <w:numId w:val="5"/>
        </w:numPr>
        <w:rPr>
          <w:lang w:eastAsia="en-US"/>
        </w:rPr>
      </w:pPr>
      <w:r>
        <w:rPr>
          <w:lang w:eastAsia="en-US"/>
        </w:rPr>
        <w:t>Healthcare facilities</w:t>
      </w:r>
    </w:p>
    <w:p w:rsidR="00E43263" w:rsidRDefault="00612FD3" w:rsidP="004E29E3">
      <w:pPr>
        <w:pStyle w:val="BodyText"/>
        <w:rPr>
          <w:lang w:eastAsia="en-US"/>
        </w:rPr>
      </w:pPr>
      <w:r>
        <w:rPr>
          <w:lang w:eastAsia="en-US"/>
        </w:rPr>
        <w:t xml:space="preserve">For healthcare facilities, </w:t>
      </w:r>
      <w:r w:rsidR="003F28DD">
        <w:rPr>
          <w:lang w:eastAsia="en-US"/>
        </w:rPr>
        <w:t>EA</w:t>
      </w:r>
      <w:r>
        <w:rPr>
          <w:lang w:eastAsia="en-US"/>
        </w:rPr>
        <w:t xml:space="preserve"> modelling shows that energy savings tend to be higher in the warmer </w:t>
      </w:r>
      <w:r w:rsidR="00E31EE8">
        <w:rPr>
          <w:lang w:eastAsia="en-US"/>
        </w:rPr>
        <w:t>Climate Zone</w:t>
      </w:r>
      <w:r>
        <w:rPr>
          <w:lang w:eastAsia="en-US"/>
        </w:rPr>
        <w:t>s (</w:t>
      </w:r>
      <w:r w:rsidR="00E31EE8">
        <w:rPr>
          <w:lang w:eastAsia="en-US"/>
        </w:rPr>
        <w:t>Climate Zone</w:t>
      </w:r>
      <w:r>
        <w:rPr>
          <w:lang w:eastAsia="en-US"/>
        </w:rPr>
        <w:t>s 1</w:t>
      </w:r>
      <w:r>
        <w:rPr>
          <w:lang w:eastAsia="en-US"/>
        </w:rPr>
        <w:noBreakHyphen/>
        <w:t xml:space="preserve">3). Energy consumption is estimated to increase in the cooler </w:t>
      </w:r>
      <w:r w:rsidR="00E31EE8">
        <w:rPr>
          <w:lang w:eastAsia="en-US"/>
        </w:rPr>
        <w:t>Climate Zone</w:t>
      </w:r>
      <w:r>
        <w:rPr>
          <w:lang w:eastAsia="en-US"/>
        </w:rPr>
        <w:t>s (</w:t>
      </w:r>
      <w:r w:rsidR="00E31EE8">
        <w:rPr>
          <w:lang w:eastAsia="en-US"/>
        </w:rPr>
        <w:t>Climate Zone</w:t>
      </w:r>
      <w:r>
        <w:rPr>
          <w:lang w:eastAsia="en-US"/>
        </w:rPr>
        <w:t>s 6 and 7) due to an increase in consumption from boilers.</w:t>
      </w:r>
      <w:r w:rsidR="00E43263">
        <w:rPr>
          <w:lang w:eastAsia="en-US"/>
        </w:rPr>
        <w:t xml:space="preserve"> Increase in boiler energy use is related to over-stringency of the 2016 glazing </w:t>
      </w:r>
      <w:r w:rsidR="006F1C6A">
        <w:rPr>
          <w:lang w:eastAsia="en-US"/>
        </w:rPr>
        <w:t>U-Value</w:t>
      </w:r>
      <w:r w:rsidR="00E43263">
        <w:rPr>
          <w:lang w:eastAsia="en-US"/>
        </w:rPr>
        <w:t xml:space="preserve"> requirement, and the 9aC model having a high surface area to volume ratio.  It is not expected that this result would be seen in larger buildings.</w:t>
      </w:r>
    </w:p>
    <w:p w:rsidR="00612FD3" w:rsidRDefault="00612FD3" w:rsidP="00612FD3">
      <w:pPr>
        <w:pStyle w:val="BodyText"/>
        <w:rPr>
          <w:lang w:eastAsia="en-US"/>
        </w:rPr>
      </w:pPr>
    </w:p>
    <w:p w:rsidR="00612FD3" w:rsidRPr="00695C93" w:rsidRDefault="00612FD3" w:rsidP="00612FD3">
      <w:pPr>
        <w:pStyle w:val="Caption"/>
      </w:pPr>
      <w:r w:rsidRPr="007502CF">
        <w:fldChar w:fldCharType="begin"/>
      </w:r>
      <w:r w:rsidRPr="007502CF">
        <w:instrText xml:space="preserve"> IF 1 = 1 "</w:instrText>
      </w:r>
      <w:r w:rsidRPr="007502CF">
        <w:fldChar w:fldCharType="begin"/>
      </w:r>
      <w:r w:rsidRPr="007502CF">
        <w:instrText xml:space="preserve"> IF </w:instrText>
      </w:r>
      <w:r w:rsidRPr="007502CF">
        <w:rPr>
          <w:noProof/>
        </w:rPr>
        <w:fldChar w:fldCharType="begin"/>
      </w:r>
      <w:r w:rsidRPr="007502CF">
        <w:rPr>
          <w:noProof/>
        </w:rPr>
        <w:instrText xml:space="preserve"> STYLEREF "Heading 6" \l \n </w:instrText>
      </w:r>
      <w:r w:rsidRPr="007502CF">
        <w:rPr>
          <w:noProof/>
        </w:rPr>
        <w:fldChar w:fldCharType="separate"/>
      </w:r>
      <w:r w:rsidR="00B833F1">
        <w:rPr>
          <w:noProof/>
        </w:rPr>
        <w:instrText>0</w:instrText>
      </w:r>
      <w:r w:rsidRPr="007502CF">
        <w:rPr>
          <w:noProof/>
        </w:rPr>
        <w:fldChar w:fldCharType="end"/>
      </w:r>
      <w:r w:rsidRPr="007502CF">
        <w:instrText xml:space="preserve"> = 0 "</w:instrText>
      </w:r>
      <w:r w:rsidRPr="007502CF">
        <w:fldChar w:fldCharType="begin"/>
      </w:r>
      <w:r w:rsidRPr="007502CF">
        <w:instrText xml:space="preserve"> IF </w:instrText>
      </w:r>
      <w:r w:rsidRPr="007502CF">
        <w:rPr>
          <w:noProof/>
        </w:rPr>
        <w:fldChar w:fldCharType="begin"/>
      </w:r>
      <w:r w:rsidRPr="007502CF">
        <w:rPr>
          <w:noProof/>
        </w:rPr>
        <w:instrText xml:space="preserve"> STYLEREF "Heading 1" \l \n </w:instrText>
      </w:r>
      <w:r w:rsidRPr="007502CF">
        <w:rPr>
          <w:noProof/>
        </w:rPr>
        <w:fldChar w:fldCharType="separate"/>
      </w:r>
      <w:r w:rsidR="00B833F1">
        <w:rPr>
          <w:noProof/>
        </w:rPr>
        <w:instrText>6</w:instrText>
      </w:r>
      <w:r w:rsidRPr="007502CF">
        <w:rPr>
          <w:noProof/>
        </w:rPr>
        <w:fldChar w:fldCharType="end"/>
      </w:r>
      <w:r w:rsidRPr="007502CF">
        <w:instrText xml:space="preserve"> = 0 "" "</w:instrText>
      </w:r>
      <w:r w:rsidRPr="007502CF">
        <w:rPr>
          <w:noProof/>
        </w:rPr>
        <w:fldChar w:fldCharType="begin"/>
      </w:r>
      <w:r w:rsidRPr="007502CF">
        <w:rPr>
          <w:noProof/>
        </w:rPr>
        <w:instrText xml:space="preserve"> STYLEREF "Heading 1" \l \n </w:instrText>
      </w:r>
      <w:r w:rsidRPr="007502CF">
        <w:rPr>
          <w:noProof/>
        </w:rPr>
        <w:fldChar w:fldCharType="separate"/>
      </w:r>
      <w:r w:rsidR="00B833F1">
        <w:rPr>
          <w:noProof/>
        </w:rPr>
        <w:instrText>6</w:instrText>
      </w:r>
      <w:r w:rsidRPr="007502CF">
        <w:rPr>
          <w:noProof/>
        </w:rPr>
        <w:fldChar w:fldCharType="end"/>
      </w:r>
      <w:r w:rsidRPr="007502CF">
        <w:instrText xml:space="preserve">." </w:instrText>
      </w:r>
      <w:r w:rsidRPr="007502CF">
        <w:fldChar w:fldCharType="separate"/>
      </w:r>
      <w:r w:rsidR="00B833F1">
        <w:rPr>
          <w:noProof/>
        </w:rPr>
        <w:instrText>6</w:instrText>
      </w:r>
      <w:r w:rsidR="00B833F1" w:rsidRPr="007502CF">
        <w:rPr>
          <w:noProof/>
        </w:rPr>
        <w:instrText>.</w:instrText>
      </w:r>
      <w:r w:rsidRPr="007502CF">
        <w:fldChar w:fldCharType="end"/>
      </w:r>
      <w:r w:rsidRPr="007502CF">
        <w:instrText>" "</w:instrText>
      </w:r>
      <w:r w:rsidRPr="007502CF">
        <w:rPr>
          <w:noProof/>
        </w:rPr>
        <w:fldChar w:fldCharType="begin"/>
      </w:r>
      <w:r w:rsidRPr="007502CF">
        <w:rPr>
          <w:noProof/>
        </w:rPr>
        <w:instrText xml:space="preserve"> STYLEREF "Heading 6" \l \n </w:instrText>
      </w:r>
      <w:r w:rsidRPr="007502CF">
        <w:rPr>
          <w:noProof/>
        </w:rPr>
        <w:fldChar w:fldCharType="separate"/>
      </w:r>
      <w:r w:rsidRPr="007502CF">
        <w:rPr>
          <w:noProof/>
        </w:rPr>
        <w:instrText>A</w:instrText>
      </w:r>
      <w:r w:rsidRPr="007502CF">
        <w:rPr>
          <w:noProof/>
        </w:rPr>
        <w:fldChar w:fldCharType="end"/>
      </w:r>
      <w:r w:rsidRPr="007502CF">
        <w:instrText xml:space="preserve">." </w:instrText>
      </w:r>
      <w:r w:rsidRPr="007502CF">
        <w:fldChar w:fldCharType="separate"/>
      </w:r>
      <w:r w:rsidR="00EA42ED">
        <w:rPr>
          <w:noProof/>
        </w:rPr>
        <w:instrText>6</w:instrText>
      </w:r>
      <w:r w:rsidR="00EA42ED" w:rsidRPr="007502CF">
        <w:rPr>
          <w:noProof/>
        </w:rPr>
        <w:instrText>.</w:instrText>
      </w:r>
      <w:r w:rsidRPr="007502CF">
        <w:fldChar w:fldCharType="end"/>
      </w:r>
      <w:r w:rsidRPr="007502CF">
        <w:fldChar w:fldCharType="begin"/>
      </w:r>
      <w:r w:rsidRPr="007502CF">
        <w:instrText xml:space="preserve"> SEQ Item \* ARABIC \s </w:instrText>
      </w:r>
      <w:r w:rsidRPr="007502CF">
        <w:fldChar w:fldCharType="begin"/>
      </w:r>
      <w:r w:rsidRPr="007502CF">
        <w:instrText xml:space="preserve"> IF </w:instrText>
      </w:r>
      <w:r w:rsidRPr="007502CF">
        <w:rPr>
          <w:noProof/>
        </w:rPr>
        <w:fldChar w:fldCharType="begin"/>
      </w:r>
      <w:r w:rsidRPr="007502CF">
        <w:rPr>
          <w:noProof/>
        </w:rPr>
        <w:instrText xml:space="preserve"> STYLEREF "Heading 6" \l \n </w:instrText>
      </w:r>
      <w:r w:rsidRPr="007502CF">
        <w:rPr>
          <w:noProof/>
        </w:rPr>
        <w:fldChar w:fldCharType="separate"/>
      </w:r>
      <w:r w:rsidR="00B833F1">
        <w:rPr>
          <w:noProof/>
        </w:rPr>
        <w:instrText>0</w:instrText>
      </w:r>
      <w:r w:rsidRPr="007502CF">
        <w:rPr>
          <w:noProof/>
        </w:rPr>
        <w:fldChar w:fldCharType="end"/>
      </w:r>
      <w:r w:rsidRPr="007502CF">
        <w:instrText xml:space="preserve"> = 0 "</w:instrText>
      </w:r>
      <w:r w:rsidRPr="007502CF">
        <w:fldChar w:fldCharType="begin"/>
      </w:r>
      <w:r w:rsidRPr="007502CF">
        <w:instrText xml:space="preserve"> IF </w:instrText>
      </w:r>
      <w:r w:rsidRPr="007502CF">
        <w:rPr>
          <w:noProof/>
        </w:rPr>
        <w:fldChar w:fldCharType="begin"/>
      </w:r>
      <w:r w:rsidRPr="007502CF">
        <w:rPr>
          <w:noProof/>
        </w:rPr>
        <w:instrText xml:space="preserve"> STYLEREF "Heading 1" \l \n </w:instrText>
      </w:r>
      <w:r w:rsidRPr="007502CF">
        <w:rPr>
          <w:noProof/>
        </w:rPr>
        <w:fldChar w:fldCharType="separate"/>
      </w:r>
      <w:r w:rsidR="00B833F1">
        <w:rPr>
          <w:noProof/>
        </w:rPr>
        <w:instrText>6</w:instrText>
      </w:r>
      <w:r w:rsidRPr="007502CF">
        <w:rPr>
          <w:noProof/>
        </w:rPr>
        <w:fldChar w:fldCharType="end"/>
      </w:r>
      <w:r w:rsidRPr="007502CF">
        <w:instrText xml:space="preserve"> = 0 "" "1" </w:instrText>
      </w:r>
      <w:r w:rsidRPr="007502CF">
        <w:fldChar w:fldCharType="separate"/>
      </w:r>
      <w:r w:rsidR="00EA42ED" w:rsidRPr="007502CF">
        <w:rPr>
          <w:noProof/>
        </w:rPr>
        <w:instrText>1</w:instrText>
      </w:r>
      <w:r w:rsidRPr="007502CF">
        <w:fldChar w:fldCharType="end"/>
      </w:r>
      <w:r w:rsidRPr="007502CF">
        <w:instrText xml:space="preserve">" "6" </w:instrText>
      </w:r>
      <w:r w:rsidRPr="007502CF">
        <w:fldChar w:fldCharType="separate"/>
      </w:r>
      <w:r w:rsidR="00EA42ED" w:rsidRPr="007502CF">
        <w:rPr>
          <w:noProof/>
        </w:rPr>
        <w:instrText>1</w:instrText>
      </w:r>
      <w:r w:rsidRPr="007502CF">
        <w:fldChar w:fldCharType="end"/>
      </w:r>
      <w:r w:rsidRPr="007502CF">
        <w:instrText xml:space="preserve"> </w:instrText>
      </w:r>
      <w:r w:rsidRPr="007502CF">
        <w:fldChar w:fldCharType="separate"/>
      </w:r>
      <w:r w:rsidR="00B833F1">
        <w:rPr>
          <w:noProof/>
        </w:rPr>
        <w:instrText>6</w:instrText>
      </w:r>
      <w:r w:rsidRPr="007502CF">
        <w:fldChar w:fldCharType="end"/>
      </w:r>
      <w:r w:rsidRPr="007502CF">
        <w:instrText xml:space="preserve">" "" </w:instrText>
      </w:r>
      <w:r w:rsidRPr="007502CF">
        <w:fldChar w:fldCharType="separate"/>
      </w:r>
      <w:bookmarkStart w:id="2482" w:name="_Caption7468"/>
      <w:bookmarkStart w:id="2483" w:name="_Caption4790"/>
      <w:bookmarkStart w:id="2484" w:name="_Caption9945"/>
      <w:bookmarkStart w:id="2485" w:name="_Caption0645"/>
      <w:bookmarkStart w:id="2486" w:name="_Caption7897"/>
      <w:bookmarkStart w:id="2487" w:name="_Caption2257"/>
      <w:bookmarkStart w:id="2488" w:name="_Caption8801"/>
      <w:bookmarkStart w:id="2489" w:name="_Caption2696"/>
      <w:bookmarkStart w:id="2490" w:name="_Caption0414"/>
      <w:bookmarkStart w:id="2491" w:name="_Caption0163"/>
      <w:bookmarkStart w:id="2492" w:name="_Caption0781"/>
      <w:bookmarkStart w:id="2493" w:name="_Caption6142"/>
      <w:bookmarkStart w:id="2494" w:name="_Caption7667"/>
      <w:bookmarkStart w:id="2495" w:name="_Caption6736"/>
      <w:bookmarkStart w:id="2496" w:name="_Caption7278"/>
      <w:bookmarkStart w:id="2497" w:name="_Caption3838"/>
      <w:bookmarkStart w:id="2498" w:name="_Caption6041"/>
      <w:bookmarkStart w:id="2499" w:name="_Caption7921"/>
      <w:bookmarkStart w:id="2500" w:name="_Caption7302"/>
      <w:bookmarkStart w:id="2501" w:name="_Caption8644"/>
      <w:bookmarkStart w:id="2502" w:name="_Caption3103"/>
      <w:bookmarkStart w:id="2503" w:name="_Caption5866"/>
      <w:bookmarkStart w:id="2504" w:name="_Caption1159"/>
      <w:bookmarkStart w:id="2505" w:name="_Caption4558"/>
      <w:bookmarkStart w:id="2506" w:name="_Caption9911"/>
      <w:bookmarkStart w:id="2507" w:name="_Caption2549"/>
      <w:bookmarkStart w:id="2508" w:name="_Caption7406"/>
      <w:bookmarkStart w:id="2509" w:name="_Caption2057"/>
      <w:bookmarkStart w:id="2510" w:name="_Caption1766"/>
      <w:bookmarkStart w:id="2511" w:name="_Caption3314"/>
      <w:bookmarkStart w:id="2512" w:name="_Caption4147"/>
      <w:bookmarkStart w:id="2513" w:name="_Caption7607"/>
      <w:bookmarkStart w:id="2514" w:name="_Caption3039"/>
      <w:bookmarkStart w:id="2515" w:name="_Caption5679"/>
      <w:bookmarkStart w:id="2516" w:name="_Caption6752"/>
      <w:bookmarkStart w:id="2517" w:name="_Caption1060"/>
      <w:bookmarkStart w:id="2518" w:name="_Caption7902"/>
      <w:bookmarkStart w:id="2519" w:name="_Caption6977"/>
      <w:bookmarkStart w:id="2520" w:name="_Caption4846"/>
      <w:bookmarkStart w:id="2521" w:name="_Caption7560"/>
      <w:bookmarkStart w:id="2522" w:name="_Caption5020"/>
      <w:bookmarkStart w:id="2523" w:name="_Caption4918"/>
      <w:bookmarkStart w:id="2524" w:name="_Caption4977"/>
      <w:bookmarkStart w:id="2525" w:name="_Caption8271"/>
      <w:bookmarkStart w:id="2526" w:name="_Caption3132"/>
      <w:bookmarkStart w:id="2527" w:name="_Caption7358"/>
      <w:bookmarkStart w:id="2528" w:name="_Caption2104"/>
      <w:bookmarkStart w:id="2529" w:name="_Caption5026"/>
      <w:bookmarkStart w:id="2530" w:name="_Caption2242"/>
      <w:bookmarkStart w:id="2531" w:name="_Caption3541"/>
      <w:bookmarkStart w:id="2532" w:name="_Caption0562"/>
      <w:bookmarkStart w:id="2533" w:name="_Caption8450"/>
      <w:bookmarkStart w:id="2534" w:name="_Caption4330"/>
      <w:bookmarkStart w:id="2535" w:name="_Caption7207"/>
      <w:bookmarkStart w:id="2536" w:name="_Caption0030"/>
      <w:bookmarkStart w:id="2537" w:name="_Caption6437"/>
      <w:bookmarkStart w:id="2538" w:name="_Caption1110"/>
      <w:bookmarkStart w:id="2539" w:name="_Caption5996"/>
      <w:bookmarkStart w:id="2540" w:name="_Caption9335"/>
      <w:bookmarkStart w:id="2541" w:name="_Caption3231"/>
      <w:bookmarkStart w:id="2542" w:name="_Caption5873"/>
      <w:bookmarkStart w:id="2543" w:name="_Caption6456"/>
      <w:bookmarkStart w:id="2544" w:name="_Caption0643"/>
      <w:bookmarkStart w:id="2545" w:name="_Caption2695"/>
      <w:bookmarkStart w:id="2546" w:name="_Caption4817"/>
      <w:bookmarkStart w:id="2547" w:name="_Caption5619"/>
      <w:bookmarkStart w:id="2548" w:name="_Caption9242"/>
      <w:bookmarkStart w:id="2549" w:name="_Toc529869926"/>
      <w:bookmarkStart w:id="2550" w:name="_Toc530748422"/>
      <w:r w:rsidR="00EA42ED">
        <w:rPr>
          <w:noProof/>
        </w:rPr>
        <w:t>6</w:t>
      </w:r>
      <w:r w:rsidR="00EA42ED" w:rsidRPr="007502CF">
        <w:rPr>
          <w:noProof/>
        </w:rPr>
        <w:t>.</w:t>
      </w:r>
      <w:r w:rsidR="00EA42ED">
        <w:rPr>
          <w:noProof/>
        </w:rPr>
        <w:t>6</w:t>
      </w:r>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r w:rsidRPr="007502CF">
        <w:fldChar w:fldCharType="end"/>
      </w:r>
      <w:r w:rsidRPr="007502CF">
        <w:tab/>
        <w:t>Modelled energy savings — healthcare facilities</w:t>
      </w:r>
      <w:bookmarkEnd w:id="2549"/>
      <w:bookmarkEnd w:id="2550"/>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8"/>
      </w:tblGrid>
      <w:tr w:rsidR="00612FD3" w:rsidTr="00301B6D">
        <w:trPr>
          <w:cantSplit/>
        </w:trPr>
        <w:tc>
          <w:tcPr>
            <w:tcW w:w="7938" w:type="dxa"/>
            <w:shd w:val="clear" w:color="auto" w:fill="E9E8E5" w:themeFill="background2"/>
          </w:tcPr>
          <w:p w:rsidR="00612FD3" w:rsidRDefault="00612FD3" w:rsidP="00301B6D">
            <w:pPr>
              <w:pStyle w:val="Chart"/>
            </w:pPr>
            <w:r w:rsidRPr="00C90B40">
              <w:rPr>
                <w:noProof/>
                <w:lang w:eastAsia="en-AU"/>
              </w:rPr>
              <w:drawing>
                <wp:inline distT="0" distB="0" distL="0" distR="0" wp14:anchorId="724CEA96" wp14:editId="06E07189">
                  <wp:extent cx="5035550" cy="2463800"/>
                  <wp:effectExtent l="0" t="0" r="0" b="0"/>
                  <wp:docPr id="72" name="Picture 72" descr="The chart shows energy savings in percentage terms by equipment for healthcare facilities. Energy savings tend to be higher in the warmer climate zones (1-3). Energy consumption is estimated to increase in the cooler zones (6 and 7) due to increase consumption from boilers." title="Chart 6.6: Modelled energy savings - healthcare fac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35550" cy="2463800"/>
                          </a:xfrm>
                          <a:prstGeom prst="rect">
                            <a:avLst/>
                          </a:prstGeom>
                          <a:noFill/>
                          <a:ln>
                            <a:noFill/>
                          </a:ln>
                        </pic:spPr>
                      </pic:pic>
                    </a:graphicData>
                  </a:graphic>
                </wp:inline>
              </w:drawing>
            </w:r>
          </w:p>
        </w:tc>
      </w:tr>
    </w:tbl>
    <w:p w:rsidR="00612FD3" w:rsidRPr="00A97BEC" w:rsidRDefault="00612FD3" w:rsidP="00612FD3">
      <w:pPr>
        <w:pStyle w:val="Note"/>
      </w:pPr>
      <w:r w:rsidRPr="00A97BEC">
        <w:rPr>
          <w:i/>
        </w:rPr>
        <w:t xml:space="preserve">Note: </w:t>
      </w:r>
      <w:r w:rsidR="001640D9" w:rsidRPr="00E6222F">
        <w:t>Graph presents energy savings in percentage terms to provide some context; however, it is the absolute change in consumption (as reported in table </w:t>
      </w:r>
      <w:r w:rsidR="003F17B1">
        <w:rPr>
          <w:noProof/>
        </w:rPr>
        <w:fldChar w:fldCharType="begin"/>
      </w:r>
      <w:r w:rsidR="003F17B1">
        <w:rPr>
          <w:noProof/>
        </w:rPr>
        <w:instrText xml:space="preserve"> REF _Caption6974 </w:instrText>
      </w:r>
      <w:r w:rsidR="003F17B1">
        <w:rPr>
          <w:noProof/>
        </w:rPr>
        <w:fldChar w:fldCharType="separate"/>
      </w:r>
      <w:r w:rsidR="006B79B8">
        <w:rPr>
          <w:noProof/>
        </w:rPr>
        <w:t>6</w:t>
      </w:r>
      <w:r w:rsidR="006B79B8" w:rsidRPr="00F03986">
        <w:rPr>
          <w:noProof/>
        </w:rPr>
        <w:t>.</w:t>
      </w:r>
      <w:r w:rsidR="006B79B8">
        <w:rPr>
          <w:noProof/>
        </w:rPr>
        <w:t>1</w:t>
      </w:r>
      <w:r w:rsidR="003F17B1">
        <w:rPr>
          <w:noProof/>
        </w:rPr>
        <w:fldChar w:fldCharType="end"/>
      </w:r>
      <w:r w:rsidR="001640D9">
        <w:t xml:space="preserve"> </w:t>
      </w:r>
      <w:r w:rsidR="001640D9" w:rsidRPr="00E6222F">
        <w:t>above that matters for the CBA.</w:t>
      </w:r>
    </w:p>
    <w:p w:rsidR="00612FD3" w:rsidRDefault="00612FD3" w:rsidP="00612FD3">
      <w:pPr>
        <w:pStyle w:val="Source"/>
      </w:pPr>
      <w:r w:rsidRPr="001640D9">
        <w:rPr>
          <w:i/>
        </w:rPr>
        <w:t>Data source:</w:t>
      </w:r>
      <w:r>
        <w:t xml:space="preserve"> </w:t>
      </w:r>
      <w:r w:rsidR="00835EE0">
        <w:t xml:space="preserve">CIE based on </w:t>
      </w:r>
      <w:r w:rsidR="003F28DD">
        <w:t>EA</w:t>
      </w:r>
      <w:r w:rsidR="001533BB">
        <w:t xml:space="preserve"> modelling.</w:t>
      </w:r>
    </w:p>
    <w:p w:rsidR="00612FD3" w:rsidRDefault="00612FD3" w:rsidP="00612FD3">
      <w:pPr>
        <w:pStyle w:val="Heading4"/>
        <w:numPr>
          <w:ilvl w:val="3"/>
          <w:numId w:val="5"/>
        </w:numPr>
        <w:rPr>
          <w:lang w:eastAsia="en-US"/>
        </w:rPr>
      </w:pPr>
      <w:r>
        <w:rPr>
          <w:lang w:eastAsia="en-US"/>
        </w:rPr>
        <w:t>Schools</w:t>
      </w:r>
    </w:p>
    <w:p w:rsidR="00612FD3" w:rsidRPr="006F718C" w:rsidRDefault="00612FD3" w:rsidP="00612FD3">
      <w:pPr>
        <w:pStyle w:val="BodyText"/>
        <w:rPr>
          <w:lang w:eastAsia="en-US"/>
        </w:rPr>
      </w:pPr>
      <w:r>
        <w:rPr>
          <w:lang w:eastAsia="en-US"/>
        </w:rPr>
        <w:t xml:space="preserve">Modelled energy savings for schools are generally around 20 per cent in most </w:t>
      </w:r>
      <w:r w:rsidR="00E31EE8">
        <w:rPr>
          <w:lang w:eastAsia="en-US"/>
        </w:rPr>
        <w:t>Climate Zone</w:t>
      </w:r>
      <w:r>
        <w:rPr>
          <w:lang w:eastAsia="en-US"/>
        </w:rPr>
        <w:t xml:space="preserve">s and closer to 25 per cent in </w:t>
      </w:r>
      <w:r w:rsidR="00E31EE8">
        <w:rPr>
          <w:lang w:eastAsia="en-US"/>
        </w:rPr>
        <w:t>Climate Zone</w:t>
      </w:r>
      <w:r>
        <w:rPr>
          <w:lang w:eastAsia="en-US"/>
        </w:rPr>
        <w:t>s 1 and 2 (chart </w:t>
      </w:r>
      <w:r w:rsidR="003B03C4">
        <w:rPr>
          <w:lang w:eastAsia="en-US"/>
        </w:rPr>
        <w:fldChar w:fldCharType="begin"/>
      </w:r>
      <w:r w:rsidR="003B03C4">
        <w:rPr>
          <w:lang w:eastAsia="en-US"/>
        </w:rPr>
        <w:instrText xml:space="preserve"> REF _Caption8890 </w:instrText>
      </w:r>
      <w:r w:rsidR="003B03C4">
        <w:rPr>
          <w:lang w:eastAsia="en-US"/>
        </w:rPr>
        <w:fldChar w:fldCharType="separate"/>
      </w:r>
      <w:r w:rsidR="006B79B8" w:rsidRPr="007502CF">
        <w:rPr>
          <w:noProof/>
        </w:rPr>
        <w:t>6.7</w:t>
      </w:r>
      <w:r w:rsidR="003B03C4">
        <w:rPr>
          <w:lang w:eastAsia="en-US"/>
        </w:rPr>
        <w:fldChar w:fldCharType="end"/>
      </w:r>
      <w:r>
        <w:rPr>
          <w:lang w:eastAsia="en-US"/>
        </w:rPr>
        <w:t xml:space="preserve">). Fans are estimated to be a significant contributor to energy saving across all </w:t>
      </w:r>
      <w:r w:rsidR="00E31EE8">
        <w:rPr>
          <w:lang w:eastAsia="en-US"/>
        </w:rPr>
        <w:t>Climate Zone</w:t>
      </w:r>
      <w:r>
        <w:rPr>
          <w:lang w:eastAsia="en-US"/>
        </w:rPr>
        <w:t xml:space="preserve">s. Chillers are also a large contributor to energy savings in the warmer </w:t>
      </w:r>
      <w:r w:rsidR="00E31EE8">
        <w:rPr>
          <w:lang w:eastAsia="en-US"/>
        </w:rPr>
        <w:t>Climate Zone</w:t>
      </w:r>
      <w:r>
        <w:rPr>
          <w:lang w:eastAsia="en-US"/>
        </w:rPr>
        <w:t xml:space="preserve">s (i.e. </w:t>
      </w:r>
      <w:r w:rsidR="00E31EE8">
        <w:rPr>
          <w:lang w:eastAsia="en-US"/>
        </w:rPr>
        <w:t>Climate Zone</w:t>
      </w:r>
      <w:r>
        <w:rPr>
          <w:lang w:eastAsia="en-US"/>
        </w:rPr>
        <w:t>s 1</w:t>
      </w:r>
      <w:r>
        <w:rPr>
          <w:lang w:eastAsia="en-US"/>
        </w:rPr>
        <w:noBreakHyphen/>
        <w:t xml:space="preserve">3), while boilers are a significant contributor to energy savings in </w:t>
      </w:r>
      <w:r w:rsidR="00E31EE8">
        <w:rPr>
          <w:lang w:eastAsia="en-US"/>
        </w:rPr>
        <w:t>Climate Zone</w:t>
      </w:r>
      <w:r>
        <w:rPr>
          <w:lang w:eastAsia="en-US"/>
        </w:rPr>
        <w:t>s 4</w:t>
      </w:r>
      <w:r>
        <w:rPr>
          <w:lang w:eastAsia="en-US"/>
        </w:rPr>
        <w:noBreakHyphen/>
        <w:t>7.</w:t>
      </w:r>
    </w:p>
    <w:p w:rsidR="00612FD3" w:rsidRPr="00695C93" w:rsidRDefault="00612FD3" w:rsidP="00612FD3">
      <w:pPr>
        <w:pStyle w:val="Caption"/>
      </w:pPr>
      <w:r w:rsidRPr="007502CF">
        <w:fldChar w:fldCharType="begin"/>
      </w:r>
      <w:r w:rsidRPr="007502CF">
        <w:instrText xml:space="preserve"> IF 1 = 1 "</w:instrText>
      </w:r>
      <w:r w:rsidRPr="007502CF">
        <w:fldChar w:fldCharType="begin"/>
      </w:r>
      <w:r w:rsidRPr="007502CF">
        <w:instrText xml:space="preserve"> IF </w:instrText>
      </w:r>
      <w:r w:rsidRPr="007502CF">
        <w:rPr>
          <w:noProof/>
        </w:rPr>
        <w:fldChar w:fldCharType="begin"/>
      </w:r>
      <w:r w:rsidRPr="007502CF">
        <w:rPr>
          <w:noProof/>
        </w:rPr>
        <w:instrText xml:space="preserve"> STYLEREF "Heading 6" \l \n </w:instrText>
      </w:r>
      <w:r w:rsidRPr="007502CF">
        <w:rPr>
          <w:noProof/>
        </w:rPr>
        <w:fldChar w:fldCharType="separate"/>
      </w:r>
      <w:r w:rsidR="00B833F1">
        <w:rPr>
          <w:noProof/>
        </w:rPr>
        <w:instrText>0</w:instrText>
      </w:r>
      <w:r w:rsidRPr="007502CF">
        <w:rPr>
          <w:noProof/>
        </w:rPr>
        <w:fldChar w:fldCharType="end"/>
      </w:r>
      <w:r w:rsidRPr="007502CF">
        <w:instrText xml:space="preserve"> = 0 "</w:instrText>
      </w:r>
      <w:r w:rsidRPr="007502CF">
        <w:fldChar w:fldCharType="begin"/>
      </w:r>
      <w:r w:rsidRPr="007502CF">
        <w:instrText xml:space="preserve"> IF </w:instrText>
      </w:r>
      <w:r w:rsidRPr="007502CF">
        <w:rPr>
          <w:noProof/>
        </w:rPr>
        <w:fldChar w:fldCharType="begin"/>
      </w:r>
      <w:r w:rsidRPr="007502CF">
        <w:rPr>
          <w:noProof/>
        </w:rPr>
        <w:instrText xml:space="preserve"> STYLEREF "Heading 1" \l \n </w:instrText>
      </w:r>
      <w:r w:rsidRPr="007502CF">
        <w:rPr>
          <w:noProof/>
        </w:rPr>
        <w:fldChar w:fldCharType="separate"/>
      </w:r>
      <w:r w:rsidR="00B833F1">
        <w:rPr>
          <w:noProof/>
        </w:rPr>
        <w:instrText>6</w:instrText>
      </w:r>
      <w:r w:rsidRPr="007502CF">
        <w:rPr>
          <w:noProof/>
        </w:rPr>
        <w:fldChar w:fldCharType="end"/>
      </w:r>
      <w:r w:rsidRPr="007502CF">
        <w:instrText xml:space="preserve"> = 0 "" "</w:instrText>
      </w:r>
      <w:r w:rsidRPr="007502CF">
        <w:rPr>
          <w:noProof/>
        </w:rPr>
        <w:fldChar w:fldCharType="begin"/>
      </w:r>
      <w:r w:rsidRPr="007502CF">
        <w:rPr>
          <w:noProof/>
        </w:rPr>
        <w:instrText xml:space="preserve"> STYLEREF "Heading 1" \l \n </w:instrText>
      </w:r>
      <w:r w:rsidRPr="007502CF">
        <w:rPr>
          <w:noProof/>
        </w:rPr>
        <w:fldChar w:fldCharType="separate"/>
      </w:r>
      <w:r w:rsidR="00B833F1">
        <w:rPr>
          <w:noProof/>
        </w:rPr>
        <w:instrText>6</w:instrText>
      </w:r>
      <w:r w:rsidRPr="007502CF">
        <w:rPr>
          <w:noProof/>
        </w:rPr>
        <w:fldChar w:fldCharType="end"/>
      </w:r>
      <w:r w:rsidRPr="007502CF">
        <w:instrText xml:space="preserve">." </w:instrText>
      </w:r>
      <w:r w:rsidRPr="007502CF">
        <w:fldChar w:fldCharType="separate"/>
      </w:r>
      <w:r w:rsidR="00B833F1">
        <w:rPr>
          <w:noProof/>
        </w:rPr>
        <w:instrText>6</w:instrText>
      </w:r>
      <w:r w:rsidR="00B833F1" w:rsidRPr="007502CF">
        <w:rPr>
          <w:noProof/>
        </w:rPr>
        <w:instrText>.</w:instrText>
      </w:r>
      <w:r w:rsidRPr="007502CF">
        <w:fldChar w:fldCharType="end"/>
      </w:r>
      <w:r w:rsidRPr="007502CF">
        <w:instrText>" "</w:instrText>
      </w:r>
      <w:r w:rsidRPr="007502CF">
        <w:rPr>
          <w:noProof/>
        </w:rPr>
        <w:fldChar w:fldCharType="begin"/>
      </w:r>
      <w:r w:rsidRPr="007502CF">
        <w:rPr>
          <w:noProof/>
        </w:rPr>
        <w:instrText xml:space="preserve"> STYLEREF "Heading 6" \l \n </w:instrText>
      </w:r>
      <w:r w:rsidRPr="007502CF">
        <w:rPr>
          <w:noProof/>
        </w:rPr>
        <w:fldChar w:fldCharType="separate"/>
      </w:r>
      <w:r w:rsidRPr="007502CF">
        <w:rPr>
          <w:noProof/>
        </w:rPr>
        <w:instrText>A</w:instrText>
      </w:r>
      <w:r w:rsidRPr="007502CF">
        <w:rPr>
          <w:noProof/>
        </w:rPr>
        <w:fldChar w:fldCharType="end"/>
      </w:r>
      <w:r w:rsidRPr="007502CF">
        <w:instrText xml:space="preserve">." </w:instrText>
      </w:r>
      <w:r w:rsidRPr="007502CF">
        <w:fldChar w:fldCharType="separate"/>
      </w:r>
      <w:r w:rsidR="00EA42ED">
        <w:rPr>
          <w:noProof/>
        </w:rPr>
        <w:instrText>6</w:instrText>
      </w:r>
      <w:r w:rsidR="00EA42ED" w:rsidRPr="007502CF">
        <w:rPr>
          <w:noProof/>
        </w:rPr>
        <w:instrText>.</w:instrText>
      </w:r>
      <w:r w:rsidRPr="007502CF">
        <w:fldChar w:fldCharType="end"/>
      </w:r>
      <w:r w:rsidRPr="007502CF">
        <w:fldChar w:fldCharType="begin"/>
      </w:r>
      <w:r w:rsidRPr="007502CF">
        <w:instrText xml:space="preserve"> SEQ Item \* ARABIC \s </w:instrText>
      </w:r>
      <w:r w:rsidRPr="007502CF">
        <w:fldChar w:fldCharType="begin"/>
      </w:r>
      <w:r w:rsidRPr="007502CF">
        <w:instrText xml:space="preserve"> IF </w:instrText>
      </w:r>
      <w:r w:rsidRPr="007502CF">
        <w:rPr>
          <w:noProof/>
        </w:rPr>
        <w:fldChar w:fldCharType="begin"/>
      </w:r>
      <w:r w:rsidRPr="007502CF">
        <w:rPr>
          <w:noProof/>
        </w:rPr>
        <w:instrText xml:space="preserve"> STYLEREF "Heading 6" \l \n </w:instrText>
      </w:r>
      <w:r w:rsidRPr="007502CF">
        <w:rPr>
          <w:noProof/>
        </w:rPr>
        <w:fldChar w:fldCharType="separate"/>
      </w:r>
      <w:r w:rsidR="00B833F1">
        <w:rPr>
          <w:noProof/>
        </w:rPr>
        <w:instrText>0</w:instrText>
      </w:r>
      <w:r w:rsidRPr="007502CF">
        <w:rPr>
          <w:noProof/>
        </w:rPr>
        <w:fldChar w:fldCharType="end"/>
      </w:r>
      <w:r w:rsidRPr="007502CF">
        <w:instrText xml:space="preserve"> = 0 "</w:instrText>
      </w:r>
      <w:r w:rsidRPr="007502CF">
        <w:fldChar w:fldCharType="begin"/>
      </w:r>
      <w:r w:rsidRPr="007502CF">
        <w:instrText xml:space="preserve"> IF </w:instrText>
      </w:r>
      <w:r w:rsidRPr="007502CF">
        <w:rPr>
          <w:noProof/>
        </w:rPr>
        <w:fldChar w:fldCharType="begin"/>
      </w:r>
      <w:r w:rsidRPr="007502CF">
        <w:rPr>
          <w:noProof/>
        </w:rPr>
        <w:instrText xml:space="preserve"> STYLEREF "Heading 1" \l \n </w:instrText>
      </w:r>
      <w:r w:rsidRPr="007502CF">
        <w:rPr>
          <w:noProof/>
        </w:rPr>
        <w:fldChar w:fldCharType="separate"/>
      </w:r>
      <w:r w:rsidR="00B833F1">
        <w:rPr>
          <w:noProof/>
        </w:rPr>
        <w:instrText>6</w:instrText>
      </w:r>
      <w:r w:rsidRPr="007502CF">
        <w:rPr>
          <w:noProof/>
        </w:rPr>
        <w:fldChar w:fldCharType="end"/>
      </w:r>
      <w:r w:rsidRPr="007502CF">
        <w:instrText xml:space="preserve"> = 0 "" "1" </w:instrText>
      </w:r>
      <w:r w:rsidRPr="007502CF">
        <w:fldChar w:fldCharType="separate"/>
      </w:r>
      <w:r w:rsidR="00EA42ED" w:rsidRPr="007502CF">
        <w:rPr>
          <w:noProof/>
        </w:rPr>
        <w:instrText>1</w:instrText>
      </w:r>
      <w:r w:rsidRPr="007502CF">
        <w:fldChar w:fldCharType="end"/>
      </w:r>
      <w:r w:rsidRPr="007502CF">
        <w:instrText xml:space="preserve">" "6" </w:instrText>
      </w:r>
      <w:r w:rsidRPr="007502CF">
        <w:fldChar w:fldCharType="separate"/>
      </w:r>
      <w:r w:rsidR="00EA42ED" w:rsidRPr="007502CF">
        <w:rPr>
          <w:noProof/>
        </w:rPr>
        <w:instrText>1</w:instrText>
      </w:r>
      <w:r w:rsidRPr="007502CF">
        <w:fldChar w:fldCharType="end"/>
      </w:r>
      <w:r w:rsidRPr="007502CF">
        <w:instrText xml:space="preserve"> </w:instrText>
      </w:r>
      <w:r w:rsidRPr="007502CF">
        <w:fldChar w:fldCharType="separate"/>
      </w:r>
      <w:r w:rsidR="00B833F1">
        <w:rPr>
          <w:noProof/>
        </w:rPr>
        <w:instrText>7</w:instrText>
      </w:r>
      <w:r w:rsidRPr="007502CF">
        <w:fldChar w:fldCharType="end"/>
      </w:r>
      <w:r w:rsidRPr="007502CF">
        <w:instrText xml:space="preserve">" "" </w:instrText>
      </w:r>
      <w:r w:rsidRPr="007502CF">
        <w:fldChar w:fldCharType="separate"/>
      </w:r>
      <w:bookmarkStart w:id="2551" w:name="_Caption7494"/>
      <w:bookmarkStart w:id="2552" w:name="_Caption9622"/>
      <w:bookmarkStart w:id="2553" w:name="_Caption7930"/>
      <w:bookmarkStart w:id="2554" w:name="_Caption4450"/>
      <w:bookmarkStart w:id="2555" w:name="_Caption2637"/>
      <w:bookmarkStart w:id="2556" w:name="_Caption0066"/>
      <w:bookmarkStart w:id="2557" w:name="_Caption3607"/>
      <w:bookmarkStart w:id="2558" w:name="_Caption0026"/>
      <w:bookmarkStart w:id="2559" w:name="_Caption6020"/>
      <w:bookmarkStart w:id="2560" w:name="_Caption7706"/>
      <w:bookmarkStart w:id="2561" w:name="_Caption8605"/>
      <w:bookmarkStart w:id="2562" w:name="_Caption5166"/>
      <w:bookmarkStart w:id="2563" w:name="_Caption4544"/>
      <w:bookmarkStart w:id="2564" w:name="_Caption8298"/>
      <w:bookmarkStart w:id="2565" w:name="_Caption5676"/>
      <w:bookmarkStart w:id="2566" w:name="_Caption4822"/>
      <w:bookmarkStart w:id="2567" w:name="_Caption9017"/>
      <w:bookmarkStart w:id="2568" w:name="_Caption3704"/>
      <w:bookmarkStart w:id="2569" w:name="_Caption9453"/>
      <w:bookmarkStart w:id="2570" w:name="_Caption5449"/>
      <w:bookmarkStart w:id="2571" w:name="_Caption9125"/>
      <w:bookmarkStart w:id="2572" w:name="_Caption8857"/>
      <w:bookmarkStart w:id="2573" w:name="_Caption8702"/>
      <w:bookmarkStart w:id="2574" w:name="_Caption9310"/>
      <w:bookmarkStart w:id="2575" w:name="_Caption0739"/>
      <w:bookmarkStart w:id="2576" w:name="_Caption0254"/>
      <w:bookmarkStart w:id="2577" w:name="_Caption0290"/>
      <w:bookmarkStart w:id="2578" w:name="_Caption5876"/>
      <w:bookmarkStart w:id="2579" w:name="_Caption9991"/>
      <w:bookmarkStart w:id="2580" w:name="_Caption7520"/>
      <w:bookmarkStart w:id="2581" w:name="_Caption9982"/>
      <w:bookmarkStart w:id="2582" w:name="_Caption0144"/>
      <w:bookmarkStart w:id="2583" w:name="_Caption6645"/>
      <w:bookmarkStart w:id="2584" w:name="_Caption0239"/>
      <w:bookmarkStart w:id="2585" w:name="_Caption1697"/>
      <w:bookmarkStart w:id="2586" w:name="_Caption9389"/>
      <w:bookmarkStart w:id="2587" w:name="_Caption8890"/>
      <w:bookmarkStart w:id="2588" w:name="_Caption6149"/>
      <w:bookmarkStart w:id="2589" w:name="_Caption1789"/>
      <w:bookmarkStart w:id="2590" w:name="_Caption9803"/>
      <w:bookmarkStart w:id="2591" w:name="_Caption9176"/>
      <w:bookmarkStart w:id="2592" w:name="_Caption8283"/>
      <w:bookmarkStart w:id="2593" w:name="_Caption5521"/>
      <w:bookmarkStart w:id="2594" w:name="_Caption5778"/>
      <w:bookmarkStart w:id="2595" w:name="_Caption2889"/>
      <w:bookmarkStart w:id="2596" w:name="_Caption0700"/>
      <w:bookmarkStart w:id="2597" w:name="_Caption3934"/>
      <w:bookmarkStart w:id="2598" w:name="_Caption0956"/>
      <w:bookmarkStart w:id="2599" w:name="_Caption0019"/>
      <w:bookmarkStart w:id="2600" w:name="_Caption8855"/>
      <w:bookmarkStart w:id="2601" w:name="_Caption4300"/>
      <w:bookmarkStart w:id="2602" w:name="_Caption0774"/>
      <w:bookmarkStart w:id="2603" w:name="_Caption3989"/>
      <w:bookmarkStart w:id="2604" w:name="_Caption8087"/>
      <w:bookmarkStart w:id="2605" w:name="_Caption3382"/>
      <w:bookmarkStart w:id="2606" w:name="_Caption5955"/>
      <w:bookmarkStart w:id="2607" w:name="_Caption9990"/>
      <w:bookmarkStart w:id="2608" w:name="_Caption5985"/>
      <w:bookmarkStart w:id="2609" w:name="_Caption1818"/>
      <w:bookmarkStart w:id="2610" w:name="_Caption5621"/>
      <w:bookmarkStart w:id="2611" w:name="_Caption6673"/>
      <w:bookmarkStart w:id="2612" w:name="_Caption1274"/>
      <w:bookmarkStart w:id="2613" w:name="_Caption6881"/>
      <w:bookmarkStart w:id="2614" w:name="_Caption9730"/>
      <w:bookmarkStart w:id="2615" w:name="_Caption2989"/>
      <w:bookmarkStart w:id="2616" w:name="_Caption8566"/>
      <w:bookmarkStart w:id="2617" w:name="_Caption7172"/>
      <w:bookmarkStart w:id="2618" w:name="_Toc529869927"/>
      <w:bookmarkStart w:id="2619" w:name="_Toc530748423"/>
      <w:r w:rsidR="00EA42ED">
        <w:rPr>
          <w:noProof/>
        </w:rPr>
        <w:t>6</w:t>
      </w:r>
      <w:r w:rsidR="00EA42ED" w:rsidRPr="007502CF">
        <w:rPr>
          <w:noProof/>
        </w:rPr>
        <w:t>.</w:t>
      </w:r>
      <w:r w:rsidR="00EA42ED">
        <w:rPr>
          <w:noProof/>
        </w:rPr>
        <w:t>7</w:t>
      </w:r>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r w:rsidRPr="007502CF">
        <w:fldChar w:fldCharType="end"/>
      </w:r>
      <w:r w:rsidRPr="007502CF">
        <w:tab/>
        <w:t>Modelled energy savings — schools</w:t>
      </w:r>
      <w:bookmarkEnd w:id="2618"/>
      <w:bookmarkEnd w:id="2619"/>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8"/>
      </w:tblGrid>
      <w:tr w:rsidR="00612FD3" w:rsidTr="00301B6D">
        <w:trPr>
          <w:cantSplit/>
        </w:trPr>
        <w:tc>
          <w:tcPr>
            <w:tcW w:w="7938" w:type="dxa"/>
            <w:shd w:val="clear" w:color="auto" w:fill="E9E8E5" w:themeFill="background2"/>
          </w:tcPr>
          <w:p w:rsidR="00612FD3" w:rsidRDefault="00612FD3" w:rsidP="007502CF">
            <w:pPr>
              <w:pStyle w:val="Chart"/>
              <w:jc w:val="center"/>
            </w:pPr>
            <w:r w:rsidRPr="00D94215">
              <w:rPr>
                <w:noProof/>
                <w:lang w:eastAsia="en-AU"/>
              </w:rPr>
              <w:drawing>
                <wp:inline distT="0" distB="0" distL="0" distR="0" wp14:anchorId="54DCF1FC" wp14:editId="1076E9C9">
                  <wp:extent cx="4743450" cy="2393950"/>
                  <wp:effectExtent l="0" t="0" r="0" b="0"/>
                  <wp:docPr id="35" name="Picture 35" descr="The chart shows energy savings in percentage terms by equipment for schools. Total savings are around 20 per cent. Fans are estimated to be a significant contributor to energy saving across all climate zones. Chillers are also a large contributor to energy savings in the warmer climate zones (i.e. Climate Zones 1 3), while boilers are a significant contributor to energy savings in Climate Zones 4 7." title="Chart 6.7: Modelled energy savings -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43450" cy="2393950"/>
                          </a:xfrm>
                          <a:prstGeom prst="rect">
                            <a:avLst/>
                          </a:prstGeom>
                          <a:noFill/>
                          <a:ln>
                            <a:noFill/>
                          </a:ln>
                        </pic:spPr>
                      </pic:pic>
                    </a:graphicData>
                  </a:graphic>
                </wp:inline>
              </w:drawing>
            </w:r>
          </w:p>
        </w:tc>
      </w:tr>
    </w:tbl>
    <w:p w:rsidR="001640D9" w:rsidRPr="00A97BEC" w:rsidRDefault="001640D9" w:rsidP="001640D9">
      <w:pPr>
        <w:pStyle w:val="Note"/>
      </w:pPr>
      <w:r w:rsidRPr="00A97BEC">
        <w:rPr>
          <w:i/>
        </w:rPr>
        <w:t xml:space="preserve">Note: </w:t>
      </w:r>
      <w:r w:rsidRPr="00E6222F">
        <w:t>Graph presents energy savings in percentage terms to provide some context; however, it is the absolute change in consumption (as reported in table </w:t>
      </w:r>
      <w:r w:rsidR="003F17B1">
        <w:rPr>
          <w:noProof/>
        </w:rPr>
        <w:fldChar w:fldCharType="begin"/>
      </w:r>
      <w:r w:rsidR="003F17B1">
        <w:rPr>
          <w:noProof/>
        </w:rPr>
        <w:instrText xml:space="preserve"> REF _Caption6974 </w:instrText>
      </w:r>
      <w:r w:rsidR="003F17B1">
        <w:rPr>
          <w:noProof/>
        </w:rPr>
        <w:fldChar w:fldCharType="separate"/>
      </w:r>
      <w:r w:rsidR="006B79B8">
        <w:rPr>
          <w:noProof/>
        </w:rPr>
        <w:t>6</w:t>
      </w:r>
      <w:r w:rsidR="006B79B8" w:rsidRPr="00F03986">
        <w:rPr>
          <w:noProof/>
        </w:rPr>
        <w:t>.</w:t>
      </w:r>
      <w:r w:rsidR="006B79B8">
        <w:rPr>
          <w:noProof/>
        </w:rPr>
        <w:t>1</w:t>
      </w:r>
      <w:r w:rsidR="003F17B1">
        <w:rPr>
          <w:noProof/>
        </w:rPr>
        <w:fldChar w:fldCharType="end"/>
      </w:r>
      <w:r>
        <w:t xml:space="preserve"> </w:t>
      </w:r>
      <w:r w:rsidRPr="00E6222F">
        <w:t>above that matters for the CBA.</w:t>
      </w:r>
    </w:p>
    <w:p w:rsidR="001640D9" w:rsidRDefault="001640D9" w:rsidP="001640D9">
      <w:pPr>
        <w:pStyle w:val="Source"/>
      </w:pPr>
      <w:r w:rsidRPr="001640D9">
        <w:rPr>
          <w:i/>
        </w:rPr>
        <w:t>Data source:</w:t>
      </w:r>
      <w:r>
        <w:t xml:space="preserve"> </w:t>
      </w:r>
      <w:r w:rsidR="00835EE0">
        <w:t xml:space="preserve">CIE based on </w:t>
      </w:r>
      <w:r w:rsidR="003F28DD">
        <w:t>EA</w:t>
      </w:r>
      <w:r>
        <w:t xml:space="preserve"> modelling.</w:t>
      </w:r>
    </w:p>
    <w:p w:rsidR="00612FD3" w:rsidRDefault="00612FD3" w:rsidP="00612FD3">
      <w:pPr>
        <w:pStyle w:val="BodyText"/>
      </w:pPr>
    </w:p>
    <w:p w:rsidR="00612FD3" w:rsidRPr="00306CC9" w:rsidRDefault="00612FD3" w:rsidP="00612FD3">
      <w:pPr>
        <w:pStyle w:val="BodyText"/>
      </w:pPr>
    </w:p>
    <w:p w:rsidR="00612FD3" w:rsidRDefault="00612FD3" w:rsidP="00592C11">
      <w:pPr>
        <w:pStyle w:val="Heading3"/>
        <w:rPr>
          <w:lang w:eastAsia="en-US"/>
        </w:rPr>
      </w:pPr>
      <w:r>
        <w:rPr>
          <w:lang w:eastAsia="en-US"/>
        </w:rPr>
        <w:t>Are modelled energy savings achieved in practice?</w:t>
      </w:r>
    </w:p>
    <w:p w:rsidR="00612FD3" w:rsidRDefault="00612FD3" w:rsidP="00612FD3">
      <w:pPr>
        <w:pStyle w:val="BodyText"/>
        <w:rPr>
          <w:lang w:eastAsia="en-US"/>
        </w:rPr>
      </w:pPr>
      <w:r>
        <w:rPr>
          <w:lang w:eastAsia="en-US"/>
        </w:rPr>
        <w:t>Several international studies have found that there has been a tendency for the energy modelling relied on to estimate energy savings in some CBAs of energy efficiency policies to overstate actual energy savings.</w:t>
      </w:r>
      <w:r>
        <w:rPr>
          <w:rStyle w:val="FootnoteReference"/>
          <w:lang w:eastAsia="en-US"/>
        </w:rPr>
        <w:footnoteReference w:id="53"/>
      </w:r>
      <w:r>
        <w:rPr>
          <w:lang w:eastAsia="en-US"/>
        </w:rPr>
        <w:t xml:space="preserve"> The Productivity Commission has also previously expressed concern in relation to both residential and commercial buildings that </w:t>
      </w:r>
      <w:r w:rsidRPr="00531AE8">
        <w:rPr>
          <w:lang w:eastAsia="en-US"/>
        </w:rPr>
        <w:t xml:space="preserve">computer simulations of energy loads within buildings </w:t>
      </w:r>
      <w:r>
        <w:rPr>
          <w:lang w:eastAsia="en-US"/>
        </w:rPr>
        <w:t xml:space="preserve">that form the analytical basis for minimum energy efficiency standards in the NCC </w:t>
      </w:r>
      <w:r w:rsidRPr="00531AE8">
        <w:rPr>
          <w:lang w:eastAsia="en-US"/>
        </w:rPr>
        <w:t>may be flawed</w:t>
      </w:r>
      <w:r>
        <w:rPr>
          <w:lang w:eastAsia="en-US"/>
        </w:rPr>
        <w:t>.</w:t>
      </w:r>
      <w:r>
        <w:rPr>
          <w:rStyle w:val="FootnoteReference"/>
          <w:lang w:eastAsia="en-US"/>
        </w:rPr>
        <w:footnoteReference w:id="54"/>
      </w:r>
      <w:r>
        <w:rPr>
          <w:lang w:eastAsia="en-US"/>
        </w:rPr>
        <w:t xml:space="preserve"> It is therefore important to investigate whether modelled energy savings are actually realised.</w:t>
      </w:r>
    </w:p>
    <w:p w:rsidR="00612FD3" w:rsidRDefault="00612FD3" w:rsidP="00612FD3">
      <w:pPr>
        <w:pStyle w:val="BodyText"/>
        <w:rPr>
          <w:lang w:eastAsia="en-US"/>
        </w:rPr>
      </w:pPr>
      <w:r>
        <w:rPr>
          <w:lang w:eastAsia="en-US"/>
        </w:rPr>
        <w:t>It is well</w:t>
      </w:r>
      <w:r>
        <w:rPr>
          <w:lang w:eastAsia="en-US"/>
        </w:rPr>
        <w:noBreakHyphen/>
        <w:t xml:space="preserve">documented that energy efficiency modelling for commercial buildings does not accurately predict actual energy consumption outcomes (see Appendix D for further details). This is referred to as the ‘performance gap’. However, the key issue is not whether energy modelling accurately predicts the level of energy consumption; rather, it is the extent to which energy </w:t>
      </w:r>
      <w:r w:rsidRPr="00F43FB6">
        <w:rPr>
          <w:i/>
          <w:lang w:eastAsia="en-US"/>
        </w:rPr>
        <w:t>savings</w:t>
      </w:r>
      <w:r>
        <w:rPr>
          <w:lang w:eastAsia="en-US"/>
        </w:rPr>
        <w:t xml:space="preserve"> from more energy efficient design and technology choices are accurately estimated that matters. However, there are surprisingly few Australian studies comparing modelled outcomes with actual performance for commercial buildings. </w:t>
      </w:r>
    </w:p>
    <w:p w:rsidR="00612FD3" w:rsidRDefault="00612FD3" w:rsidP="00612FD3">
      <w:pPr>
        <w:pStyle w:val="Heading4"/>
        <w:numPr>
          <w:ilvl w:val="3"/>
          <w:numId w:val="5"/>
        </w:numPr>
        <w:rPr>
          <w:lang w:eastAsia="en-US"/>
        </w:rPr>
      </w:pPr>
      <w:r>
        <w:rPr>
          <w:lang w:eastAsia="en-US"/>
        </w:rPr>
        <w:t>Green Building Council study</w:t>
      </w:r>
    </w:p>
    <w:p w:rsidR="00612FD3" w:rsidRDefault="00612FD3" w:rsidP="00612FD3">
      <w:pPr>
        <w:pStyle w:val="BodyText"/>
        <w:rPr>
          <w:lang w:eastAsia="en-US"/>
        </w:rPr>
      </w:pPr>
      <w:r>
        <w:rPr>
          <w:lang w:eastAsia="en-US"/>
        </w:rPr>
        <w:t>The Green Building Council of Australia (GBCA) published a study using Australian data that indirectly addresses this question. This study compared:</w:t>
      </w:r>
    </w:p>
    <w:p w:rsidR="00612FD3" w:rsidRDefault="00612FD3" w:rsidP="00612FD3">
      <w:pPr>
        <w:pStyle w:val="ListBullet"/>
        <w:numPr>
          <w:ilvl w:val="0"/>
          <w:numId w:val="36"/>
        </w:numPr>
        <w:rPr>
          <w:lang w:bidi="fa-IR"/>
        </w:rPr>
      </w:pPr>
      <w:r>
        <w:rPr>
          <w:lang w:bidi="fa-IR"/>
        </w:rPr>
        <w:t>Predicted greenhouse gas emissions (in levels rather than savings) available from Green Star certification records (in terms of both predicted ‘normalised emissions’ in KgCO</w:t>
      </w:r>
      <w:r w:rsidRPr="006B05CE">
        <w:rPr>
          <w:vertAlign w:val="subscript"/>
          <w:lang w:bidi="fa-IR"/>
        </w:rPr>
        <w:t>2</w:t>
      </w:r>
      <w:r w:rsidRPr="00CD1A53">
        <w:rPr>
          <w:lang w:bidi="fa-IR"/>
        </w:rPr>
        <w:noBreakHyphen/>
        <w:t>e</w:t>
      </w:r>
      <w:r>
        <w:rPr>
          <w:lang w:bidi="fa-IR"/>
        </w:rPr>
        <w:t xml:space="preserve"> and predicted NABERS Energy stars). These predictions were based on computer generated energy modelling carried out by the individual project teams involved in the design and constructions of the buildings within the sample.</w:t>
      </w:r>
    </w:p>
    <w:p w:rsidR="00612FD3" w:rsidRDefault="00612FD3" w:rsidP="00612FD3">
      <w:pPr>
        <w:pStyle w:val="ListBullet"/>
        <w:numPr>
          <w:ilvl w:val="0"/>
          <w:numId w:val="36"/>
        </w:numPr>
        <w:rPr>
          <w:lang w:bidi="fa-IR"/>
        </w:rPr>
      </w:pPr>
      <w:r>
        <w:rPr>
          <w:lang w:bidi="fa-IR"/>
        </w:rPr>
        <w:t>Actual greenhouse gas performance also in levels rather than savings available from the NABERS Energy database (in terms of ‘benchmarking factor’ and actual NABERS Energy stars, both without GreenPower).</w:t>
      </w:r>
    </w:p>
    <w:p w:rsidR="00876619" w:rsidRPr="00876619" w:rsidRDefault="00876619" w:rsidP="002B3C0A">
      <w:pPr>
        <w:pStyle w:val="BodyText"/>
        <w:rPr>
          <w:lang w:eastAsia="en-US"/>
        </w:rPr>
      </w:pPr>
      <w:r>
        <w:rPr>
          <w:lang w:eastAsia="en-US"/>
        </w:rPr>
        <w:t>A</w:t>
      </w:r>
      <w:r w:rsidRPr="00876619">
        <w:rPr>
          <w:lang w:eastAsia="en-US"/>
        </w:rPr>
        <w:t xml:space="preserve"> submission </w:t>
      </w:r>
      <w:r>
        <w:rPr>
          <w:lang w:eastAsia="en-US"/>
        </w:rPr>
        <w:t xml:space="preserve">from Parramatta City Council </w:t>
      </w:r>
      <w:r w:rsidRPr="00876619">
        <w:rPr>
          <w:lang w:eastAsia="en-US"/>
        </w:rPr>
        <w:t>argued that predicted ‘normalised’ greenhouse gas emissions in design (or at the as</w:t>
      </w:r>
      <w:r w:rsidRPr="00876619">
        <w:rPr>
          <w:lang w:eastAsia="en-US"/>
        </w:rPr>
        <w:noBreakHyphen/>
        <w:t>built stage) and the NABERS Benchmarking Factor in operation are not comparable</w:t>
      </w:r>
      <w:r w:rsidR="00204787">
        <w:rPr>
          <w:lang w:eastAsia="en-US"/>
        </w:rPr>
        <w:t xml:space="preserve"> because </w:t>
      </w:r>
      <w:r w:rsidR="00204787" w:rsidRPr="00876619">
        <w:rPr>
          <w:lang w:eastAsia="en-US"/>
        </w:rPr>
        <w:t xml:space="preserve">the algorithms used to correct for differences in floor area, hours of operation and climate </w:t>
      </w:r>
      <w:r w:rsidR="00204787">
        <w:rPr>
          <w:lang w:eastAsia="en-US"/>
        </w:rPr>
        <w:t xml:space="preserve">in the calculation of the NABERS Benchmarking Factor </w:t>
      </w:r>
      <w:r w:rsidR="00204787" w:rsidRPr="00876619">
        <w:rPr>
          <w:lang w:eastAsia="en-US"/>
        </w:rPr>
        <w:t>introduce distortions</w:t>
      </w:r>
      <w:r w:rsidR="00204787">
        <w:rPr>
          <w:lang w:eastAsia="en-US"/>
        </w:rPr>
        <w:t xml:space="preserve"> (see appendix D for further details)</w:t>
      </w:r>
      <w:r w:rsidR="00204787" w:rsidRPr="00876619">
        <w:rPr>
          <w:lang w:eastAsia="en-US"/>
        </w:rPr>
        <w:t>.</w:t>
      </w:r>
      <w:r w:rsidR="00204787">
        <w:rPr>
          <w:lang w:eastAsia="en-US"/>
        </w:rPr>
        <w:t xml:space="preserve"> The</w:t>
      </w:r>
      <w:r w:rsidRPr="00876619">
        <w:rPr>
          <w:lang w:eastAsia="en-US"/>
        </w:rPr>
        <w:t xml:space="preserve"> </w:t>
      </w:r>
      <w:r w:rsidR="00304198">
        <w:rPr>
          <w:lang w:eastAsia="en-US"/>
        </w:rPr>
        <w:t>submissions implies</w:t>
      </w:r>
      <w:r w:rsidRPr="00876619">
        <w:rPr>
          <w:lang w:eastAsia="en-US"/>
        </w:rPr>
        <w:t xml:space="preserve"> that no conclusions on the accuracy of modelled outcomes can be drawn from the</w:t>
      </w:r>
      <w:r w:rsidR="00104F9D">
        <w:rPr>
          <w:lang w:eastAsia="en-US"/>
        </w:rPr>
        <w:t xml:space="preserve"> </w:t>
      </w:r>
      <w:r w:rsidR="001143E2">
        <w:rPr>
          <w:lang w:eastAsia="en-US"/>
        </w:rPr>
        <w:t>G</w:t>
      </w:r>
      <w:r w:rsidR="00104F9D">
        <w:rPr>
          <w:lang w:eastAsia="en-US"/>
        </w:rPr>
        <w:t xml:space="preserve">reen </w:t>
      </w:r>
      <w:r w:rsidR="001143E2">
        <w:rPr>
          <w:lang w:eastAsia="en-US"/>
        </w:rPr>
        <w:t>S</w:t>
      </w:r>
      <w:r w:rsidR="00104F9D">
        <w:rPr>
          <w:lang w:eastAsia="en-US"/>
        </w:rPr>
        <w:t>tar</w:t>
      </w:r>
      <w:r w:rsidR="00204787">
        <w:rPr>
          <w:lang w:eastAsia="en-US"/>
        </w:rPr>
        <w:t xml:space="preserve"> data</w:t>
      </w:r>
      <w:r w:rsidRPr="00876619">
        <w:rPr>
          <w:lang w:eastAsia="en-US"/>
        </w:rPr>
        <w:t>.</w:t>
      </w:r>
    </w:p>
    <w:p w:rsidR="003620E4" w:rsidRDefault="00304198" w:rsidP="00612FD3">
      <w:pPr>
        <w:pStyle w:val="BodyText"/>
        <w:rPr>
          <w:lang w:bidi="fa-IR"/>
        </w:rPr>
      </w:pPr>
      <w:r>
        <w:rPr>
          <w:lang w:bidi="fa-IR"/>
        </w:rPr>
        <w:t>While we consider it conceptually appropriate for the NABERS Benchmarking Factor to be adjust</w:t>
      </w:r>
      <w:r w:rsidR="00DF6E11">
        <w:rPr>
          <w:lang w:bidi="fa-IR"/>
        </w:rPr>
        <w:t>ed</w:t>
      </w:r>
      <w:r>
        <w:rPr>
          <w:lang w:bidi="fa-IR"/>
        </w:rPr>
        <w:t xml:space="preserve"> for factors such as floor area</w:t>
      </w:r>
      <w:r w:rsidR="00A85FF6">
        <w:rPr>
          <w:lang w:bidi="fa-IR"/>
        </w:rPr>
        <w:t xml:space="preserve"> and hours of operation, </w:t>
      </w:r>
      <w:r>
        <w:rPr>
          <w:lang w:bidi="fa-IR"/>
        </w:rPr>
        <w:t xml:space="preserve">the limitations </w:t>
      </w:r>
      <w:r w:rsidR="00A73B67">
        <w:rPr>
          <w:lang w:bidi="fa-IR"/>
        </w:rPr>
        <w:t xml:space="preserve">of the normalisation process </w:t>
      </w:r>
      <w:r>
        <w:rPr>
          <w:lang w:bidi="fa-IR"/>
        </w:rPr>
        <w:t>are acknowledged</w:t>
      </w:r>
      <w:r w:rsidR="00A73B67">
        <w:rPr>
          <w:lang w:bidi="fa-IR"/>
        </w:rPr>
        <w:t>. Nevertheless, the data provide</w:t>
      </w:r>
      <w:r w:rsidR="00370F15">
        <w:rPr>
          <w:lang w:bidi="fa-IR"/>
        </w:rPr>
        <w:t>s</w:t>
      </w:r>
      <w:r w:rsidR="00A73B67">
        <w:rPr>
          <w:lang w:bidi="fa-IR"/>
        </w:rPr>
        <w:t xml:space="preserve"> some useful insights on the extent to which modelled outcomes are achieved in practice.</w:t>
      </w:r>
    </w:p>
    <w:p w:rsidR="00612FD3" w:rsidRDefault="00612FD3" w:rsidP="00612FD3">
      <w:pPr>
        <w:pStyle w:val="BodyText"/>
        <w:rPr>
          <w:lang w:bidi="fa-IR"/>
        </w:rPr>
      </w:pPr>
      <w:r>
        <w:rPr>
          <w:lang w:bidi="fa-IR"/>
        </w:rPr>
        <w:t>CIE analysis of this data is shown in chart </w:t>
      </w:r>
      <w:r>
        <w:rPr>
          <w:lang w:bidi="fa-IR"/>
        </w:rPr>
        <w:fldChar w:fldCharType="begin"/>
      </w:r>
      <w:r>
        <w:rPr>
          <w:lang w:bidi="fa-IR"/>
        </w:rPr>
        <w:instrText xml:space="preserve"> REF _Caption4124 </w:instrText>
      </w:r>
      <w:r>
        <w:rPr>
          <w:lang w:bidi="fa-IR"/>
        </w:rPr>
        <w:fldChar w:fldCharType="separate"/>
      </w:r>
      <w:r w:rsidR="006B79B8" w:rsidRPr="007502CF">
        <w:rPr>
          <w:noProof/>
        </w:rPr>
        <w:t>6.8</w:t>
      </w:r>
      <w:r>
        <w:rPr>
          <w:lang w:bidi="fa-IR"/>
        </w:rPr>
        <w:fldChar w:fldCharType="end"/>
      </w:r>
      <w:r>
        <w:rPr>
          <w:lang w:bidi="fa-IR"/>
        </w:rPr>
        <w:t>. The chart plots predicted GHG emissions on the x axis against actual GHG emissions on the y axis.</w:t>
      </w:r>
    </w:p>
    <w:p w:rsidR="00612FD3" w:rsidRDefault="00612FD3" w:rsidP="00612FD3">
      <w:pPr>
        <w:pStyle w:val="ListBullet"/>
        <w:numPr>
          <w:ilvl w:val="0"/>
          <w:numId w:val="36"/>
        </w:numPr>
        <w:rPr>
          <w:lang w:bidi="fa-IR"/>
        </w:rPr>
      </w:pPr>
      <w:r>
        <w:rPr>
          <w:lang w:bidi="fa-IR"/>
        </w:rPr>
        <w:t>If actual outcomes are predicted perfectly, the observations would fall on the red line (where y = x).</w:t>
      </w:r>
    </w:p>
    <w:p w:rsidR="00612FD3" w:rsidRDefault="00612FD3" w:rsidP="00612FD3">
      <w:pPr>
        <w:pStyle w:val="ListBullet2"/>
        <w:numPr>
          <w:ilvl w:val="1"/>
          <w:numId w:val="36"/>
        </w:numPr>
        <w:rPr>
          <w:lang w:bidi="fa-IR"/>
        </w:rPr>
      </w:pPr>
      <w:r>
        <w:rPr>
          <w:lang w:bidi="fa-IR"/>
        </w:rPr>
        <w:t>Most of the observations are above the red line, indicating that in most cases actual GHG emissions were higher than predicted.</w:t>
      </w:r>
    </w:p>
    <w:p w:rsidR="00612FD3" w:rsidRDefault="00612FD3" w:rsidP="00612FD3">
      <w:pPr>
        <w:pStyle w:val="ListBullet2"/>
        <w:numPr>
          <w:ilvl w:val="1"/>
          <w:numId w:val="36"/>
        </w:numPr>
        <w:rPr>
          <w:lang w:bidi="fa-IR"/>
        </w:rPr>
      </w:pPr>
      <w:r>
        <w:rPr>
          <w:lang w:bidi="fa-IR"/>
        </w:rPr>
        <w:t>For the observations below the red line, actual GHG emissions were lower than predicted.</w:t>
      </w:r>
    </w:p>
    <w:p w:rsidR="00612FD3" w:rsidRDefault="00612FD3" w:rsidP="00612FD3">
      <w:pPr>
        <w:pStyle w:val="ListBullet"/>
        <w:numPr>
          <w:ilvl w:val="0"/>
          <w:numId w:val="36"/>
        </w:numPr>
        <w:rPr>
          <w:lang w:bidi="fa-IR"/>
        </w:rPr>
      </w:pPr>
      <w:r>
        <w:rPr>
          <w:lang w:bidi="fa-IR"/>
        </w:rPr>
        <w:t>The grey line is the actual line of best fit. The slope coefficient reflects the average change in actual GHG emissions for each modelled unit change. This can be interpreted as the rate at which modelled energy savings are realised in practice.</w:t>
      </w:r>
    </w:p>
    <w:p w:rsidR="00612FD3" w:rsidRPr="004D4E47" w:rsidRDefault="00612FD3" w:rsidP="00612FD3">
      <w:pPr>
        <w:pStyle w:val="BodyText"/>
        <w:rPr>
          <w:lang w:bidi="fa-IR"/>
        </w:rPr>
      </w:pPr>
      <w:r>
        <w:rPr>
          <w:lang w:bidi="fa-IR"/>
        </w:rPr>
        <w:t>Although the above data relate to GHG emissions, rather than energy consumption, GHG emission estimates are based on the energy consumption and the emissions intensity of the relevant energy sources in each building’s location. The emissions intensity of each energy source is unlikely to have varied significantly from the predictions. The relationship shown above is therefore likely to be indicative of the relationship between predicted and actual energy consumption, unless prediction errors can be explained by a significant shift in the energy mix (i.e. between electricity and gas).</w:t>
      </w:r>
    </w:p>
    <w:p w:rsidR="00612FD3" w:rsidRDefault="00612FD3" w:rsidP="00612FD3">
      <w:pPr>
        <w:pStyle w:val="BodyText"/>
        <w:rPr>
          <w:lang w:bidi="fa-IR"/>
        </w:rPr>
      </w:pPr>
      <w:r>
        <w:rPr>
          <w:lang w:bidi="fa-IR"/>
        </w:rPr>
        <w:t>Key observations are as follows.</w:t>
      </w:r>
    </w:p>
    <w:p w:rsidR="00612FD3" w:rsidRDefault="00612FD3" w:rsidP="00612FD3">
      <w:pPr>
        <w:pStyle w:val="ListBullet"/>
        <w:numPr>
          <w:ilvl w:val="0"/>
          <w:numId w:val="36"/>
        </w:numPr>
        <w:rPr>
          <w:lang w:bidi="fa-IR"/>
        </w:rPr>
      </w:pPr>
      <w:r>
        <w:rPr>
          <w:lang w:bidi="fa-IR"/>
        </w:rPr>
        <w:t>The relationship between predicted and actual GHG emissions is relatively weak. Although there appears to be a positive relationship between predicted and actual greenhouse gas emissions (indicating that greenhouse gas emissions are indeed lower in buildings with lower predicted greenhouse gas emissions), this relationship is not statistically significant.</w:t>
      </w:r>
    </w:p>
    <w:p w:rsidR="00612FD3" w:rsidRDefault="00612FD3" w:rsidP="00612FD3">
      <w:pPr>
        <w:pStyle w:val="ListBullet"/>
        <w:numPr>
          <w:ilvl w:val="0"/>
          <w:numId w:val="36"/>
        </w:numPr>
        <w:rPr>
          <w:lang w:eastAsia="en-US"/>
        </w:rPr>
      </w:pPr>
      <w:r>
        <w:rPr>
          <w:lang w:bidi="fa-IR"/>
        </w:rPr>
        <w:t xml:space="preserve">The available data also do not support the proposition that modelled energy </w:t>
      </w:r>
      <w:r w:rsidRPr="00947882">
        <w:rPr>
          <w:i/>
          <w:lang w:bidi="fa-IR"/>
        </w:rPr>
        <w:t>savings</w:t>
      </w:r>
      <w:r>
        <w:rPr>
          <w:lang w:bidi="fa-IR"/>
        </w:rPr>
        <w:t xml:space="preserve"> are achieved in practice. The analysis suggests that as low as only around half of modelled energy (or greenhouse gas) savings are achieved in practice.</w:t>
      </w:r>
    </w:p>
    <w:bookmarkStart w:id="2620" w:name="_Toc505120653"/>
    <w:p w:rsidR="00612FD3" w:rsidRPr="007502CF" w:rsidRDefault="00612FD3" w:rsidP="00612FD3">
      <w:pPr>
        <w:pStyle w:val="Caption"/>
        <w:numPr>
          <w:ilvl w:val="0"/>
          <w:numId w:val="7"/>
        </w:numPr>
      </w:pPr>
      <w:r w:rsidRPr="007502CF">
        <w:fldChar w:fldCharType="begin"/>
      </w:r>
      <w:r w:rsidRPr="007502CF">
        <w:instrText xml:space="preserve"> IF 1 = 1 "</w:instrText>
      </w:r>
      <w:r w:rsidRPr="007502CF">
        <w:fldChar w:fldCharType="begin"/>
      </w:r>
      <w:r w:rsidRPr="007502CF">
        <w:instrText xml:space="preserve"> IF </w:instrText>
      </w:r>
      <w:r w:rsidRPr="007502CF">
        <w:rPr>
          <w:noProof/>
        </w:rPr>
        <w:fldChar w:fldCharType="begin"/>
      </w:r>
      <w:r w:rsidRPr="007502CF">
        <w:rPr>
          <w:noProof/>
        </w:rPr>
        <w:instrText xml:space="preserve"> STYLEREF "Heading 6" \l \n </w:instrText>
      </w:r>
      <w:r w:rsidRPr="007502CF">
        <w:rPr>
          <w:noProof/>
        </w:rPr>
        <w:fldChar w:fldCharType="separate"/>
      </w:r>
      <w:r w:rsidR="00B833F1">
        <w:rPr>
          <w:noProof/>
        </w:rPr>
        <w:instrText>0</w:instrText>
      </w:r>
      <w:r w:rsidRPr="007502CF">
        <w:rPr>
          <w:noProof/>
        </w:rPr>
        <w:fldChar w:fldCharType="end"/>
      </w:r>
      <w:r w:rsidRPr="007502CF">
        <w:instrText xml:space="preserve"> = 0 "</w:instrText>
      </w:r>
      <w:r w:rsidRPr="007502CF">
        <w:fldChar w:fldCharType="begin"/>
      </w:r>
      <w:r w:rsidRPr="007502CF">
        <w:instrText xml:space="preserve"> IF </w:instrText>
      </w:r>
      <w:r w:rsidRPr="007502CF">
        <w:rPr>
          <w:noProof/>
        </w:rPr>
        <w:fldChar w:fldCharType="begin"/>
      </w:r>
      <w:r w:rsidRPr="007502CF">
        <w:rPr>
          <w:noProof/>
        </w:rPr>
        <w:instrText xml:space="preserve"> STYLEREF "Heading 1" \l \n </w:instrText>
      </w:r>
      <w:r w:rsidRPr="007502CF">
        <w:rPr>
          <w:noProof/>
        </w:rPr>
        <w:fldChar w:fldCharType="separate"/>
      </w:r>
      <w:r w:rsidR="00B833F1">
        <w:rPr>
          <w:noProof/>
        </w:rPr>
        <w:instrText>6</w:instrText>
      </w:r>
      <w:r w:rsidRPr="007502CF">
        <w:rPr>
          <w:noProof/>
        </w:rPr>
        <w:fldChar w:fldCharType="end"/>
      </w:r>
      <w:r w:rsidRPr="007502CF">
        <w:instrText xml:space="preserve"> = 0 "" "</w:instrText>
      </w:r>
      <w:r w:rsidRPr="007502CF">
        <w:rPr>
          <w:noProof/>
        </w:rPr>
        <w:fldChar w:fldCharType="begin"/>
      </w:r>
      <w:r w:rsidRPr="007502CF">
        <w:rPr>
          <w:noProof/>
        </w:rPr>
        <w:instrText xml:space="preserve"> STYLEREF "Heading 1" \l \n </w:instrText>
      </w:r>
      <w:r w:rsidRPr="007502CF">
        <w:rPr>
          <w:noProof/>
        </w:rPr>
        <w:fldChar w:fldCharType="separate"/>
      </w:r>
      <w:r w:rsidR="00B833F1">
        <w:rPr>
          <w:noProof/>
        </w:rPr>
        <w:instrText>6</w:instrText>
      </w:r>
      <w:r w:rsidRPr="007502CF">
        <w:rPr>
          <w:noProof/>
        </w:rPr>
        <w:fldChar w:fldCharType="end"/>
      </w:r>
      <w:r w:rsidRPr="007502CF">
        <w:instrText xml:space="preserve">." </w:instrText>
      </w:r>
      <w:r w:rsidRPr="007502CF">
        <w:fldChar w:fldCharType="separate"/>
      </w:r>
      <w:r w:rsidR="00B833F1">
        <w:rPr>
          <w:noProof/>
        </w:rPr>
        <w:instrText>6</w:instrText>
      </w:r>
      <w:r w:rsidR="00B833F1" w:rsidRPr="007502CF">
        <w:rPr>
          <w:noProof/>
        </w:rPr>
        <w:instrText>.</w:instrText>
      </w:r>
      <w:r w:rsidRPr="007502CF">
        <w:fldChar w:fldCharType="end"/>
      </w:r>
      <w:r w:rsidRPr="007502CF">
        <w:instrText>" "</w:instrText>
      </w:r>
      <w:r w:rsidRPr="007502CF">
        <w:rPr>
          <w:noProof/>
        </w:rPr>
        <w:fldChar w:fldCharType="begin"/>
      </w:r>
      <w:r w:rsidRPr="007502CF">
        <w:rPr>
          <w:noProof/>
        </w:rPr>
        <w:instrText xml:space="preserve"> STYLEREF "Heading 6" \l \n </w:instrText>
      </w:r>
      <w:r w:rsidRPr="007502CF">
        <w:rPr>
          <w:noProof/>
        </w:rPr>
        <w:fldChar w:fldCharType="separate"/>
      </w:r>
      <w:r w:rsidRPr="007502CF">
        <w:rPr>
          <w:noProof/>
        </w:rPr>
        <w:instrText>A</w:instrText>
      </w:r>
      <w:r w:rsidRPr="007502CF">
        <w:rPr>
          <w:noProof/>
        </w:rPr>
        <w:fldChar w:fldCharType="end"/>
      </w:r>
      <w:r w:rsidRPr="007502CF">
        <w:instrText xml:space="preserve">." </w:instrText>
      </w:r>
      <w:r w:rsidRPr="007502CF">
        <w:fldChar w:fldCharType="separate"/>
      </w:r>
      <w:r w:rsidR="00EA42ED">
        <w:rPr>
          <w:noProof/>
        </w:rPr>
        <w:instrText>6</w:instrText>
      </w:r>
      <w:r w:rsidR="00EA42ED" w:rsidRPr="007502CF">
        <w:rPr>
          <w:noProof/>
        </w:rPr>
        <w:instrText>.</w:instrText>
      </w:r>
      <w:r w:rsidRPr="007502CF">
        <w:fldChar w:fldCharType="end"/>
      </w:r>
      <w:r w:rsidRPr="007502CF">
        <w:fldChar w:fldCharType="begin"/>
      </w:r>
      <w:r w:rsidRPr="007502CF">
        <w:instrText xml:space="preserve"> SEQ Item \* ARABIC \s </w:instrText>
      </w:r>
      <w:r w:rsidRPr="007502CF">
        <w:fldChar w:fldCharType="begin"/>
      </w:r>
      <w:r w:rsidRPr="007502CF">
        <w:instrText xml:space="preserve"> IF </w:instrText>
      </w:r>
      <w:r w:rsidRPr="007502CF">
        <w:rPr>
          <w:noProof/>
        </w:rPr>
        <w:fldChar w:fldCharType="begin"/>
      </w:r>
      <w:r w:rsidRPr="007502CF">
        <w:rPr>
          <w:noProof/>
        </w:rPr>
        <w:instrText xml:space="preserve"> STYLEREF "Heading 6" \l \n </w:instrText>
      </w:r>
      <w:r w:rsidRPr="007502CF">
        <w:rPr>
          <w:noProof/>
        </w:rPr>
        <w:fldChar w:fldCharType="separate"/>
      </w:r>
      <w:r w:rsidR="00B833F1">
        <w:rPr>
          <w:noProof/>
        </w:rPr>
        <w:instrText>0</w:instrText>
      </w:r>
      <w:r w:rsidRPr="007502CF">
        <w:rPr>
          <w:noProof/>
        </w:rPr>
        <w:fldChar w:fldCharType="end"/>
      </w:r>
      <w:r w:rsidRPr="007502CF">
        <w:instrText xml:space="preserve"> = 0 "</w:instrText>
      </w:r>
      <w:r w:rsidRPr="007502CF">
        <w:fldChar w:fldCharType="begin"/>
      </w:r>
      <w:r w:rsidRPr="007502CF">
        <w:instrText xml:space="preserve"> IF </w:instrText>
      </w:r>
      <w:r w:rsidRPr="007502CF">
        <w:rPr>
          <w:noProof/>
        </w:rPr>
        <w:fldChar w:fldCharType="begin"/>
      </w:r>
      <w:r w:rsidRPr="007502CF">
        <w:rPr>
          <w:noProof/>
        </w:rPr>
        <w:instrText xml:space="preserve"> STYLEREF "Heading 1" \l \n </w:instrText>
      </w:r>
      <w:r w:rsidRPr="007502CF">
        <w:rPr>
          <w:noProof/>
        </w:rPr>
        <w:fldChar w:fldCharType="separate"/>
      </w:r>
      <w:r w:rsidR="00B833F1">
        <w:rPr>
          <w:noProof/>
        </w:rPr>
        <w:instrText>6</w:instrText>
      </w:r>
      <w:r w:rsidRPr="007502CF">
        <w:rPr>
          <w:noProof/>
        </w:rPr>
        <w:fldChar w:fldCharType="end"/>
      </w:r>
      <w:r w:rsidRPr="007502CF">
        <w:instrText xml:space="preserve"> = 0 "" "1" </w:instrText>
      </w:r>
      <w:r w:rsidRPr="007502CF">
        <w:fldChar w:fldCharType="separate"/>
      </w:r>
      <w:r w:rsidR="00EA42ED" w:rsidRPr="007502CF">
        <w:rPr>
          <w:noProof/>
        </w:rPr>
        <w:instrText>1</w:instrText>
      </w:r>
      <w:r w:rsidRPr="007502CF">
        <w:fldChar w:fldCharType="end"/>
      </w:r>
      <w:r w:rsidRPr="007502CF">
        <w:instrText xml:space="preserve">" "6" </w:instrText>
      </w:r>
      <w:r w:rsidRPr="007502CF">
        <w:fldChar w:fldCharType="separate"/>
      </w:r>
      <w:r w:rsidR="00EA42ED" w:rsidRPr="007502CF">
        <w:rPr>
          <w:noProof/>
        </w:rPr>
        <w:instrText>1</w:instrText>
      </w:r>
      <w:r w:rsidRPr="007502CF">
        <w:fldChar w:fldCharType="end"/>
      </w:r>
      <w:r w:rsidRPr="007502CF">
        <w:instrText xml:space="preserve"> </w:instrText>
      </w:r>
      <w:r w:rsidRPr="007502CF">
        <w:fldChar w:fldCharType="separate"/>
      </w:r>
      <w:r w:rsidR="00B833F1">
        <w:rPr>
          <w:noProof/>
        </w:rPr>
        <w:instrText>8</w:instrText>
      </w:r>
      <w:r w:rsidRPr="007502CF">
        <w:fldChar w:fldCharType="end"/>
      </w:r>
      <w:r w:rsidRPr="007502CF">
        <w:instrText xml:space="preserve">" "" </w:instrText>
      </w:r>
      <w:r w:rsidRPr="007502CF">
        <w:fldChar w:fldCharType="separate"/>
      </w:r>
      <w:bookmarkStart w:id="2621" w:name="_Caption0996"/>
      <w:bookmarkStart w:id="2622" w:name="_Caption3375"/>
      <w:bookmarkStart w:id="2623" w:name="_Caption3698"/>
      <w:bookmarkStart w:id="2624" w:name="_Caption1312"/>
      <w:bookmarkStart w:id="2625" w:name="_Caption1996"/>
      <w:bookmarkStart w:id="2626" w:name="_Caption3634"/>
      <w:bookmarkStart w:id="2627" w:name="_Caption8708"/>
      <w:bookmarkStart w:id="2628" w:name="_Caption8397"/>
      <w:bookmarkStart w:id="2629" w:name="_Caption6728"/>
      <w:bookmarkStart w:id="2630" w:name="_Caption3292"/>
      <w:bookmarkStart w:id="2631" w:name="_Caption6468"/>
      <w:bookmarkStart w:id="2632" w:name="_Caption3991"/>
      <w:bookmarkStart w:id="2633" w:name="_Caption4304"/>
      <w:bookmarkStart w:id="2634" w:name="_Caption8924"/>
      <w:bookmarkStart w:id="2635" w:name="_Caption8718"/>
      <w:bookmarkStart w:id="2636" w:name="_Caption2299"/>
      <w:bookmarkStart w:id="2637" w:name="_Caption4343"/>
      <w:bookmarkStart w:id="2638" w:name="_Caption9263"/>
      <w:bookmarkStart w:id="2639" w:name="_Caption5033"/>
      <w:bookmarkStart w:id="2640" w:name="_Caption5983"/>
      <w:bookmarkStart w:id="2641" w:name="_Caption4370"/>
      <w:bookmarkStart w:id="2642" w:name="_Caption2223"/>
      <w:bookmarkStart w:id="2643" w:name="_Caption8728"/>
      <w:bookmarkStart w:id="2644" w:name="_Caption7535"/>
      <w:bookmarkStart w:id="2645" w:name="_Caption3088"/>
      <w:bookmarkStart w:id="2646" w:name="_Caption6515"/>
      <w:bookmarkStart w:id="2647" w:name="_Caption4323"/>
      <w:bookmarkStart w:id="2648" w:name="_Caption1670"/>
      <w:bookmarkStart w:id="2649" w:name="_Caption0005"/>
      <w:bookmarkStart w:id="2650" w:name="_Caption9590"/>
      <w:bookmarkStart w:id="2651" w:name="_Caption2479"/>
      <w:bookmarkStart w:id="2652" w:name="_Caption4778"/>
      <w:bookmarkStart w:id="2653" w:name="_Caption2548"/>
      <w:bookmarkStart w:id="2654" w:name="_Caption2200"/>
      <w:bookmarkStart w:id="2655" w:name="_Caption3469"/>
      <w:bookmarkStart w:id="2656" w:name="_Caption0152"/>
      <w:bookmarkStart w:id="2657" w:name="_Caption3074"/>
      <w:bookmarkStart w:id="2658" w:name="_Caption5345"/>
      <w:bookmarkStart w:id="2659" w:name="_Caption7262"/>
      <w:bookmarkStart w:id="2660" w:name="_Caption4500"/>
      <w:bookmarkStart w:id="2661" w:name="_Caption6926"/>
      <w:bookmarkStart w:id="2662" w:name="_Caption6931"/>
      <w:bookmarkStart w:id="2663" w:name="_Caption4429"/>
      <w:bookmarkStart w:id="2664" w:name="_Caption0557"/>
      <w:bookmarkStart w:id="2665" w:name="_Caption5733"/>
      <w:bookmarkStart w:id="2666" w:name="_Caption5869"/>
      <w:bookmarkStart w:id="2667" w:name="_Caption4673"/>
      <w:bookmarkStart w:id="2668" w:name="_Caption7796"/>
      <w:bookmarkStart w:id="2669" w:name="_Caption8437"/>
      <w:bookmarkStart w:id="2670" w:name="_Caption8492"/>
      <w:bookmarkStart w:id="2671" w:name="_Caption5310"/>
      <w:bookmarkStart w:id="2672" w:name="_Caption4010"/>
      <w:bookmarkStart w:id="2673" w:name="_Caption8203"/>
      <w:bookmarkStart w:id="2674" w:name="_Caption9008"/>
      <w:bookmarkStart w:id="2675" w:name="_Caption2432"/>
      <w:bookmarkStart w:id="2676" w:name="_Caption0613"/>
      <w:bookmarkStart w:id="2677" w:name="_Caption1888"/>
      <w:bookmarkStart w:id="2678" w:name="_Caption1559"/>
      <w:bookmarkStart w:id="2679" w:name="_Caption4124"/>
      <w:bookmarkStart w:id="2680" w:name="_Caption6761"/>
      <w:bookmarkStart w:id="2681" w:name="_Caption5551"/>
      <w:bookmarkStart w:id="2682" w:name="_Caption2155"/>
      <w:bookmarkStart w:id="2683" w:name="_Caption4104"/>
      <w:bookmarkStart w:id="2684" w:name="_Caption7896"/>
      <w:bookmarkStart w:id="2685" w:name="_Caption9501"/>
      <w:bookmarkStart w:id="2686" w:name="_Caption4383"/>
      <w:bookmarkStart w:id="2687" w:name="_Caption9912"/>
      <w:bookmarkStart w:id="2688" w:name="_Caption5882"/>
      <w:bookmarkStart w:id="2689" w:name="_Caption7389"/>
      <w:bookmarkStart w:id="2690" w:name="_Caption1268"/>
      <w:bookmarkStart w:id="2691" w:name="_Caption2919"/>
      <w:bookmarkStart w:id="2692" w:name="_Caption0633"/>
      <w:bookmarkStart w:id="2693" w:name="_Caption6766"/>
      <w:bookmarkStart w:id="2694" w:name="_Caption7270"/>
      <w:bookmarkStart w:id="2695" w:name="_Caption8005"/>
      <w:bookmarkStart w:id="2696" w:name="_Caption0691"/>
      <w:bookmarkStart w:id="2697" w:name="_Caption9290"/>
      <w:bookmarkStart w:id="2698" w:name="_Caption3967"/>
      <w:bookmarkStart w:id="2699" w:name="_Caption5165"/>
      <w:bookmarkStart w:id="2700" w:name="_Caption1812"/>
      <w:bookmarkStart w:id="2701" w:name="_Caption9012"/>
      <w:bookmarkStart w:id="2702" w:name="_Caption1065"/>
      <w:bookmarkStart w:id="2703" w:name="_Caption4580"/>
      <w:bookmarkStart w:id="2704" w:name="_Caption9258"/>
      <w:bookmarkStart w:id="2705" w:name="_Caption8758"/>
      <w:bookmarkStart w:id="2706" w:name="_Caption3262"/>
      <w:bookmarkStart w:id="2707" w:name="_Caption9687"/>
      <w:bookmarkStart w:id="2708" w:name="_Caption2221"/>
      <w:bookmarkStart w:id="2709" w:name="_Caption1823"/>
      <w:bookmarkStart w:id="2710" w:name="_Caption5661"/>
      <w:bookmarkStart w:id="2711" w:name="_Caption5572"/>
      <w:bookmarkStart w:id="2712" w:name="_Caption7295"/>
      <w:bookmarkStart w:id="2713" w:name="_Caption1123"/>
      <w:bookmarkStart w:id="2714" w:name="_Caption6894"/>
      <w:bookmarkStart w:id="2715" w:name="_Caption6427"/>
      <w:bookmarkStart w:id="2716" w:name="_Caption5394"/>
      <w:bookmarkStart w:id="2717" w:name="_Caption3140"/>
      <w:bookmarkStart w:id="2718" w:name="_Caption2708"/>
      <w:bookmarkStart w:id="2719" w:name="_Caption8527"/>
      <w:bookmarkStart w:id="2720" w:name="_Caption9516"/>
      <w:bookmarkStart w:id="2721" w:name="_Caption1993"/>
      <w:bookmarkStart w:id="2722" w:name="_Caption6146"/>
      <w:bookmarkStart w:id="2723" w:name="_Caption5850"/>
      <w:bookmarkStart w:id="2724" w:name="_Caption3764"/>
      <w:bookmarkStart w:id="2725" w:name="_Caption5796"/>
      <w:bookmarkStart w:id="2726" w:name="_Caption2844"/>
      <w:bookmarkStart w:id="2727" w:name="_Caption6312"/>
      <w:bookmarkStart w:id="2728" w:name="_Caption7447"/>
      <w:bookmarkStart w:id="2729" w:name="_Caption1581"/>
      <w:bookmarkStart w:id="2730" w:name="_Caption4900"/>
      <w:bookmarkStart w:id="2731" w:name="_Caption6193"/>
      <w:bookmarkStart w:id="2732" w:name="_Caption1877"/>
      <w:bookmarkStart w:id="2733" w:name="_Caption0085"/>
      <w:bookmarkStart w:id="2734" w:name="_Toc499847056"/>
      <w:bookmarkStart w:id="2735" w:name="_Toc509220850"/>
      <w:bookmarkStart w:id="2736" w:name="_Toc529869928"/>
      <w:bookmarkStart w:id="2737" w:name="_Toc530748424"/>
      <w:r w:rsidR="00EA42ED">
        <w:rPr>
          <w:noProof/>
        </w:rPr>
        <w:t>6</w:t>
      </w:r>
      <w:r w:rsidR="00EA42ED" w:rsidRPr="007502CF">
        <w:rPr>
          <w:noProof/>
        </w:rPr>
        <w:t>.</w:t>
      </w:r>
      <w:r w:rsidR="00EA42ED">
        <w:rPr>
          <w:noProof/>
        </w:rPr>
        <w:t>8</w:t>
      </w:r>
      <w:bookmarkStart w:id="2738" w:name="_Toc507523801"/>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r w:rsidRPr="007502CF">
        <w:fldChar w:fldCharType="end"/>
      </w:r>
      <w:r w:rsidRPr="007502CF">
        <w:tab/>
        <w:t>Relationship between predicted and actual greenhouse gas emissions</w:t>
      </w:r>
      <w:bookmarkEnd w:id="2620"/>
      <w:bookmarkEnd w:id="2734"/>
      <w:bookmarkEnd w:id="2735"/>
      <w:bookmarkEnd w:id="2736"/>
      <w:bookmarkEnd w:id="2737"/>
      <w:bookmarkEnd w:id="2738"/>
    </w:p>
    <w:p w:rsidR="00612FD3" w:rsidRDefault="00612FD3" w:rsidP="00612FD3">
      <w:pPr>
        <w:pStyle w:val="Source"/>
      </w:pPr>
      <w:r w:rsidRPr="00040064">
        <w:rPr>
          <w:noProof/>
          <w:lang w:eastAsia="en-AU"/>
        </w:rPr>
        <w:drawing>
          <wp:inline distT="0" distB="0" distL="0" distR="0" wp14:anchorId="0E6F46ED" wp14:editId="5E009B4F">
            <wp:extent cx="4881880" cy="2470038"/>
            <wp:effectExtent l="0" t="0" r="0" b="6985"/>
            <wp:docPr id="23" name="Picture 23" descr="The chart plots the actual emissions (the vertical axis) aginst the predicted greenhouse gas emissions (the horizontal axis). Most points are above the perfect prodiction line (red line, meaning predicted equals to actual emissions), meaning actual emissions are higher than predicted." title="Relationship between  predicted and actual greenhouse gas emmiss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3">
                      <a:extLst>
                        <a:ext uri="{28A0092B-C50C-407E-A947-70E740481C1C}">
                          <a14:useLocalDpi xmlns:a14="http://schemas.microsoft.com/office/drawing/2010/main" val="0"/>
                        </a:ext>
                      </a:extLst>
                    </a:blip>
                    <a:srcRect r="1305"/>
                    <a:stretch/>
                  </pic:blipFill>
                  <pic:spPr bwMode="auto">
                    <a:xfrm>
                      <a:off x="0" y="0"/>
                      <a:ext cx="4882101" cy="2470150"/>
                    </a:xfrm>
                    <a:prstGeom prst="rect">
                      <a:avLst/>
                    </a:prstGeom>
                    <a:solidFill>
                      <a:schemeClr val="bg2"/>
                    </a:solidFill>
                    <a:ln>
                      <a:noFill/>
                    </a:ln>
                    <a:extLst>
                      <a:ext uri="{53640926-AAD7-44D8-BBD7-CCE9431645EC}">
                        <a14:shadowObscured xmlns:a14="http://schemas.microsoft.com/office/drawing/2010/main"/>
                      </a:ext>
                    </a:extLst>
                  </pic:spPr>
                </pic:pic>
              </a:graphicData>
            </a:graphic>
          </wp:inline>
        </w:drawing>
      </w:r>
      <w:r>
        <w:rPr>
          <w:i/>
        </w:rPr>
        <w:t>Data source</w:t>
      </w:r>
      <w:r w:rsidRPr="00A67576">
        <w:rPr>
          <w:i/>
        </w:rPr>
        <w:t>:</w:t>
      </w:r>
      <w:r>
        <w:t xml:space="preserve"> CIE based on data in Bell, H. Millagre, R. and Sanchez, C. 2013, </w:t>
      </w:r>
      <w:r w:rsidRPr="005F13AE">
        <w:rPr>
          <w:i/>
        </w:rPr>
        <w:t>Achieving the Green Dream: Predicted vs Actual</w:t>
      </w:r>
      <w:r>
        <w:t>, Green Building Council of Australia, August 2013, pp. 17</w:t>
      </w:r>
      <w:r>
        <w:noBreakHyphen/>
        <w:t>20.</w:t>
      </w:r>
      <w:r w:rsidRPr="00AB1A53">
        <w:rPr>
          <w:noProof/>
          <w:lang w:eastAsia="en-AU"/>
        </w:rPr>
        <w:t xml:space="preserve"> </w:t>
      </w:r>
    </w:p>
    <w:p w:rsidR="00612FD3" w:rsidRDefault="00612FD3" w:rsidP="00612FD3">
      <w:pPr>
        <w:pStyle w:val="BodyText"/>
        <w:rPr>
          <w:lang w:bidi="fa-IR"/>
        </w:rPr>
      </w:pPr>
      <w:r>
        <w:rPr>
          <w:lang w:bidi="fa-IR"/>
        </w:rPr>
        <w:t>To address concerns that several significant outliers were unduly affecting the estimated relationship between predicted and actual outcomes, we re</w:t>
      </w:r>
      <w:r>
        <w:rPr>
          <w:lang w:bidi="fa-IR"/>
        </w:rPr>
        <w:noBreakHyphen/>
        <w:t>estimated the relationship when the outliers are removed from the sample. Unsurprisingly, when these outliers are removed from the sample, the linear relationship between predicted and achieved outcomes provides a closer fit with the data. Nevertheless, the relationship between modelled and actual GHG emissions savings based on the reduced sample suggests that on average, around three</w:t>
      </w:r>
      <w:r>
        <w:rPr>
          <w:lang w:bidi="fa-IR"/>
        </w:rPr>
        <w:noBreakHyphen/>
        <w:t>quarters of modelled energy savings are achieved in practice (Appendix D).</w:t>
      </w:r>
    </w:p>
    <w:p w:rsidR="00612FD3" w:rsidRPr="002B3C0A" w:rsidRDefault="006533D6" w:rsidP="00612FD3">
      <w:pPr>
        <w:pStyle w:val="BodyText"/>
        <w:rPr>
          <w:lang w:eastAsia="en-US"/>
        </w:rPr>
      </w:pPr>
      <w:r w:rsidRPr="002B3C0A">
        <w:rPr>
          <w:lang w:eastAsia="en-US"/>
        </w:rPr>
        <w:t>S</w:t>
      </w:r>
      <w:r w:rsidR="00612FD3" w:rsidRPr="002B3C0A">
        <w:rPr>
          <w:lang w:eastAsia="en-US"/>
        </w:rPr>
        <w:t>takeholders have made various plausible suggestions as to why the relationship implied by these results may not be representative of the commercial building sector more broadly, including the following:</w:t>
      </w:r>
    </w:p>
    <w:p w:rsidR="00612FD3" w:rsidRPr="002B3C0A" w:rsidRDefault="00612FD3" w:rsidP="00612FD3">
      <w:pPr>
        <w:pStyle w:val="ListBullet"/>
        <w:numPr>
          <w:ilvl w:val="0"/>
          <w:numId w:val="36"/>
        </w:numPr>
        <w:rPr>
          <w:lang w:eastAsia="en-US"/>
        </w:rPr>
      </w:pPr>
      <w:r w:rsidRPr="002B3C0A">
        <w:rPr>
          <w:lang w:eastAsia="en-US"/>
        </w:rPr>
        <w:t>the sample includes only office buildings which may not be representative of other types of commercial buildings;</w:t>
      </w:r>
    </w:p>
    <w:p w:rsidR="00612FD3" w:rsidRPr="002B3C0A" w:rsidRDefault="00612FD3" w:rsidP="00612FD3">
      <w:pPr>
        <w:pStyle w:val="ListBullet"/>
        <w:numPr>
          <w:ilvl w:val="0"/>
          <w:numId w:val="36"/>
        </w:numPr>
        <w:rPr>
          <w:lang w:eastAsia="en-US"/>
        </w:rPr>
      </w:pPr>
      <w:r w:rsidRPr="002B3C0A">
        <w:rPr>
          <w:lang w:eastAsia="en-US"/>
        </w:rPr>
        <w:t>the actual performance was measured only two years after construction and it may take several years to achieve optimal performance; and</w:t>
      </w:r>
    </w:p>
    <w:p w:rsidR="00612FD3" w:rsidRPr="002B3C0A" w:rsidRDefault="00612FD3" w:rsidP="00612FD3">
      <w:pPr>
        <w:pStyle w:val="ListBullet"/>
        <w:numPr>
          <w:ilvl w:val="0"/>
          <w:numId w:val="36"/>
        </w:numPr>
        <w:rPr>
          <w:lang w:eastAsia="en-US"/>
        </w:rPr>
      </w:pPr>
      <w:r w:rsidRPr="002B3C0A">
        <w:rPr>
          <w:lang w:eastAsia="en-US"/>
        </w:rPr>
        <w:t>actual performance in any given year can be affected by factors such as weather conditions and may not be representative of average performance over time.</w:t>
      </w:r>
    </w:p>
    <w:p w:rsidR="00612FD3" w:rsidRDefault="00612FD3" w:rsidP="00612FD3">
      <w:pPr>
        <w:pStyle w:val="BodyText"/>
        <w:rPr>
          <w:lang w:eastAsia="en-US"/>
        </w:rPr>
      </w:pPr>
      <w:r w:rsidRPr="002B3C0A">
        <w:rPr>
          <w:lang w:eastAsia="en-US"/>
        </w:rPr>
        <w:t>On the other hand, participants in the voluntary Green Star scheme that may also be required to obtain a NABERS rating would be expected to be more conscious of their energy performance than other building owners.</w:t>
      </w:r>
    </w:p>
    <w:p w:rsidR="00612FD3" w:rsidRDefault="00612FD3" w:rsidP="00612FD3">
      <w:pPr>
        <w:pStyle w:val="Heading4"/>
        <w:numPr>
          <w:ilvl w:val="3"/>
          <w:numId w:val="5"/>
        </w:numPr>
        <w:rPr>
          <w:lang w:eastAsia="en-US"/>
        </w:rPr>
      </w:pPr>
      <w:r>
        <w:rPr>
          <w:lang w:eastAsia="en-US"/>
        </w:rPr>
        <w:t>Aggregate trends in the energy efficiency of commercial buildings</w:t>
      </w:r>
    </w:p>
    <w:p w:rsidR="00612FD3" w:rsidRDefault="00612FD3" w:rsidP="00612FD3">
      <w:pPr>
        <w:pStyle w:val="BodyText"/>
        <w:rPr>
          <w:lang w:eastAsia="en-US"/>
        </w:rPr>
      </w:pPr>
      <w:r>
        <w:rPr>
          <w:lang w:eastAsia="en-US"/>
        </w:rPr>
        <w:t>Another study that sheds light on actual energy performance relative to predicted outcomes compares the predicted energy savings from the change to the BCA between 2006-2010 with observed energy efficiency improvements in the commercial building stock.</w:t>
      </w:r>
    </w:p>
    <w:p w:rsidR="00612FD3" w:rsidRDefault="00612FD3" w:rsidP="00612FD3">
      <w:pPr>
        <w:pStyle w:val="BodyText"/>
        <w:rPr>
          <w:lang w:bidi="fa-IR"/>
        </w:rPr>
      </w:pPr>
      <w:r>
        <w:rPr>
          <w:lang w:bidi="fa-IR"/>
        </w:rPr>
        <w:t xml:space="preserve">In 2014, ClimateWorks Australia </w:t>
      </w:r>
      <w:r w:rsidRPr="004275FB">
        <w:rPr>
          <w:i/>
          <w:lang w:bidi="fa-IR"/>
        </w:rPr>
        <w:t>et al</w:t>
      </w:r>
      <w:r>
        <w:rPr>
          <w:lang w:bidi="fa-IR"/>
        </w:rPr>
        <w:t xml:space="preserve"> reported that the energy intensity of commercial buildings actually increased between 2002-03 and 2006-07. However, it has decreased in more recent years since the introduction of the changes to the BCA in 2006 and 2010, and due to other interventions and market responses. </w:t>
      </w:r>
    </w:p>
    <w:p w:rsidR="00612FD3" w:rsidRDefault="00612FD3" w:rsidP="00612FD3">
      <w:pPr>
        <w:pStyle w:val="BodyText"/>
        <w:rPr>
          <w:lang w:bidi="fa-IR"/>
        </w:rPr>
      </w:pPr>
      <w:r>
        <w:rPr>
          <w:lang w:bidi="fa-IR"/>
        </w:rPr>
        <w:t>Between 2007-08 to 2010-11, energy intensity fell by at least 2 per cent overall or 0.5 per cent per year. T</w:t>
      </w:r>
      <w:r w:rsidRPr="00BD63B8">
        <w:rPr>
          <w:lang w:bidi="fa-IR"/>
        </w:rPr>
        <w:t>he improvements are understood to have been driven by an increase in the energy efficiency of base buildings (regulated energy use), but offset by an increased use of equipment and appliances across tenancy occupants (non</w:t>
      </w:r>
      <w:r>
        <w:rPr>
          <w:lang w:bidi="fa-IR"/>
        </w:rPr>
        <w:noBreakHyphen/>
      </w:r>
      <w:r w:rsidRPr="00BD63B8">
        <w:rPr>
          <w:lang w:bidi="fa-IR"/>
        </w:rPr>
        <w:t>regulated energy).</w:t>
      </w:r>
      <w:r w:rsidRPr="00BD63B8">
        <w:rPr>
          <w:rStyle w:val="FootnoteReference"/>
          <w:lang w:bidi="fa-IR"/>
        </w:rPr>
        <w:footnoteReference w:id="55"/>
      </w:r>
      <w:r w:rsidRPr="00BD63B8">
        <w:rPr>
          <w:lang w:bidi="fa-IR"/>
        </w:rPr>
        <w:t xml:space="preserve"> </w:t>
      </w:r>
    </w:p>
    <w:p w:rsidR="00612FD3" w:rsidRDefault="00612FD3" w:rsidP="00612FD3">
      <w:pPr>
        <w:pStyle w:val="BodyText"/>
        <w:rPr>
          <w:lang w:eastAsia="zh-CN"/>
        </w:rPr>
      </w:pPr>
      <w:r w:rsidRPr="00BD63B8">
        <w:rPr>
          <w:lang w:eastAsia="zh-CN"/>
        </w:rPr>
        <w:t xml:space="preserve">The observed actual </w:t>
      </w:r>
      <w:r>
        <w:rPr>
          <w:lang w:eastAsia="zh-CN"/>
        </w:rPr>
        <w:t>improvement of</w:t>
      </w:r>
      <w:r w:rsidRPr="00BD63B8">
        <w:rPr>
          <w:lang w:eastAsia="zh-CN"/>
        </w:rPr>
        <w:t xml:space="preserve"> 0.5 per cent per year over this period would be the results of all factors including the rising energy price, technological improvement, other policies</w:t>
      </w:r>
      <w:r>
        <w:rPr>
          <w:rStyle w:val="FootnoteReference"/>
          <w:lang w:eastAsia="zh-CN"/>
        </w:rPr>
        <w:footnoteReference w:id="56"/>
      </w:r>
      <w:r w:rsidRPr="00BD63B8">
        <w:rPr>
          <w:lang w:eastAsia="zh-CN"/>
        </w:rPr>
        <w:t xml:space="preserve">, </w:t>
      </w:r>
      <w:r>
        <w:rPr>
          <w:lang w:eastAsia="zh-CN"/>
        </w:rPr>
        <w:t>as well as the change in the BCA in 2006</w:t>
      </w:r>
      <w:r w:rsidRPr="00BD63B8">
        <w:rPr>
          <w:lang w:eastAsia="zh-CN"/>
        </w:rPr>
        <w:t xml:space="preserve">. </w:t>
      </w:r>
      <w:r>
        <w:rPr>
          <w:lang w:eastAsia="zh-CN"/>
        </w:rPr>
        <w:t xml:space="preserve">In 2006, the BCA was amended to introduce, for the first time, requirements for energy efficiency for Class 5 to Class 9 commercial buildings. The requirements encompassed changes to lighting, glazing, building envelope insulation (wall, floor and ceiling), hot water supply services and air conditioning. </w:t>
      </w:r>
    </w:p>
    <w:p w:rsidR="00612FD3" w:rsidRPr="00A456C0" w:rsidRDefault="00612FD3" w:rsidP="00612FD3">
      <w:pPr>
        <w:pStyle w:val="BodyText"/>
        <w:rPr>
          <w:lang w:bidi="fa-IR"/>
        </w:rPr>
      </w:pPr>
      <w:r w:rsidRPr="00A456C0">
        <w:t>If we were to generously assume that two thirds of the total improvement w</w:t>
      </w:r>
      <w:r>
        <w:t>ere</w:t>
      </w:r>
      <w:r w:rsidRPr="00A456C0">
        <w:t xml:space="preserve"> due to the changes to the BCA</w:t>
      </w:r>
      <w:r w:rsidRPr="00E11109">
        <w:rPr>
          <w:rStyle w:val="FootnoteReference"/>
          <w:rFonts w:asciiTheme="minorHAnsi" w:hAnsiTheme="minorHAnsi"/>
          <w:position w:val="0"/>
          <w:sz w:val="21"/>
          <w:vertAlign w:val="superscript"/>
        </w:rPr>
        <w:footnoteReference w:id="57"/>
      </w:r>
      <w:r w:rsidRPr="00A456C0">
        <w:t>, the energy intensity improvement resulting from the BCA</w:t>
      </w:r>
      <w:r>
        <w:t xml:space="preserve"> changes in 2016 </w:t>
      </w:r>
      <w:r w:rsidRPr="00A456C0">
        <w:t xml:space="preserve">would be around </w:t>
      </w:r>
      <w:r w:rsidRPr="00A456C0">
        <w:rPr>
          <w:b/>
        </w:rPr>
        <w:t>0.33 per cent.</w:t>
      </w:r>
      <w:r>
        <w:rPr>
          <w:b/>
        </w:rPr>
        <w:t xml:space="preserve"> </w:t>
      </w:r>
    </w:p>
    <w:p w:rsidR="00612FD3" w:rsidRDefault="00612FD3" w:rsidP="00612FD3">
      <w:pPr>
        <w:pStyle w:val="BodyText"/>
        <w:rPr>
          <w:lang w:eastAsia="zh-CN"/>
        </w:rPr>
      </w:pPr>
      <w:r w:rsidRPr="003F717E">
        <w:rPr>
          <w:lang w:eastAsia="zh-CN"/>
        </w:rPr>
        <w:t>However, the implied improvement of energy intensity from pr</w:t>
      </w:r>
      <w:r>
        <w:rPr>
          <w:lang w:eastAsia="zh-CN"/>
        </w:rPr>
        <w:t xml:space="preserve">ojected energy saving was </w:t>
      </w:r>
      <w:r w:rsidRPr="004022D7">
        <w:rPr>
          <w:b/>
          <w:lang w:eastAsia="zh-CN"/>
        </w:rPr>
        <w:t>0.44 per cent per year</w:t>
      </w:r>
      <w:r w:rsidRPr="003F717E">
        <w:rPr>
          <w:lang w:eastAsia="zh-CN"/>
        </w:rPr>
        <w:t>.</w:t>
      </w:r>
      <w:r>
        <w:rPr>
          <w:rStyle w:val="FootnoteReference"/>
          <w:lang w:eastAsia="zh-CN"/>
        </w:rPr>
        <w:footnoteReference w:id="58"/>
      </w:r>
      <w:r w:rsidRPr="003F717E">
        <w:rPr>
          <w:lang w:eastAsia="zh-CN"/>
        </w:rPr>
        <w:t xml:space="preserve"> </w:t>
      </w:r>
      <w:r>
        <w:rPr>
          <w:lang w:eastAsia="zh-CN"/>
        </w:rPr>
        <w:t xml:space="preserve">This is calculated from the results of the 2006 RIS stating that the proposed changes achieve a 20 per cent reduction in total energy use across new commercial buildings (applying to 2.2 per cent of total commercial buildings stock which are new). </w:t>
      </w:r>
    </w:p>
    <w:p w:rsidR="00612FD3" w:rsidRDefault="00612FD3" w:rsidP="00612FD3">
      <w:pPr>
        <w:pStyle w:val="BodyText"/>
        <w:rPr>
          <w:lang w:eastAsia="zh-CN"/>
        </w:rPr>
      </w:pPr>
      <w:r w:rsidRPr="003F717E">
        <w:rPr>
          <w:lang w:eastAsia="zh-CN"/>
        </w:rPr>
        <w:t xml:space="preserve">This would suggest an adjustment </w:t>
      </w:r>
      <w:r>
        <w:rPr>
          <w:lang w:eastAsia="zh-CN"/>
        </w:rPr>
        <w:t xml:space="preserve">factor of approximately </w:t>
      </w:r>
      <w:r w:rsidRPr="00F00F18">
        <w:rPr>
          <w:b/>
          <w:lang w:eastAsia="zh-CN"/>
        </w:rPr>
        <w:t>0.75</w:t>
      </w:r>
      <w:r>
        <w:rPr>
          <w:lang w:eastAsia="zh-CN"/>
        </w:rPr>
        <w:t>, to account for the difference between predicted and actual impact of increasing energy efficiency stringencies</w:t>
      </w:r>
      <w:r w:rsidRPr="003F717E">
        <w:rPr>
          <w:lang w:eastAsia="zh-CN"/>
        </w:rPr>
        <w:t xml:space="preserve">. </w:t>
      </w:r>
      <w:r>
        <w:rPr>
          <w:lang w:eastAsia="zh-CN"/>
        </w:rPr>
        <w:t>However, if we attributed only 55 per cent</w:t>
      </w:r>
      <w:r>
        <w:rPr>
          <w:rStyle w:val="FootnoteReference"/>
          <w:lang w:eastAsia="zh-CN"/>
        </w:rPr>
        <w:footnoteReference w:id="59"/>
      </w:r>
      <w:r>
        <w:rPr>
          <w:lang w:eastAsia="zh-CN"/>
        </w:rPr>
        <w:t xml:space="preserve"> of the changes to the changes to the BCA in 2006 to the observed improvement of 0.5 per cent per year, the adjustment factor would be lower at 0.625. </w:t>
      </w:r>
    </w:p>
    <w:p w:rsidR="00612FD3" w:rsidRDefault="00612FD3" w:rsidP="00612FD3">
      <w:pPr>
        <w:pStyle w:val="Heading4"/>
        <w:numPr>
          <w:ilvl w:val="3"/>
          <w:numId w:val="5"/>
        </w:numPr>
        <w:rPr>
          <w:lang w:eastAsia="zh-CN"/>
        </w:rPr>
      </w:pPr>
      <w:r>
        <w:rPr>
          <w:lang w:eastAsia="zh-CN"/>
        </w:rPr>
        <w:t>Summary</w:t>
      </w:r>
    </w:p>
    <w:p w:rsidR="00612FD3" w:rsidRDefault="00612FD3" w:rsidP="00612FD3">
      <w:pPr>
        <w:pStyle w:val="BodyText"/>
        <w:rPr>
          <w:lang w:eastAsia="en-US"/>
        </w:rPr>
      </w:pPr>
      <w:r>
        <w:rPr>
          <w:lang w:eastAsia="zh-CN"/>
        </w:rPr>
        <w:t>Overall, the available (albeit limited) Australian evidence suggests that modelled energy savings are unlikely to be fully realised. This finding is consistent with a number of international studies (see appendix D for details) and</w:t>
      </w:r>
      <w:r>
        <w:rPr>
          <w:lang w:eastAsia="en-US"/>
        </w:rPr>
        <w:t xml:space="preserve"> the following observation from the NABERS </w:t>
      </w:r>
      <w:r w:rsidRPr="005D74B3">
        <w:rPr>
          <w:i/>
          <w:lang w:eastAsia="en-US"/>
        </w:rPr>
        <w:t>Guide to Building Energy Estimation</w:t>
      </w:r>
      <w:r>
        <w:rPr>
          <w:lang w:eastAsia="en-US"/>
        </w:rPr>
        <w:t>:</w:t>
      </w:r>
    </w:p>
    <w:p w:rsidR="00612FD3" w:rsidRDefault="00612FD3" w:rsidP="00612FD3">
      <w:pPr>
        <w:pStyle w:val="Quote"/>
        <w:rPr>
          <w:lang w:eastAsia="en-US"/>
        </w:rPr>
      </w:pPr>
      <w:r>
        <w:t>“Simulation is not a definitive indicator of the performance of a building, and indeed the relationship between the average performance of buildings and their simulations is very weak. Real buildings rarely reach the performance potential indicated by simulation and the gap between theoretical and actual performance is often very substantial.”</w:t>
      </w:r>
      <w:r>
        <w:rPr>
          <w:rStyle w:val="FootnoteReference"/>
        </w:rPr>
        <w:footnoteReference w:id="60"/>
      </w:r>
    </w:p>
    <w:p w:rsidR="00612FD3" w:rsidRDefault="00612FD3" w:rsidP="00612FD3">
      <w:pPr>
        <w:pStyle w:val="Heading3"/>
        <w:numPr>
          <w:ilvl w:val="2"/>
          <w:numId w:val="5"/>
        </w:numPr>
        <w:rPr>
          <w:lang w:eastAsia="zh-CN"/>
        </w:rPr>
      </w:pPr>
      <w:r>
        <w:rPr>
          <w:lang w:eastAsia="zh-CN"/>
        </w:rPr>
        <w:t>Insights from case studies</w:t>
      </w:r>
    </w:p>
    <w:p w:rsidR="00612FD3" w:rsidRDefault="00612FD3" w:rsidP="00612FD3">
      <w:pPr>
        <w:pStyle w:val="BodyText"/>
        <w:rPr>
          <w:lang w:eastAsia="en-US" w:bidi="fa-IR"/>
        </w:rPr>
      </w:pPr>
      <w:r>
        <w:rPr>
          <w:lang w:eastAsia="en-US" w:bidi="fa-IR"/>
        </w:rPr>
        <w:t xml:space="preserve">Most case studies focus on the comparison of the proposed buildings against NCC 2016 Reference building and NCC 2019 Reference building, and thus do not provide direct indication of energy savings and emission reductions resulted from the change in NCC requirement as NCC 2019 Reference and 2016 Reference buildings use difference schedules. </w:t>
      </w:r>
    </w:p>
    <w:p w:rsidR="00612FD3" w:rsidRDefault="00612FD3" w:rsidP="00612FD3">
      <w:pPr>
        <w:pStyle w:val="BodyText"/>
        <w:rPr>
          <w:lang w:eastAsia="en-US" w:bidi="fa-IR"/>
        </w:rPr>
      </w:pPr>
      <w:r>
        <w:rPr>
          <w:lang w:eastAsia="en-US" w:bidi="fa-IR"/>
        </w:rPr>
        <w:t>Nevertheless, three case studies present results for 2016 Reference building with 2019 schedules and thus enable the comparison between NCC 2019 and NCC 2016. They show that, compared to NCC 2016, NCC 2019 Reference Buildings may reduce energy consumption by 3-20 per cent (table</w:t>
      </w:r>
      <w:r w:rsidR="008925BC">
        <w:rPr>
          <w:lang w:eastAsia="en-US" w:bidi="fa-IR"/>
        </w:rPr>
        <w:t xml:space="preserve"> </w:t>
      </w:r>
      <w:r w:rsidR="008925BC">
        <w:rPr>
          <w:lang w:eastAsia="en-US" w:bidi="fa-IR"/>
        </w:rPr>
        <w:fldChar w:fldCharType="begin"/>
      </w:r>
      <w:r w:rsidR="008925BC">
        <w:rPr>
          <w:lang w:eastAsia="en-US" w:bidi="fa-IR"/>
        </w:rPr>
        <w:instrText xml:space="preserve"> REF _Caption6257 </w:instrText>
      </w:r>
      <w:r w:rsidR="008925BC">
        <w:rPr>
          <w:lang w:eastAsia="en-US" w:bidi="fa-IR"/>
        </w:rPr>
        <w:fldChar w:fldCharType="separate"/>
      </w:r>
      <w:r w:rsidR="006B79B8">
        <w:rPr>
          <w:noProof/>
        </w:rPr>
        <w:t>6</w:t>
      </w:r>
      <w:r w:rsidR="006B79B8" w:rsidRPr="00F03986">
        <w:rPr>
          <w:noProof/>
        </w:rPr>
        <w:t>.</w:t>
      </w:r>
      <w:r w:rsidR="006B79B8">
        <w:rPr>
          <w:noProof/>
        </w:rPr>
        <w:t>9</w:t>
      </w:r>
      <w:r w:rsidR="008925BC">
        <w:rPr>
          <w:lang w:eastAsia="en-US" w:bidi="fa-IR"/>
        </w:rPr>
        <w:fldChar w:fldCharType="end"/>
      </w:r>
      <w:r>
        <w:rPr>
          <w:lang w:eastAsia="en-US" w:bidi="fa-IR"/>
        </w:rPr>
        <w:t xml:space="preserve">), which is broadly consistent with the findings of the EA modelling of the DTS and give an indication of the relative stringency achieved, noting that any actual costs were often avoided by using a JV3 modelled façade. </w:t>
      </w:r>
    </w:p>
    <w:p w:rsidR="00612FD3" w:rsidRDefault="00612FD3" w:rsidP="00612FD3">
      <w:pPr>
        <w:pStyle w:val="BodyText"/>
        <w:rPr>
          <w:lang w:eastAsia="en-US" w:bidi="fa-IR"/>
        </w:rPr>
      </w:pPr>
      <w:r>
        <w:t xml:space="preserve">The case study of mid-tier office building in Nedlands, WA compares the NCC 2019 Reference building with the NCC 2016 Reference building with 2019 lighting and 2019 schedules and with 2016 lighting and 2019 schedules. The energy consumption and emissions would reduce by more than 48 per cent from the 2016 Reference building with 2016 lighting, more than doubled the reduction from the 2016 Reference building with 2019 lighting. As discussed earlier, the industry has already been adopting the LED technology even without changes to the NCC, and thus a more </w:t>
      </w:r>
      <w:r w:rsidR="00BB30D0">
        <w:t>appropriate</w:t>
      </w:r>
      <w:r>
        <w:t xml:space="preserve"> baseline for comparison</w:t>
      </w:r>
      <w:r w:rsidR="00AD5018">
        <w:t>.</w:t>
      </w:r>
    </w:p>
    <w:p w:rsidR="00612FD3" w:rsidRDefault="00612FD3" w:rsidP="00612FD3">
      <w:pPr>
        <w:pStyle w:val="Caption"/>
      </w:pPr>
      <w:r w:rsidRPr="00F03986">
        <w:fldChar w:fldCharType="begin"/>
      </w:r>
      <w:r w:rsidRPr="00F03986">
        <w:instrText xml:space="preserve"> IF 1 = 1 "</w:instrText>
      </w:r>
      <w:r w:rsidRPr="00F03986">
        <w:fldChar w:fldCharType="begin"/>
      </w:r>
      <w:r w:rsidRPr="00F03986">
        <w:instrText xml:space="preserve"> IF </w:instrText>
      </w:r>
      <w:r w:rsidR="00BA0599" w:rsidRPr="00F03986">
        <w:rPr>
          <w:noProof/>
        </w:rPr>
        <w:fldChar w:fldCharType="begin"/>
      </w:r>
      <w:r w:rsidR="00BA0599" w:rsidRPr="00F03986">
        <w:rPr>
          <w:noProof/>
        </w:rPr>
        <w:instrText xml:space="preserve"> STYLEREF "Heading 6" \l \n </w:instrText>
      </w:r>
      <w:r w:rsidR="00BA0599" w:rsidRPr="00F03986">
        <w:rPr>
          <w:noProof/>
        </w:rPr>
        <w:fldChar w:fldCharType="separate"/>
      </w:r>
      <w:r w:rsidR="00B833F1">
        <w:rPr>
          <w:noProof/>
        </w:rPr>
        <w:instrText>0</w:instrText>
      </w:r>
      <w:r w:rsidR="00BA0599" w:rsidRPr="00F03986">
        <w:rPr>
          <w:noProof/>
        </w:rPr>
        <w:fldChar w:fldCharType="end"/>
      </w:r>
      <w:r w:rsidRPr="00F03986">
        <w:instrText xml:space="preserve"> = 0 "</w:instrText>
      </w:r>
      <w:r w:rsidRPr="00F03986">
        <w:fldChar w:fldCharType="begin"/>
      </w:r>
      <w:r w:rsidRPr="00F03986">
        <w:instrText xml:space="preserve"> IF </w:instrText>
      </w:r>
      <w:r w:rsidR="00BA0599" w:rsidRPr="00F03986">
        <w:rPr>
          <w:noProof/>
        </w:rPr>
        <w:fldChar w:fldCharType="begin"/>
      </w:r>
      <w:r w:rsidR="00BA0599" w:rsidRPr="00F03986">
        <w:rPr>
          <w:noProof/>
        </w:rPr>
        <w:instrText xml:space="preserve"> STYLEREF "Heading 1" \l \n </w:instrText>
      </w:r>
      <w:r w:rsidR="00BA0599" w:rsidRPr="00F03986">
        <w:rPr>
          <w:noProof/>
        </w:rPr>
        <w:fldChar w:fldCharType="separate"/>
      </w:r>
      <w:r w:rsidR="00B833F1">
        <w:rPr>
          <w:noProof/>
        </w:rPr>
        <w:instrText>6</w:instrText>
      </w:r>
      <w:r w:rsidR="00BA0599" w:rsidRPr="00F03986">
        <w:rPr>
          <w:noProof/>
        </w:rPr>
        <w:fldChar w:fldCharType="end"/>
      </w:r>
      <w:r w:rsidRPr="00F03986">
        <w:instrText xml:space="preserve"> = 0 "" "</w:instrText>
      </w:r>
      <w:r w:rsidR="00BA0599" w:rsidRPr="00F03986">
        <w:rPr>
          <w:noProof/>
        </w:rPr>
        <w:fldChar w:fldCharType="begin"/>
      </w:r>
      <w:r w:rsidR="00BA0599" w:rsidRPr="00F03986">
        <w:rPr>
          <w:noProof/>
        </w:rPr>
        <w:instrText xml:space="preserve"> STYLEREF "Heading 1" \l \n </w:instrText>
      </w:r>
      <w:r w:rsidR="00BA0599" w:rsidRPr="00F03986">
        <w:rPr>
          <w:noProof/>
        </w:rPr>
        <w:fldChar w:fldCharType="separate"/>
      </w:r>
      <w:r w:rsidR="00B833F1">
        <w:rPr>
          <w:noProof/>
        </w:rPr>
        <w:instrText>6</w:instrText>
      </w:r>
      <w:r w:rsidR="00BA0599" w:rsidRPr="00F03986">
        <w:rPr>
          <w:noProof/>
        </w:rPr>
        <w:fldChar w:fldCharType="end"/>
      </w:r>
      <w:r w:rsidRPr="00F03986">
        <w:instrText xml:space="preserve">." </w:instrText>
      </w:r>
      <w:r w:rsidRPr="00F03986">
        <w:fldChar w:fldCharType="separate"/>
      </w:r>
      <w:r w:rsidR="00B833F1">
        <w:rPr>
          <w:noProof/>
        </w:rPr>
        <w:instrText>6</w:instrText>
      </w:r>
      <w:r w:rsidR="00B833F1" w:rsidRPr="00F03986">
        <w:rPr>
          <w:noProof/>
        </w:rPr>
        <w:instrText>.</w:instrText>
      </w:r>
      <w:r w:rsidRPr="00F03986">
        <w:fldChar w:fldCharType="end"/>
      </w:r>
      <w:r w:rsidRPr="00F03986">
        <w:instrText>" "</w:instrText>
      </w:r>
      <w:r w:rsidR="001F6F43">
        <w:fldChar w:fldCharType="begin"/>
      </w:r>
      <w:r w:rsidR="001F6F43">
        <w:instrText xml:space="preserve"> STYLEREF "Heading 6" \l \n </w:instrText>
      </w:r>
      <w:r w:rsidR="001F6F43">
        <w:fldChar w:fldCharType="separate"/>
      </w:r>
      <w:r w:rsidRPr="00F03986">
        <w:instrText>B</w:instrText>
      </w:r>
      <w:r w:rsidR="001F6F43">
        <w:fldChar w:fldCharType="end"/>
      </w:r>
      <w:r w:rsidRPr="00F03986">
        <w:instrText xml:space="preserve">." </w:instrText>
      </w:r>
      <w:r w:rsidRPr="00F03986">
        <w:fldChar w:fldCharType="separate"/>
      </w:r>
      <w:r w:rsidR="00EA42ED">
        <w:rPr>
          <w:noProof/>
        </w:rPr>
        <w:instrText>6</w:instrText>
      </w:r>
      <w:r w:rsidR="00EA42ED" w:rsidRPr="00F03986">
        <w:rPr>
          <w:noProof/>
        </w:rPr>
        <w:instrText>.</w:instrText>
      </w:r>
      <w:r w:rsidRPr="00F03986">
        <w:fldChar w:fldCharType="end"/>
      </w:r>
      <w:r w:rsidRPr="00F03986">
        <w:fldChar w:fldCharType="begin"/>
      </w:r>
      <w:r w:rsidRPr="00F03986">
        <w:instrText xml:space="preserve"> SEQ Item \* ARABIC \s </w:instrText>
      </w:r>
      <w:r w:rsidRPr="00F03986">
        <w:fldChar w:fldCharType="begin"/>
      </w:r>
      <w:r w:rsidRPr="00F03986">
        <w:instrText xml:space="preserve"> IF </w:instrText>
      </w:r>
      <w:r w:rsidR="00BA0599" w:rsidRPr="00F03986">
        <w:rPr>
          <w:noProof/>
        </w:rPr>
        <w:fldChar w:fldCharType="begin"/>
      </w:r>
      <w:r w:rsidR="00BA0599" w:rsidRPr="00F03986">
        <w:rPr>
          <w:noProof/>
        </w:rPr>
        <w:instrText xml:space="preserve"> STYLEREF "Heading 6" \l \n </w:instrText>
      </w:r>
      <w:r w:rsidR="00BA0599" w:rsidRPr="00F03986">
        <w:rPr>
          <w:noProof/>
        </w:rPr>
        <w:fldChar w:fldCharType="separate"/>
      </w:r>
      <w:r w:rsidR="00B833F1">
        <w:rPr>
          <w:noProof/>
        </w:rPr>
        <w:instrText>0</w:instrText>
      </w:r>
      <w:r w:rsidR="00BA0599" w:rsidRPr="00F03986">
        <w:rPr>
          <w:noProof/>
        </w:rPr>
        <w:fldChar w:fldCharType="end"/>
      </w:r>
      <w:r w:rsidRPr="00F03986">
        <w:instrText xml:space="preserve"> = 0 "</w:instrText>
      </w:r>
      <w:r w:rsidRPr="00F03986">
        <w:fldChar w:fldCharType="begin"/>
      </w:r>
      <w:r w:rsidRPr="00F03986">
        <w:instrText xml:space="preserve"> IF </w:instrText>
      </w:r>
      <w:r w:rsidR="00BA0599" w:rsidRPr="00F03986">
        <w:rPr>
          <w:noProof/>
        </w:rPr>
        <w:fldChar w:fldCharType="begin"/>
      </w:r>
      <w:r w:rsidR="00BA0599" w:rsidRPr="00F03986">
        <w:rPr>
          <w:noProof/>
        </w:rPr>
        <w:instrText xml:space="preserve"> STYLEREF "Heading 1" \l \n </w:instrText>
      </w:r>
      <w:r w:rsidR="00BA0599" w:rsidRPr="00F03986">
        <w:rPr>
          <w:noProof/>
        </w:rPr>
        <w:fldChar w:fldCharType="separate"/>
      </w:r>
      <w:r w:rsidR="00B833F1">
        <w:rPr>
          <w:noProof/>
        </w:rPr>
        <w:instrText>6</w:instrText>
      </w:r>
      <w:r w:rsidR="00BA0599" w:rsidRPr="00F03986">
        <w:rPr>
          <w:noProof/>
        </w:rPr>
        <w:fldChar w:fldCharType="end"/>
      </w:r>
      <w:r w:rsidRPr="00F03986">
        <w:instrText xml:space="preserve"> = 0 "" "1" </w:instrText>
      </w:r>
      <w:r w:rsidRPr="00F03986">
        <w:fldChar w:fldCharType="separate"/>
      </w:r>
      <w:r w:rsidR="00EA42ED" w:rsidRPr="00F03986">
        <w:rPr>
          <w:noProof/>
        </w:rPr>
        <w:instrText>1</w:instrText>
      </w:r>
      <w:r w:rsidRPr="00F03986">
        <w:fldChar w:fldCharType="end"/>
      </w:r>
      <w:r w:rsidRPr="00F03986">
        <w:instrText xml:space="preserve">" "6" </w:instrText>
      </w:r>
      <w:r w:rsidRPr="00F03986">
        <w:fldChar w:fldCharType="separate"/>
      </w:r>
      <w:r w:rsidR="00EA42ED" w:rsidRPr="00F03986">
        <w:rPr>
          <w:noProof/>
        </w:rPr>
        <w:instrText>1</w:instrText>
      </w:r>
      <w:r w:rsidRPr="00F03986">
        <w:fldChar w:fldCharType="end"/>
      </w:r>
      <w:r w:rsidRPr="00F03986">
        <w:instrText xml:space="preserve"> </w:instrText>
      </w:r>
      <w:r w:rsidRPr="00F03986">
        <w:fldChar w:fldCharType="separate"/>
      </w:r>
      <w:r w:rsidR="00B833F1">
        <w:rPr>
          <w:noProof/>
        </w:rPr>
        <w:instrText>9</w:instrText>
      </w:r>
      <w:r w:rsidRPr="00F03986">
        <w:fldChar w:fldCharType="end"/>
      </w:r>
      <w:r w:rsidRPr="00F03986">
        <w:instrText xml:space="preserve">" "" </w:instrText>
      </w:r>
      <w:r w:rsidRPr="00F03986">
        <w:fldChar w:fldCharType="separate"/>
      </w:r>
      <w:bookmarkStart w:id="2739" w:name="_Caption7604"/>
      <w:bookmarkStart w:id="2740" w:name="_Caption2238"/>
      <w:bookmarkStart w:id="2741" w:name="_Caption3975"/>
      <w:bookmarkStart w:id="2742" w:name="_Caption8045"/>
      <w:bookmarkStart w:id="2743" w:name="_Caption4829"/>
      <w:bookmarkStart w:id="2744" w:name="_Caption4688"/>
      <w:bookmarkStart w:id="2745" w:name="_Caption2346"/>
      <w:bookmarkStart w:id="2746" w:name="_Caption0482"/>
      <w:bookmarkStart w:id="2747" w:name="_Caption3122"/>
      <w:bookmarkStart w:id="2748" w:name="_Caption7591"/>
      <w:bookmarkStart w:id="2749" w:name="_Caption3102"/>
      <w:bookmarkStart w:id="2750" w:name="_Caption2926"/>
      <w:bookmarkStart w:id="2751" w:name="_Caption6166"/>
      <w:bookmarkStart w:id="2752" w:name="_Caption6872"/>
      <w:bookmarkStart w:id="2753" w:name="_Caption4232"/>
      <w:bookmarkStart w:id="2754" w:name="_Caption0217"/>
      <w:bookmarkStart w:id="2755" w:name="_Caption2955"/>
      <w:bookmarkStart w:id="2756" w:name="_Caption3215"/>
      <w:bookmarkStart w:id="2757" w:name="_Caption8292"/>
      <w:bookmarkStart w:id="2758" w:name="_Caption1725"/>
      <w:bookmarkStart w:id="2759" w:name="_Caption2077"/>
      <w:bookmarkStart w:id="2760" w:name="_Caption7045"/>
      <w:bookmarkStart w:id="2761" w:name="_Caption1306"/>
      <w:bookmarkStart w:id="2762" w:name="_Caption4850"/>
      <w:bookmarkStart w:id="2763" w:name="_Caption9858"/>
      <w:bookmarkStart w:id="2764" w:name="_Caption6321"/>
      <w:bookmarkStart w:id="2765" w:name="_Caption1601"/>
      <w:bookmarkStart w:id="2766" w:name="_Caption1008"/>
      <w:bookmarkStart w:id="2767" w:name="_Caption1994"/>
      <w:bookmarkStart w:id="2768" w:name="_Caption0724"/>
      <w:bookmarkStart w:id="2769" w:name="_Caption9676"/>
      <w:bookmarkStart w:id="2770" w:name="_Caption5566"/>
      <w:bookmarkStart w:id="2771" w:name="_Caption6246"/>
      <w:bookmarkStart w:id="2772" w:name="_Caption9748"/>
      <w:bookmarkStart w:id="2773" w:name="_Caption2193"/>
      <w:bookmarkStart w:id="2774" w:name="_Caption7419"/>
      <w:bookmarkStart w:id="2775" w:name="_Caption9802"/>
      <w:bookmarkStart w:id="2776" w:name="_Caption1177"/>
      <w:bookmarkStart w:id="2777" w:name="_Caption8198"/>
      <w:bookmarkStart w:id="2778" w:name="_Caption8797"/>
      <w:bookmarkStart w:id="2779" w:name="_Caption5658"/>
      <w:bookmarkStart w:id="2780" w:name="_Caption3309"/>
      <w:bookmarkStart w:id="2781" w:name="_Caption5760"/>
      <w:bookmarkStart w:id="2782" w:name="_Caption6257"/>
      <w:bookmarkStart w:id="2783" w:name="_Caption9780"/>
      <w:bookmarkStart w:id="2784" w:name="_Caption0126"/>
      <w:bookmarkStart w:id="2785" w:name="_Caption8398"/>
      <w:bookmarkStart w:id="2786" w:name="_Caption3303"/>
      <w:bookmarkStart w:id="2787" w:name="_Caption4011"/>
      <w:bookmarkStart w:id="2788" w:name="_Caption1162"/>
      <w:bookmarkStart w:id="2789" w:name="_Caption6598"/>
      <w:bookmarkStart w:id="2790" w:name="_Caption9397"/>
      <w:bookmarkStart w:id="2791" w:name="_Caption9763"/>
      <w:bookmarkStart w:id="2792" w:name="_Caption3815"/>
      <w:bookmarkStart w:id="2793" w:name="_Caption6306"/>
      <w:bookmarkStart w:id="2794" w:name="_Caption1579"/>
      <w:bookmarkStart w:id="2795" w:name="_Caption2553"/>
      <w:bookmarkStart w:id="2796" w:name="_Caption4446"/>
      <w:bookmarkStart w:id="2797" w:name="_Caption5325"/>
      <w:bookmarkStart w:id="2798" w:name="_Caption9636"/>
      <w:bookmarkStart w:id="2799" w:name="_Caption5439"/>
      <w:bookmarkStart w:id="2800" w:name="_Caption6084"/>
      <w:bookmarkStart w:id="2801" w:name="_Caption4978"/>
      <w:bookmarkStart w:id="2802" w:name="_Caption3751"/>
      <w:bookmarkStart w:id="2803" w:name="_Caption5073"/>
      <w:bookmarkStart w:id="2804" w:name="_Caption7594"/>
      <w:bookmarkStart w:id="2805" w:name="_Caption2821"/>
      <w:bookmarkStart w:id="2806" w:name="_Toc529869929"/>
      <w:bookmarkStart w:id="2807" w:name="_Toc530748425"/>
      <w:r w:rsidR="00EA42ED">
        <w:rPr>
          <w:noProof/>
        </w:rPr>
        <w:t>6</w:t>
      </w:r>
      <w:r w:rsidR="00EA42ED" w:rsidRPr="00F03986">
        <w:rPr>
          <w:noProof/>
        </w:rPr>
        <w:t>.</w:t>
      </w:r>
      <w:r w:rsidR="00EA42ED">
        <w:rPr>
          <w:noProof/>
        </w:rPr>
        <w:t>9</w:t>
      </w:r>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r w:rsidRPr="00F03986">
        <w:fldChar w:fldCharType="end"/>
      </w:r>
      <w:r w:rsidRPr="00F03986">
        <w:tab/>
        <w:t>Impact on energy consumption and emissions from case studies</w:t>
      </w:r>
      <w:bookmarkEnd w:id="2806"/>
      <w:bookmarkEnd w:id="2807"/>
    </w:p>
    <w:tbl>
      <w:tblPr>
        <w:tblW w:w="7940" w:type="dxa"/>
        <w:tblLook w:val="04A0" w:firstRow="1" w:lastRow="0" w:firstColumn="1" w:lastColumn="0" w:noHBand="0" w:noVBand="1"/>
        <w:tblCaption w:val="Table 6.9: Impact on energy consumption and emissions from case studies"/>
        <w:tblDescription w:val="This table shows the impact on energy consumption and emissions from case studies. All buildings show a fall in energy and emissions. "/>
      </w:tblPr>
      <w:tblGrid>
        <w:gridCol w:w="5349"/>
        <w:gridCol w:w="1516"/>
        <w:gridCol w:w="1075"/>
      </w:tblGrid>
      <w:tr w:rsidR="00612FD3" w:rsidRPr="00420BAE" w:rsidTr="00301B6D">
        <w:trPr>
          <w:trHeight w:val="245"/>
        </w:trPr>
        <w:tc>
          <w:tcPr>
            <w:tcW w:w="5349" w:type="dxa"/>
            <w:shd w:val="clear" w:color="auto" w:fill="6F6652"/>
            <w:noWrap/>
            <w:tcMar>
              <w:left w:w="57" w:type="dxa"/>
              <w:right w:w="57" w:type="dxa"/>
            </w:tcMar>
            <w:hideMark/>
          </w:tcPr>
          <w:p w:rsidR="00612FD3" w:rsidRPr="00420BAE" w:rsidRDefault="00612FD3" w:rsidP="00301B6D">
            <w:pPr>
              <w:pStyle w:val="TableDataColumnHeading"/>
              <w:jc w:val="left"/>
            </w:pPr>
          </w:p>
        </w:tc>
        <w:tc>
          <w:tcPr>
            <w:tcW w:w="1516" w:type="dxa"/>
            <w:shd w:val="clear" w:color="auto" w:fill="6F6652"/>
            <w:noWrap/>
            <w:tcMar>
              <w:left w:w="57" w:type="dxa"/>
              <w:right w:w="57" w:type="dxa"/>
            </w:tcMar>
            <w:hideMark/>
          </w:tcPr>
          <w:p w:rsidR="00612FD3" w:rsidRPr="00420BAE" w:rsidRDefault="00612FD3" w:rsidP="00301B6D">
            <w:pPr>
              <w:pStyle w:val="TableDataColumnHeading"/>
              <w:rPr>
                <w:rFonts w:ascii="Franklin Gothic Book" w:hAnsi="Franklin Gothic Book"/>
                <w:sz w:val="18"/>
              </w:rPr>
            </w:pPr>
            <w:r w:rsidRPr="00420BAE">
              <w:rPr>
                <w:rFonts w:ascii="Franklin Gothic Book" w:hAnsi="Franklin Gothic Book"/>
                <w:sz w:val="18"/>
              </w:rPr>
              <w:t>Energy</w:t>
            </w:r>
          </w:p>
        </w:tc>
        <w:tc>
          <w:tcPr>
            <w:tcW w:w="1075" w:type="dxa"/>
            <w:shd w:val="clear" w:color="auto" w:fill="6F6652"/>
            <w:noWrap/>
            <w:tcMar>
              <w:left w:w="57" w:type="dxa"/>
              <w:right w:w="57" w:type="dxa"/>
            </w:tcMar>
            <w:hideMark/>
          </w:tcPr>
          <w:p w:rsidR="00612FD3" w:rsidRPr="00420BAE" w:rsidRDefault="00612FD3" w:rsidP="00301B6D">
            <w:pPr>
              <w:pStyle w:val="TableDataColumnHeading"/>
              <w:rPr>
                <w:rFonts w:ascii="Franklin Gothic Book" w:hAnsi="Franklin Gothic Book"/>
                <w:sz w:val="18"/>
              </w:rPr>
            </w:pPr>
            <w:r w:rsidRPr="00420BAE">
              <w:rPr>
                <w:rFonts w:ascii="Franklin Gothic Book" w:hAnsi="Franklin Gothic Book"/>
                <w:sz w:val="18"/>
              </w:rPr>
              <w:t>Emissions</w:t>
            </w:r>
          </w:p>
        </w:tc>
      </w:tr>
      <w:tr w:rsidR="00612FD3" w:rsidRPr="00420BAE" w:rsidTr="00301B6D">
        <w:trPr>
          <w:trHeight w:val="245"/>
        </w:trPr>
        <w:tc>
          <w:tcPr>
            <w:tcW w:w="5349" w:type="dxa"/>
            <w:tcBorders>
              <w:bottom w:val="single" w:sz="8" w:space="0" w:color="FFFFFF" w:themeColor="background1"/>
            </w:tcBorders>
            <w:shd w:val="clear" w:color="auto" w:fill="auto"/>
            <w:noWrap/>
            <w:tcMar>
              <w:left w:w="57" w:type="dxa"/>
              <w:right w:w="57" w:type="dxa"/>
            </w:tcMar>
            <w:hideMark/>
          </w:tcPr>
          <w:p w:rsidR="00612FD3" w:rsidRPr="00420BAE" w:rsidRDefault="00612FD3" w:rsidP="00301B6D">
            <w:pPr>
              <w:pStyle w:val="TableUnit"/>
              <w:jc w:val="left"/>
            </w:pPr>
          </w:p>
        </w:tc>
        <w:tc>
          <w:tcPr>
            <w:tcW w:w="1516" w:type="dxa"/>
            <w:tcBorders>
              <w:bottom w:val="single" w:sz="8" w:space="0" w:color="FFFFFF" w:themeColor="background1"/>
            </w:tcBorders>
            <w:shd w:val="clear" w:color="auto" w:fill="auto"/>
            <w:noWrap/>
            <w:tcMar>
              <w:left w:w="57" w:type="dxa"/>
              <w:right w:w="57" w:type="dxa"/>
            </w:tcMar>
            <w:hideMark/>
          </w:tcPr>
          <w:p w:rsidR="00612FD3" w:rsidRPr="00420BAE" w:rsidRDefault="00612FD3" w:rsidP="00301B6D">
            <w:pPr>
              <w:pStyle w:val="TableUnit"/>
            </w:pPr>
            <w:r w:rsidRPr="00420BAE">
              <w:t>%</w:t>
            </w:r>
          </w:p>
        </w:tc>
        <w:tc>
          <w:tcPr>
            <w:tcW w:w="1075" w:type="dxa"/>
            <w:tcBorders>
              <w:bottom w:val="single" w:sz="8" w:space="0" w:color="FFFFFF" w:themeColor="background1"/>
            </w:tcBorders>
            <w:shd w:val="clear" w:color="auto" w:fill="auto"/>
            <w:noWrap/>
            <w:tcMar>
              <w:left w:w="57" w:type="dxa"/>
              <w:right w:w="57" w:type="dxa"/>
            </w:tcMar>
            <w:hideMark/>
          </w:tcPr>
          <w:p w:rsidR="00612FD3" w:rsidRPr="00420BAE" w:rsidRDefault="00612FD3" w:rsidP="00301B6D">
            <w:pPr>
              <w:pStyle w:val="TableUnit"/>
            </w:pPr>
            <w:r w:rsidRPr="00420BAE">
              <w:t>%</w:t>
            </w:r>
          </w:p>
        </w:tc>
      </w:tr>
      <w:tr w:rsidR="00612FD3" w:rsidRPr="00420BAE" w:rsidTr="00301B6D">
        <w:trPr>
          <w:trHeight w:val="245"/>
        </w:trPr>
        <w:tc>
          <w:tcPr>
            <w:tcW w:w="534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12FD3" w:rsidRPr="00420BAE" w:rsidRDefault="00612FD3" w:rsidP="00301B6D">
            <w:pPr>
              <w:pStyle w:val="TableDataEntries"/>
              <w:jc w:val="left"/>
            </w:pPr>
            <w:r w:rsidRPr="00420BAE">
              <w:t>Quay Quarter Tower</w:t>
            </w:r>
          </w:p>
        </w:tc>
        <w:tc>
          <w:tcPr>
            <w:tcW w:w="151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12FD3" w:rsidRPr="00420BAE" w:rsidRDefault="00612FD3" w:rsidP="00301B6D">
            <w:pPr>
              <w:pStyle w:val="TableDataEntries"/>
            </w:pPr>
            <w:r w:rsidRPr="00420BAE">
              <w:t>-2.4</w:t>
            </w:r>
          </w:p>
        </w:tc>
        <w:tc>
          <w:tcPr>
            <w:tcW w:w="107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12FD3" w:rsidRPr="00420BAE" w:rsidRDefault="00612FD3" w:rsidP="00301B6D">
            <w:pPr>
              <w:pStyle w:val="TableDataEntries"/>
            </w:pPr>
            <w:r w:rsidRPr="00420BAE">
              <w:t>-8.8</w:t>
            </w:r>
          </w:p>
        </w:tc>
      </w:tr>
      <w:tr w:rsidR="00612FD3" w:rsidRPr="00420BAE" w:rsidTr="00301B6D">
        <w:trPr>
          <w:trHeight w:val="245"/>
        </w:trPr>
        <w:tc>
          <w:tcPr>
            <w:tcW w:w="534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12FD3" w:rsidRPr="00420BAE" w:rsidRDefault="00612FD3" w:rsidP="00301B6D">
            <w:pPr>
              <w:pStyle w:val="TableDataEntries"/>
              <w:jc w:val="left"/>
            </w:pPr>
            <w:r w:rsidRPr="00420BAE">
              <w:t>Mid-tier Office in Nedlands</w:t>
            </w:r>
          </w:p>
        </w:tc>
        <w:tc>
          <w:tcPr>
            <w:tcW w:w="151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12FD3" w:rsidRPr="00420BAE" w:rsidRDefault="00612FD3" w:rsidP="00301B6D">
            <w:pPr>
              <w:pStyle w:val="TableDataEntries"/>
            </w:pPr>
          </w:p>
        </w:tc>
        <w:tc>
          <w:tcPr>
            <w:tcW w:w="107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12FD3" w:rsidRPr="00420BAE" w:rsidRDefault="00612FD3" w:rsidP="00301B6D">
            <w:pPr>
              <w:pStyle w:val="TableDataEntries"/>
              <w:rPr>
                <w:rFonts w:ascii="Times New Roman" w:hAnsi="Times New Roman"/>
                <w:sz w:val="20"/>
                <w:szCs w:val="20"/>
              </w:rPr>
            </w:pPr>
          </w:p>
        </w:tc>
      </w:tr>
      <w:tr w:rsidR="00612FD3" w:rsidRPr="00420BAE" w:rsidTr="00301B6D">
        <w:trPr>
          <w:trHeight w:val="245"/>
        </w:trPr>
        <w:tc>
          <w:tcPr>
            <w:tcW w:w="534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12FD3" w:rsidRPr="00420BAE" w:rsidRDefault="00612FD3" w:rsidP="00301B6D">
            <w:pPr>
              <w:pStyle w:val="TableDataEntries"/>
              <w:jc w:val="left"/>
            </w:pPr>
            <w:r w:rsidRPr="00420BAE">
              <w:t xml:space="preserve">   with 2016 lighting in 2016 Reference</w:t>
            </w:r>
          </w:p>
        </w:tc>
        <w:tc>
          <w:tcPr>
            <w:tcW w:w="151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12FD3" w:rsidRPr="00420BAE" w:rsidRDefault="00612FD3" w:rsidP="00301B6D">
            <w:pPr>
              <w:pStyle w:val="TableDataEntries"/>
            </w:pPr>
            <w:r w:rsidRPr="00420BAE">
              <w:t>-48.4</w:t>
            </w:r>
          </w:p>
        </w:tc>
        <w:tc>
          <w:tcPr>
            <w:tcW w:w="107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12FD3" w:rsidRPr="00420BAE" w:rsidRDefault="00612FD3" w:rsidP="00301B6D">
            <w:pPr>
              <w:pStyle w:val="TableDataEntries"/>
            </w:pPr>
            <w:r w:rsidRPr="00420BAE">
              <w:t>-48.4</w:t>
            </w:r>
          </w:p>
        </w:tc>
      </w:tr>
      <w:tr w:rsidR="00612FD3" w:rsidRPr="00420BAE" w:rsidTr="00301B6D">
        <w:trPr>
          <w:trHeight w:val="245"/>
        </w:trPr>
        <w:tc>
          <w:tcPr>
            <w:tcW w:w="534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12FD3" w:rsidRPr="00420BAE" w:rsidRDefault="00612FD3" w:rsidP="00301B6D">
            <w:pPr>
              <w:pStyle w:val="TableDataEntries"/>
              <w:jc w:val="left"/>
            </w:pPr>
            <w:r w:rsidRPr="00420BAE">
              <w:t xml:space="preserve">   with 2019 lighting in 2016 Reference</w:t>
            </w:r>
          </w:p>
        </w:tc>
        <w:tc>
          <w:tcPr>
            <w:tcW w:w="151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12FD3" w:rsidRPr="00420BAE" w:rsidRDefault="00612FD3" w:rsidP="00301B6D">
            <w:pPr>
              <w:pStyle w:val="TableDataEntries"/>
            </w:pPr>
            <w:r w:rsidRPr="00420BAE">
              <w:t>-20.4</w:t>
            </w:r>
          </w:p>
        </w:tc>
        <w:tc>
          <w:tcPr>
            <w:tcW w:w="107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612FD3" w:rsidRPr="00420BAE" w:rsidRDefault="00612FD3" w:rsidP="00301B6D">
            <w:pPr>
              <w:pStyle w:val="TableDataEntries"/>
            </w:pPr>
            <w:r w:rsidRPr="00420BAE">
              <w:t>-20.4</w:t>
            </w:r>
          </w:p>
        </w:tc>
      </w:tr>
      <w:tr w:rsidR="00612FD3" w:rsidRPr="00420BAE" w:rsidTr="00301B6D">
        <w:trPr>
          <w:trHeight w:val="245"/>
        </w:trPr>
        <w:tc>
          <w:tcPr>
            <w:tcW w:w="5349"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rsidR="00612FD3" w:rsidRPr="00420BAE" w:rsidRDefault="00612FD3" w:rsidP="00301B6D">
            <w:pPr>
              <w:pStyle w:val="TableDataEntries"/>
              <w:jc w:val="left"/>
            </w:pPr>
            <w:r w:rsidRPr="00420BAE">
              <w:t>Roselands Boarding House</w:t>
            </w:r>
          </w:p>
        </w:tc>
        <w:tc>
          <w:tcPr>
            <w:tcW w:w="1516"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rsidR="00612FD3" w:rsidRPr="00420BAE" w:rsidRDefault="00612FD3" w:rsidP="00301B6D">
            <w:pPr>
              <w:pStyle w:val="TableDataEntries"/>
            </w:pPr>
            <w:r w:rsidRPr="00420BAE">
              <w:t>-2.9</w:t>
            </w:r>
          </w:p>
        </w:tc>
        <w:tc>
          <w:tcPr>
            <w:tcW w:w="1075"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rsidR="00612FD3" w:rsidRPr="00420BAE" w:rsidRDefault="00612FD3" w:rsidP="00301B6D">
            <w:pPr>
              <w:pStyle w:val="TableDataEntries"/>
            </w:pPr>
            <w:r w:rsidRPr="00420BAE">
              <w:t>-2.9</w:t>
            </w:r>
          </w:p>
        </w:tc>
      </w:tr>
    </w:tbl>
    <w:p w:rsidR="00612FD3" w:rsidRDefault="00612FD3" w:rsidP="00612FD3">
      <w:pPr>
        <w:pStyle w:val="Note"/>
        <w:rPr>
          <w:lang w:bidi="fa-IR"/>
        </w:rPr>
      </w:pPr>
      <w:r w:rsidRPr="007D1B4F">
        <w:rPr>
          <w:i/>
        </w:rPr>
        <w:t>Note:</w:t>
      </w:r>
      <w:r w:rsidRPr="00E879B8">
        <w:t xml:space="preserve"> </w:t>
      </w:r>
      <w:r>
        <w:t>negative indicates reduction of energy consumption or greenhouse gas emissions from the NCC 2016 Reference Building with 2019 Schedules</w:t>
      </w:r>
    </w:p>
    <w:p w:rsidR="00612FD3" w:rsidRDefault="00612FD3" w:rsidP="00612FD3">
      <w:pPr>
        <w:pStyle w:val="Source"/>
        <w:rPr>
          <w:lang w:bidi="fa-IR"/>
        </w:rPr>
      </w:pPr>
      <w:r w:rsidRPr="00420BAE">
        <w:rPr>
          <w:i/>
          <w:lang w:bidi="fa-IR"/>
        </w:rPr>
        <w:t>Source:</w:t>
      </w:r>
      <w:r>
        <w:rPr>
          <w:lang w:bidi="fa-IR"/>
        </w:rPr>
        <w:t xml:space="preserve"> CIE construction based on case studies</w:t>
      </w:r>
    </w:p>
    <w:p w:rsidR="00612FD3" w:rsidRDefault="00612FD3" w:rsidP="00612FD3">
      <w:pPr>
        <w:pStyle w:val="Heading2"/>
        <w:numPr>
          <w:ilvl w:val="1"/>
          <w:numId w:val="5"/>
        </w:numPr>
      </w:pPr>
      <w:bookmarkStart w:id="2808" w:name="_Toc529869849"/>
      <w:bookmarkStart w:id="2809" w:name="_Toc530748567"/>
      <w:r>
        <w:t>Measuring the benefits</w:t>
      </w:r>
      <w:bookmarkEnd w:id="2808"/>
      <w:bookmarkEnd w:id="2809"/>
    </w:p>
    <w:p w:rsidR="00612FD3" w:rsidRDefault="00612FD3" w:rsidP="00612FD3">
      <w:pPr>
        <w:pStyle w:val="BodyText"/>
      </w:pPr>
      <w:r>
        <w:t xml:space="preserve">As discussed above, the main benefit of the proposed changes to Section J of the NCC are related to energy savings, including both bill savings for building owners and/or tenants and reduced GHG emissions. </w:t>
      </w:r>
    </w:p>
    <w:p w:rsidR="00612FD3" w:rsidRDefault="00612FD3" w:rsidP="00612FD3">
      <w:pPr>
        <w:pStyle w:val="BodyText"/>
      </w:pPr>
      <w:r>
        <w:t xml:space="preserve">Energy savings are based on </w:t>
      </w:r>
      <w:r w:rsidR="003F28DD">
        <w:t>EA</w:t>
      </w:r>
      <w:r>
        <w:t>’s modelled simulations. These simulations compare energy consumption under NCC 2016 (assuming voluntary uptake of LED lighting) to energy consumption for a building that complies with the proposed amendments. This could potentially overstate the energy savings for those buildings that would voluntarily exceed the minimum energy efficiency requirements of the existing NCC (beyond the use of LED lighting). However, it is difficult to take this into account in CBA; although we have some information on the extent to which buildings are choosing to exceed the NCC, it is difficult to adjust the cost side of this equation, we have no information on the approach (technologies) that are being (or will be) used (other than LED lighting). The additional cost of complying with the NCC is therefore difficult to estimate.</w:t>
      </w:r>
    </w:p>
    <w:p w:rsidR="00612FD3" w:rsidRDefault="00612FD3" w:rsidP="00612FD3">
      <w:pPr>
        <w:pStyle w:val="BodyText"/>
      </w:pPr>
      <w:r>
        <w:t>As discussed above, the available (albeit limited) evidence suggests that the relationship between simulated and actual energy consumption is relatively weak and that as low as only around half of predicted energy savings are realised in practice. The potential for engineering estimates to overstate the energy savings from improved energy efficiency is a modelling issue raised in the international literature (see appendix D for further details).</w:t>
      </w:r>
    </w:p>
    <w:p w:rsidR="00612FD3" w:rsidRDefault="00612FD3" w:rsidP="00612FD3">
      <w:pPr>
        <w:pStyle w:val="BodyText"/>
      </w:pPr>
      <w:r>
        <w:t xml:space="preserve">As in the Consultation RIS, we report benefit estimates under three alternative realisation scenarios. </w:t>
      </w:r>
    </w:p>
    <w:p w:rsidR="00612FD3" w:rsidRDefault="00612FD3" w:rsidP="00612FD3">
      <w:pPr>
        <w:pStyle w:val="ListNumber"/>
        <w:numPr>
          <w:ilvl w:val="0"/>
          <w:numId w:val="33"/>
        </w:numPr>
      </w:pPr>
      <w:r>
        <w:t xml:space="preserve">Under the first (low) realisation scenario, we assume that 50 per cent of modelled energy savings are achieved in practice. This is consistent with the relationship between modelled and actual GHG emission savings implied by the Green Star data (see chart </w:t>
      </w:r>
      <w:r>
        <w:rPr>
          <w:lang w:bidi="fa-IR"/>
        </w:rPr>
        <w:fldChar w:fldCharType="begin"/>
      </w:r>
      <w:r>
        <w:rPr>
          <w:lang w:bidi="fa-IR"/>
        </w:rPr>
        <w:instrText xml:space="preserve"> REF _Caption4124 </w:instrText>
      </w:r>
      <w:r>
        <w:rPr>
          <w:lang w:bidi="fa-IR"/>
        </w:rPr>
        <w:fldChar w:fldCharType="separate"/>
      </w:r>
      <w:r w:rsidR="006B79B8">
        <w:rPr>
          <w:noProof/>
        </w:rPr>
        <w:t>6</w:t>
      </w:r>
      <w:r w:rsidR="006B79B8" w:rsidRPr="007502CF">
        <w:rPr>
          <w:noProof/>
        </w:rPr>
        <w:t>.</w:t>
      </w:r>
      <w:r w:rsidR="006B79B8">
        <w:rPr>
          <w:noProof/>
        </w:rPr>
        <w:t>8</w:t>
      </w:r>
      <w:r>
        <w:rPr>
          <w:lang w:bidi="fa-IR"/>
        </w:rPr>
        <w:fldChar w:fldCharType="end"/>
      </w:r>
      <w:r>
        <w:rPr>
          <w:lang w:bidi="fa-IR"/>
        </w:rPr>
        <w:t xml:space="preserve"> above)</w:t>
      </w:r>
      <w:r>
        <w:t>.</w:t>
      </w:r>
    </w:p>
    <w:p w:rsidR="00612FD3" w:rsidRDefault="00612FD3" w:rsidP="00612FD3">
      <w:pPr>
        <w:pStyle w:val="ListNumber"/>
        <w:numPr>
          <w:ilvl w:val="0"/>
          <w:numId w:val="12"/>
        </w:numPr>
      </w:pPr>
      <w:r>
        <w:t>Under the second (medium) realisation scenario, we assume that 75 per cent of modelled energy savings are achieved in practice. This is consistent with the relationship between modelled and actual GHG emissions implied by the Green Star data when the five outliers have been excluded from the sample (see appendix D for further details).</w:t>
      </w:r>
    </w:p>
    <w:p w:rsidR="00612FD3" w:rsidRDefault="00612FD3" w:rsidP="00612FD3">
      <w:pPr>
        <w:pStyle w:val="ListNumber"/>
        <w:numPr>
          <w:ilvl w:val="0"/>
          <w:numId w:val="12"/>
        </w:numPr>
      </w:pPr>
      <w:r>
        <w:t>Under the third (high) realisation scenario, modelled energy savings are assumed to be achieved fully in practice.</w:t>
      </w:r>
    </w:p>
    <w:p w:rsidR="00612FD3" w:rsidRDefault="00612FD3" w:rsidP="00612FD3">
      <w:pPr>
        <w:pStyle w:val="BodyText"/>
      </w:pPr>
      <w:r>
        <w:t>We apply the above realisation rates equally to modelled changes in both electricity and gas consumption.</w:t>
      </w:r>
    </w:p>
    <w:p w:rsidR="00612FD3" w:rsidRDefault="00612FD3" w:rsidP="00612FD3">
      <w:pPr>
        <w:pStyle w:val="BodyText"/>
      </w:pPr>
      <w:r>
        <w:t>Stakeholders had mixed views on which scenario was considered more likely.</w:t>
      </w:r>
    </w:p>
    <w:p w:rsidR="00612FD3" w:rsidRDefault="00612FD3" w:rsidP="00612FD3">
      <w:pPr>
        <w:pStyle w:val="ListBullet"/>
        <w:numPr>
          <w:ilvl w:val="0"/>
          <w:numId w:val="36"/>
        </w:numPr>
      </w:pPr>
      <w:r>
        <w:t>More stakeholders (including the Property Council of Australia, Think Brick, JMG and the NSW Government) lent towards the medium scenario than the other options.</w:t>
      </w:r>
    </w:p>
    <w:p w:rsidR="00612FD3" w:rsidRDefault="00612FD3" w:rsidP="00612FD3">
      <w:pPr>
        <w:pStyle w:val="ListBullet"/>
        <w:numPr>
          <w:ilvl w:val="0"/>
          <w:numId w:val="36"/>
        </w:numPr>
      </w:pPr>
      <w:r>
        <w:t>That said, there were several stakeholders that argued the low or high scenario were more likely.</w:t>
      </w:r>
    </w:p>
    <w:p w:rsidR="00612FD3" w:rsidRDefault="00612FD3" w:rsidP="00612FD3">
      <w:pPr>
        <w:pStyle w:val="ListBullet2"/>
        <w:numPr>
          <w:ilvl w:val="1"/>
          <w:numId w:val="36"/>
        </w:numPr>
      </w:pPr>
      <w:r>
        <w:t>MBA felt the low scenario (or worse) was more likely given the poor relationship between predicted and actual outcomes.</w:t>
      </w:r>
    </w:p>
    <w:p w:rsidR="00612FD3" w:rsidRDefault="00612FD3" w:rsidP="00612FD3">
      <w:pPr>
        <w:pStyle w:val="ListBullet2"/>
        <w:numPr>
          <w:ilvl w:val="1"/>
          <w:numId w:val="36"/>
        </w:numPr>
      </w:pPr>
      <w:r>
        <w:t xml:space="preserve">Benmax Group argued that energy savings are likely to be in line with </w:t>
      </w:r>
      <w:r w:rsidR="003F28DD">
        <w:t>EA</w:t>
      </w:r>
      <w:r>
        <w:t xml:space="preserve"> modelling (i.e. the high scenario) given </w:t>
      </w:r>
      <w:r w:rsidR="003F28DD">
        <w:t>EA</w:t>
      </w:r>
      <w:r>
        <w:t>’s good reputation and that the model used (IES) is a reliable and proven product.</w:t>
      </w:r>
    </w:p>
    <w:p w:rsidR="00612FD3" w:rsidRDefault="00612FD3" w:rsidP="00612FD3">
      <w:pPr>
        <w:pStyle w:val="BodyText"/>
      </w:pPr>
      <w:r>
        <w:t>In the CBA, energy savings are valued as follows:</w:t>
      </w:r>
    </w:p>
    <w:p w:rsidR="00612FD3" w:rsidRDefault="00612FD3" w:rsidP="00612FD3">
      <w:pPr>
        <w:pStyle w:val="ListBullet"/>
        <w:numPr>
          <w:ilvl w:val="0"/>
          <w:numId w:val="36"/>
        </w:numPr>
      </w:pPr>
      <w:r>
        <w:t>Resource cost savings are valued by applying retail energy prices (see appendix H for further discussion on the approach to valuing energy savings) in each state to the change in annual consumption reported over the building’s life (assumed to be 40 years) and discounting to present value terms.</w:t>
      </w:r>
    </w:p>
    <w:p w:rsidR="00612FD3" w:rsidRDefault="00612FD3" w:rsidP="00612FD3">
      <w:pPr>
        <w:pStyle w:val="ListBullet"/>
        <w:numPr>
          <w:ilvl w:val="0"/>
          <w:numId w:val="36"/>
        </w:numPr>
      </w:pPr>
      <w:r>
        <w:t>Environmental benefits are valued by:</w:t>
      </w:r>
    </w:p>
    <w:p w:rsidR="00612FD3" w:rsidRDefault="00612FD3" w:rsidP="00612FD3">
      <w:pPr>
        <w:pStyle w:val="ListBullet2"/>
        <w:numPr>
          <w:ilvl w:val="1"/>
          <w:numId w:val="36"/>
        </w:numPr>
      </w:pPr>
      <w:r>
        <w:t>estimating the associated reduction in GHG emissions by applying estimated emissions factors to energy savings (by source); and</w:t>
      </w:r>
    </w:p>
    <w:p w:rsidR="00612FD3" w:rsidRDefault="00612FD3" w:rsidP="00612FD3">
      <w:pPr>
        <w:pStyle w:val="ListBullet2"/>
        <w:numPr>
          <w:ilvl w:val="1"/>
          <w:numId w:val="36"/>
        </w:numPr>
      </w:pPr>
      <w:r>
        <w:t>applying an estimate of the medium social cost of carbon as estimated by the US Environment Protection Agency (EPA) (see appendix H for further details).</w:t>
      </w:r>
    </w:p>
    <w:p w:rsidR="00612FD3" w:rsidRDefault="00612FD3" w:rsidP="00612FD3">
      <w:pPr>
        <w:pStyle w:val="Heading2"/>
        <w:numPr>
          <w:ilvl w:val="1"/>
          <w:numId w:val="5"/>
        </w:numPr>
        <w:rPr>
          <w:lang w:eastAsia="en-US"/>
        </w:rPr>
      </w:pPr>
      <w:bookmarkStart w:id="2810" w:name="_Toc529869850"/>
      <w:bookmarkStart w:id="2811" w:name="_Toc530748568"/>
      <w:r>
        <w:rPr>
          <w:lang w:eastAsia="en-US"/>
        </w:rPr>
        <w:t>Aggregate energy savings</w:t>
      </w:r>
      <w:bookmarkEnd w:id="2810"/>
      <w:bookmarkEnd w:id="2811"/>
    </w:p>
    <w:p w:rsidR="00612FD3" w:rsidRDefault="00612FD3" w:rsidP="00612FD3">
      <w:pPr>
        <w:pStyle w:val="BodyText"/>
        <w:rPr>
          <w:lang w:eastAsia="en-US"/>
        </w:rPr>
      </w:pPr>
      <w:r>
        <w:rPr>
          <w:lang w:eastAsia="en-US"/>
        </w:rPr>
        <w:t>Estimated aggregate electricity savings over time based under various scenarios are shown in chart </w:t>
      </w:r>
      <w:r w:rsidR="00765802">
        <w:rPr>
          <w:lang w:eastAsia="en-US"/>
        </w:rPr>
        <w:fldChar w:fldCharType="begin"/>
      </w:r>
      <w:r w:rsidR="00765802">
        <w:rPr>
          <w:lang w:eastAsia="en-US"/>
        </w:rPr>
        <w:instrText xml:space="preserve"> REF _Caption3876 </w:instrText>
      </w:r>
      <w:r w:rsidR="00765802">
        <w:rPr>
          <w:lang w:eastAsia="en-US"/>
        </w:rPr>
        <w:fldChar w:fldCharType="separate"/>
      </w:r>
      <w:r w:rsidR="006B79B8" w:rsidRPr="007502CF">
        <w:rPr>
          <w:noProof/>
        </w:rPr>
        <w:t>6.10</w:t>
      </w:r>
      <w:r w:rsidR="00765802">
        <w:rPr>
          <w:lang w:eastAsia="en-US"/>
        </w:rPr>
        <w:fldChar w:fldCharType="end"/>
      </w:r>
      <w:r>
        <w:rPr>
          <w:lang w:eastAsia="en-US"/>
        </w:rPr>
        <w:t>. In general, electricity savings increase as the stock of building constructed under the new code increases over the ten</w:t>
      </w:r>
      <w:r w:rsidR="00183D43">
        <w:rPr>
          <w:lang w:eastAsia="en-US"/>
        </w:rPr>
        <w:noBreakHyphen/>
      </w:r>
      <w:r>
        <w:rPr>
          <w:lang w:eastAsia="en-US"/>
        </w:rPr>
        <w:t xml:space="preserve">year regulatory period. Based on </w:t>
      </w:r>
      <w:r w:rsidR="003F28DD">
        <w:rPr>
          <w:lang w:eastAsia="en-US"/>
        </w:rPr>
        <w:t>EA</w:t>
      </w:r>
      <w:r>
        <w:rPr>
          <w:lang w:eastAsia="en-US"/>
        </w:rPr>
        <w:t xml:space="preserve"> modelling (i.e. the high scenario), electricity savings would level off at around 1200 G</w:t>
      </w:r>
      <w:r w:rsidR="00D97822">
        <w:rPr>
          <w:lang w:eastAsia="en-US"/>
        </w:rPr>
        <w:t>W</w:t>
      </w:r>
      <w:r>
        <w:rPr>
          <w:lang w:eastAsia="en-US"/>
        </w:rPr>
        <w:t>h per year. However, if only half of modelled electricity savings are realised (under the low scenario), electricity savings would peak at around 600 G</w:t>
      </w:r>
      <w:r w:rsidR="00D97822">
        <w:rPr>
          <w:lang w:eastAsia="en-US"/>
        </w:rPr>
        <w:t>W</w:t>
      </w:r>
      <w:r>
        <w:rPr>
          <w:lang w:eastAsia="en-US"/>
        </w:rPr>
        <w:t>h per year. Electricity savings would decline from 2058 as the buildings built during the regulatory period reach the end of their assumed 40 year lives.</w:t>
      </w:r>
    </w:p>
    <w:p w:rsidR="00612FD3" w:rsidRPr="007502CF" w:rsidRDefault="00612FD3" w:rsidP="00612FD3">
      <w:pPr>
        <w:pStyle w:val="Caption"/>
      </w:pPr>
      <w:r w:rsidRPr="007502CF">
        <w:fldChar w:fldCharType="begin"/>
      </w:r>
      <w:r w:rsidRPr="007502CF">
        <w:instrText xml:space="preserve"> IF 1 = 1 "</w:instrText>
      </w:r>
      <w:r w:rsidRPr="007502CF">
        <w:fldChar w:fldCharType="begin"/>
      </w:r>
      <w:r w:rsidRPr="007502CF">
        <w:instrText xml:space="preserve"> IF </w:instrText>
      </w:r>
      <w:r w:rsidRPr="007502CF">
        <w:rPr>
          <w:noProof/>
        </w:rPr>
        <w:fldChar w:fldCharType="begin"/>
      </w:r>
      <w:r w:rsidRPr="007502CF">
        <w:rPr>
          <w:noProof/>
        </w:rPr>
        <w:instrText xml:space="preserve"> STYLEREF "Heading 6" \l \n </w:instrText>
      </w:r>
      <w:r w:rsidRPr="007502CF">
        <w:rPr>
          <w:noProof/>
        </w:rPr>
        <w:fldChar w:fldCharType="separate"/>
      </w:r>
      <w:r w:rsidR="00B833F1">
        <w:rPr>
          <w:noProof/>
        </w:rPr>
        <w:instrText>0</w:instrText>
      </w:r>
      <w:r w:rsidRPr="007502CF">
        <w:rPr>
          <w:noProof/>
        </w:rPr>
        <w:fldChar w:fldCharType="end"/>
      </w:r>
      <w:r w:rsidRPr="007502CF">
        <w:instrText xml:space="preserve"> = 0 "</w:instrText>
      </w:r>
      <w:r w:rsidRPr="007502CF">
        <w:fldChar w:fldCharType="begin"/>
      </w:r>
      <w:r w:rsidRPr="007502CF">
        <w:instrText xml:space="preserve"> IF </w:instrText>
      </w:r>
      <w:r w:rsidRPr="007502CF">
        <w:rPr>
          <w:noProof/>
        </w:rPr>
        <w:fldChar w:fldCharType="begin"/>
      </w:r>
      <w:r w:rsidRPr="007502CF">
        <w:rPr>
          <w:noProof/>
        </w:rPr>
        <w:instrText xml:space="preserve"> STYLEREF "Heading 1" \l \n </w:instrText>
      </w:r>
      <w:r w:rsidRPr="007502CF">
        <w:rPr>
          <w:noProof/>
        </w:rPr>
        <w:fldChar w:fldCharType="separate"/>
      </w:r>
      <w:r w:rsidR="00B833F1">
        <w:rPr>
          <w:noProof/>
        </w:rPr>
        <w:instrText>6</w:instrText>
      </w:r>
      <w:r w:rsidRPr="007502CF">
        <w:rPr>
          <w:noProof/>
        </w:rPr>
        <w:fldChar w:fldCharType="end"/>
      </w:r>
      <w:r w:rsidRPr="007502CF">
        <w:instrText xml:space="preserve"> = 0 "" "</w:instrText>
      </w:r>
      <w:r w:rsidRPr="007502CF">
        <w:rPr>
          <w:noProof/>
        </w:rPr>
        <w:fldChar w:fldCharType="begin"/>
      </w:r>
      <w:r w:rsidRPr="007502CF">
        <w:rPr>
          <w:noProof/>
        </w:rPr>
        <w:instrText xml:space="preserve"> STYLEREF "Heading 1" \l \n </w:instrText>
      </w:r>
      <w:r w:rsidRPr="007502CF">
        <w:rPr>
          <w:noProof/>
        </w:rPr>
        <w:fldChar w:fldCharType="separate"/>
      </w:r>
      <w:r w:rsidR="00B833F1">
        <w:rPr>
          <w:noProof/>
        </w:rPr>
        <w:instrText>6</w:instrText>
      </w:r>
      <w:r w:rsidRPr="007502CF">
        <w:rPr>
          <w:noProof/>
        </w:rPr>
        <w:fldChar w:fldCharType="end"/>
      </w:r>
      <w:r w:rsidRPr="007502CF">
        <w:instrText xml:space="preserve">." </w:instrText>
      </w:r>
      <w:r w:rsidRPr="007502CF">
        <w:fldChar w:fldCharType="separate"/>
      </w:r>
      <w:r w:rsidR="00B833F1">
        <w:rPr>
          <w:noProof/>
        </w:rPr>
        <w:instrText>6</w:instrText>
      </w:r>
      <w:r w:rsidR="00B833F1" w:rsidRPr="007502CF">
        <w:rPr>
          <w:noProof/>
        </w:rPr>
        <w:instrText>.</w:instrText>
      </w:r>
      <w:r w:rsidRPr="007502CF">
        <w:fldChar w:fldCharType="end"/>
      </w:r>
      <w:r w:rsidRPr="007502CF">
        <w:instrText>" "</w:instrText>
      </w:r>
      <w:r w:rsidRPr="007502CF">
        <w:rPr>
          <w:noProof/>
        </w:rPr>
        <w:fldChar w:fldCharType="begin"/>
      </w:r>
      <w:r w:rsidRPr="007502CF">
        <w:rPr>
          <w:noProof/>
        </w:rPr>
        <w:instrText xml:space="preserve"> STYLEREF "Heading 6" \l \n </w:instrText>
      </w:r>
      <w:r w:rsidRPr="007502CF">
        <w:rPr>
          <w:noProof/>
        </w:rPr>
        <w:fldChar w:fldCharType="separate"/>
      </w:r>
      <w:r w:rsidRPr="007502CF">
        <w:rPr>
          <w:noProof/>
        </w:rPr>
        <w:instrText>A</w:instrText>
      </w:r>
      <w:r w:rsidRPr="007502CF">
        <w:rPr>
          <w:noProof/>
        </w:rPr>
        <w:fldChar w:fldCharType="end"/>
      </w:r>
      <w:r w:rsidRPr="007502CF">
        <w:instrText xml:space="preserve">." </w:instrText>
      </w:r>
      <w:r w:rsidRPr="007502CF">
        <w:fldChar w:fldCharType="separate"/>
      </w:r>
      <w:r w:rsidR="00EA42ED">
        <w:rPr>
          <w:noProof/>
        </w:rPr>
        <w:instrText>6</w:instrText>
      </w:r>
      <w:r w:rsidR="00EA42ED" w:rsidRPr="007502CF">
        <w:rPr>
          <w:noProof/>
        </w:rPr>
        <w:instrText>.</w:instrText>
      </w:r>
      <w:r w:rsidRPr="007502CF">
        <w:fldChar w:fldCharType="end"/>
      </w:r>
      <w:r w:rsidRPr="007502CF">
        <w:fldChar w:fldCharType="begin"/>
      </w:r>
      <w:r w:rsidRPr="007502CF">
        <w:instrText xml:space="preserve"> SEQ Item \* ARABIC \s </w:instrText>
      </w:r>
      <w:r w:rsidRPr="007502CF">
        <w:fldChar w:fldCharType="begin"/>
      </w:r>
      <w:r w:rsidRPr="007502CF">
        <w:instrText xml:space="preserve"> IF </w:instrText>
      </w:r>
      <w:r w:rsidRPr="007502CF">
        <w:rPr>
          <w:noProof/>
        </w:rPr>
        <w:fldChar w:fldCharType="begin"/>
      </w:r>
      <w:r w:rsidRPr="007502CF">
        <w:rPr>
          <w:noProof/>
        </w:rPr>
        <w:instrText xml:space="preserve"> STYLEREF "Heading 6" \l \n </w:instrText>
      </w:r>
      <w:r w:rsidRPr="007502CF">
        <w:rPr>
          <w:noProof/>
        </w:rPr>
        <w:fldChar w:fldCharType="separate"/>
      </w:r>
      <w:r w:rsidR="00B833F1">
        <w:rPr>
          <w:noProof/>
        </w:rPr>
        <w:instrText>0</w:instrText>
      </w:r>
      <w:r w:rsidRPr="007502CF">
        <w:rPr>
          <w:noProof/>
        </w:rPr>
        <w:fldChar w:fldCharType="end"/>
      </w:r>
      <w:r w:rsidRPr="007502CF">
        <w:instrText xml:space="preserve"> = 0 "</w:instrText>
      </w:r>
      <w:r w:rsidRPr="007502CF">
        <w:fldChar w:fldCharType="begin"/>
      </w:r>
      <w:r w:rsidRPr="007502CF">
        <w:instrText xml:space="preserve"> IF </w:instrText>
      </w:r>
      <w:r w:rsidRPr="007502CF">
        <w:rPr>
          <w:noProof/>
        </w:rPr>
        <w:fldChar w:fldCharType="begin"/>
      </w:r>
      <w:r w:rsidRPr="007502CF">
        <w:rPr>
          <w:noProof/>
        </w:rPr>
        <w:instrText xml:space="preserve"> STYLEREF "Heading 1" \l \n </w:instrText>
      </w:r>
      <w:r w:rsidRPr="007502CF">
        <w:rPr>
          <w:noProof/>
        </w:rPr>
        <w:fldChar w:fldCharType="separate"/>
      </w:r>
      <w:r w:rsidR="00B833F1">
        <w:rPr>
          <w:noProof/>
        </w:rPr>
        <w:instrText>6</w:instrText>
      </w:r>
      <w:r w:rsidRPr="007502CF">
        <w:rPr>
          <w:noProof/>
        </w:rPr>
        <w:fldChar w:fldCharType="end"/>
      </w:r>
      <w:r w:rsidRPr="007502CF">
        <w:instrText xml:space="preserve"> = 0 "" "1" </w:instrText>
      </w:r>
      <w:r w:rsidRPr="007502CF">
        <w:fldChar w:fldCharType="separate"/>
      </w:r>
      <w:r w:rsidR="00EA42ED" w:rsidRPr="007502CF">
        <w:rPr>
          <w:noProof/>
        </w:rPr>
        <w:instrText>1</w:instrText>
      </w:r>
      <w:r w:rsidRPr="007502CF">
        <w:fldChar w:fldCharType="end"/>
      </w:r>
      <w:r w:rsidRPr="007502CF">
        <w:instrText xml:space="preserve">" "6" </w:instrText>
      </w:r>
      <w:r w:rsidRPr="007502CF">
        <w:fldChar w:fldCharType="separate"/>
      </w:r>
      <w:r w:rsidR="00EA42ED" w:rsidRPr="007502CF">
        <w:rPr>
          <w:noProof/>
        </w:rPr>
        <w:instrText>1</w:instrText>
      </w:r>
      <w:r w:rsidRPr="007502CF">
        <w:fldChar w:fldCharType="end"/>
      </w:r>
      <w:r w:rsidRPr="007502CF">
        <w:instrText xml:space="preserve"> </w:instrText>
      </w:r>
      <w:r w:rsidRPr="007502CF">
        <w:fldChar w:fldCharType="separate"/>
      </w:r>
      <w:r w:rsidR="00B833F1">
        <w:rPr>
          <w:noProof/>
        </w:rPr>
        <w:instrText>10</w:instrText>
      </w:r>
      <w:r w:rsidRPr="007502CF">
        <w:fldChar w:fldCharType="end"/>
      </w:r>
      <w:r w:rsidRPr="007502CF">
        <w:instrText xml:space="preserve">" "" </w:instrText>
      </w:r>
      <w:r w:rsidRPr="007502CF">
        <w:fldChar w:fldCharType="separate"/>
      </w:r>
      <w:bookmarkStart w:id="2812" w:name="_Caption1475"/>
      <w:bookmarkStart w:id="2813" w:name="_Caption8260"/>
      <w:bookmarkStart w:id="2814" w:name="_Caption9500"/>
      <w:bookmarkStart w:id="2815" w:name="_Caption8564"/>
      <w:bookmarkStart w:id="2816" w:name="_Caption1826"/>
      <w:bookmarkStart w:id="2817" w:name="_Caption7437"/>
      <w:bookmarkStart w:id="2818" w:name="_Caption1078"/>
      <w:bookmarkStart w:id="2819" w:name="_Caption0247"/>
      <w:bookmarkStart w:id="2820" w:name="_Caption4216"/>
      <w:bookmarkStart w:id="2821" w:name="_Caption4695"/>
      <w:bookmarkStart w:id="2822" w:name="_Caption3809"/>
      <w:bookmarkStart w:id="2823" w:name="_Caption3191"/>
      <w:bookmarkStart w:id="2824" w:name="_Caption5713"/>
      <w:bookmarkStart w:id="2825" w:name="_Caption6644"/>
      <w:bookmarkStart w:id="2826" w:name="_Caption6562"/>
      <w:bookmarkStart w:id="2827" w:name="_Caption5519"/>
      <w:bookmarkStart w:id="2828" w:name="_Caption0524"/>
      <w:bookmarkStart w:id="2829" w:name="_Caption9598"/>
      <w:bookmarkStart w:id="2830" w:name="_Caption2997"/>
      <w:bookmarkStart w:id="2831" w:name="_Caption3876"/>
      <w:bookmarkStart w:id="2832" w:name="_Caption9447"/>
      <w:bookmarkStart w:id="2833" w:name="_Caption1291"/>
      <w:bookmarkStart w:id="2834" w:name="_Caption7801"/>
      <w:bookmarkStart w:id="2835" w:name="_Caption9041"/>
      <w:bookmarkStart w:id="2836" w:name="_Caption1582"/>
      <w:bookmarkStart w:id="2837" w:name="_Caption7363"/>
      <w:bookmarkStart w:id="2838" w:name="_Caption9144"/>
      <w:bookmarkStart w:id="2839" w:name="_Caption5509"/>
      <w:bookmarkStart w:id="2840" w:name="_Caption7274"/>
      <w:bookmarkStart w:id="2841" w:name="_Caption0179"/>
      <w:bookmarkStart w:id="2842" w:name="_Caption0118"/>
      <w:bookmarkStart w:id="2843" w:name="_Caption4197"/>
      <w:bookmarkStart w:id="2844" w:name="_Caption7808"/>
      <w:bookmarkStart w:id="2845" w:name="_Caption6102"/>
      <w:bookmarkStart w:id="2846" w:name="_Caption1795"/>
      <w:bookmarkStart w:id="2847" w:name="_Caption0390"/>
      <w:bookmarkStart w:id="2848" w:name="_Caption7711"/>
      <w:bookmarkStart w:id="2849" w:name="_Caption9484"/>
      <w:bookmarkStart w:id="2850" w:name="_Caption1734"/>
      <w:bookmarkStart w:id="2851" w:name="_Caption2789"/>
      <w:bookmarkStart w:id="2852" w:name="_Caption5198"/>
      <w:bookmarkStart w:id="2853" w:name="_Caption9366"/>
      <w:bookmarkStart w:id="2854" w:name="_Caption8294"/>
      <w:bookmarkStart w:id="2855" w:name="_Caption5552"/>
      <w:bookmarkStart w:id="2856" w:name="_Caption1093"/>
      <w:bookmarkStart w:id="2857" w:name="_Caption7322"/>
      <w:bookmarkStart w:id="2858" w:name="_Caption4902"/>
      <w:bookmarkStart w:id="2859" w:name="_Caption7826"/>
      <w:bookmarkStart w:id="2860" w:name="_Caption6055"/>
      <w:bookmarkStart w:id="2861" w:name="_Caption1203"/>
      <w:bookmarkStart w:id="2862" w:name="_Caption9084"/>
      <w:bookmarkStart w:id="2863" w:name="_Caption5537"/>
      <w:bookmarkStart w:id="2864" w:name="_Caption2675"/>
      <w:bookmarkStart w:id="2865" w:name="_Caption9502"/>
      <w:bookmarkStart w:id="2866" w:name="_Caption5746"/>
      <w:bookmarkStart w:id="2867" w:name="_Caption9019"/>
      <w:bookmarkStart w:id="2868" w:name="_Caption9058"/>
      <w:bookmarkStart w:id="2869" w:name="_Caption1507"/>
      <w:bookmarkStart w:id="2870" w:name="_Caption9969"/>
      <w:bookmarkStart w:id="2871" w:name="_Caption6446"/>
      <w:bookmarkStart w:id="2872" w:name="_Caption9273"/>
      <w:bookmarkStart w:id="2873" w:name="_Caption2100"/>
      <w:bookmarkStart w:id="2874" w:name="_Caption9104"/>
      <w:bookmarkStart w:id="2875" w:name="_Caption1548"/>
      <w:bookmarkStart w:id="2876" w:name="_Caption6863"/>
      <w:bookmarkStart w:id="2877" w:name="_Caption5464"/>
      <w:bookmarkStart w:id="2878" w:name="_Caption9845"/>
      <w:bookmarkStart w:id="2879" w:name="_Toc529869930"/>
      <w:bookmarkStart w:id="2880" w:name="_Toc530748426"/>
      <w:r w:rsidR="00EA42ED">
        <w:rPr>
          <w:noProof/>
        </w:rPr>
        <w:t>6</w:t>
      </w:r>
      <w:r w:rsidR="00EA42ED" w:rsidRPr="007502CF">
        <w:rPr>
          <w:noProof/>
        </w:rPr>
        <w:t>.</w:t>
      </w:r>
      <w:r w:rsidR="00EA42ED">
        <w:rPr>
          <w:noProof/>
        </w:rPr>
        <w:t>10</w:t>
      </w:r>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r w:rsidRPr="007502CF">
        <w:fldChar w:fldCharType="end"/>
      </w:r>
      <w:r w:rsidRPr="007502CF">
        <w:tab/>
        <w:t>Aggregate electricity savings over time</w:t>
      </w:r>
      <w:bookmarkEnd w:id="2879"/>
      <w:bookmarkEnd w:id="2880"/>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8"/>
      </w:tblGrid>
      <w:tr w:rsidR="00612FD3" w:rsidTr="00301B6D">
        <w:trPr>
          <w:cantSplit/>
        </w:trPr>
        <w:tc>
          <w:tcPr>
            <w:tcW w:w="7938" w:type="dxa"/>
            <w:shd w:val="clear" w:color="auto" w:fill="E9E8E5" w:themeFill="background2"/>
          </w:tcPr>
          <w:p w:rsidR="00612FD3" w:rsidRDefault="00A73B67" w:rsidP="00C661AF">
            <w:pPr>
              <w:pStyle w:val="Chart"/>
              <w:jc w:val="center"/>
            </w:pPr>
            <w:r w:rsidRPr="00A73B67">
              <w:rPr>
                <w:noProof/>
                <w:lang w:eastAsia="en-AU"/>
              </w:rPr>
              <w:drawing>
                <wp:inline distT="0" distB="0" distL="0" distR="0" wp14:anchorId="5852FBCA" wp14:editId="2BE57C1C">
                  <wp:extent cx="5035550" cy="2508250"/>
                  <wp:effectExtent l="0" t="0" r="0" b="0"/>
                  <wp:docPr id="20" name="Picture 20" descr="The chart shows aggregate electricity savings over time.&#10;Electricity savings would peak in 2028 and then level out until starting declining in 2058 as the buildings built during the regulatory period reach the end of their assumed 40 year lives.&#10;Electricity savings could be peaked at 1200 GWh per year under the full realisation scenario and 600 GWH under the low scenario." title="Chart 6.10 Aggregate electricity savings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35550" cy="2508250"/>
                          </a:xfrm>
                          <a:prstGeom prst="rect">
                            <a:avLst/>
                          </a:prstGeom>
                          <a:noFill/>
                          <a:ln>
                            <a:noFill/>
                          </a:ln>
                        </pic:spPr>
                      </pic:pic>
                    </a:graphicData>
                  </a:graphic>
                </wp:inline>
              </w:drawing>
            </w:r>
          </w:p>
        </w:tc>
      </w:tr>
    </w:tbl>
    <w:p w:rsidR="00612FD3" w:rsidRDefault="00612FD3" w:rsidP="00612FD3">
      <w:pPr>
        <w:pStyle w:val="Source"/>
      </w:pPr>
      <w:r>
        <w:rPr>
          <w:i/>
        </w:rPr>
        <w:t>Data source</w:t>
      </w:r>
      <w:r w:rsidRPr="00A67576">
        <w:rPr>
          <w:i/>
        </w:rPr>
        <w:t>:</w:t>
      </w:r>
      <w:r>
        <w:t xml:space="preserve"> CIE based on </w:t>
      </w:r>
      <w:r w:rsidR="003F28DD">
        <w:t>EA</w:t>
      </w:r>
      <w:r>
        <w:t xml:space="preserve"> modelling.</w:t>
      </w:r>
    </w:p>
    <w:p w:rsidR="00612FD3" w:rsidRDefault="00612FD3" w:rsidP="00612FD3">
      <w:pPr>
        <w:pStyle w:val="BodyText"/>
        <w:rPr>
          <w:lang w:eastAsia="en-US"/>
        </w:rPr>
      </w:pPr>
      <w:r>
        <w:rPr>
          <w:lang w:eastAsia="en-US"/>
        </w:rPr>
        <w:t>Aggregate electricity savings are estimated to be partly offset by increased gas consumption (chart </w:t>
      </w:r>
      <w:r w:rsidR="00765802">
        <w:rPr>
          <w:lang w:eastAsia="en-US"/>
        </w:rPr>
        <w:fldChar w:fldCharType="begin"/>
      </w:r>
      <w:r w:rsidR="00765802">
        <w:rPr>
          <w:lang w:eastAsia="en-US"/>
        </w:rPr>
        <w:instrText xml:space="preserve"> REF _Caption0794 </w:instrText>
      </w:r>
      <w:r w:rsidR="00765802">
        <w:rPr>
          <w:lang w:eastAsia="en-US"/>
        </w:rPr>
        <w:fldChar w:fldCharType="separate"/>
      </w:r>
      <w:r w:rsidR="006B79B8" w:rsidRPr="007502CF">
        <w:rPr>
          <w:noProof/>
        </w:rPr>
        <w:t>6.11</w:t>
      </w:r>
      <w:r w:rsidR="00765802">
        <w:rPr>
          <w:lang w:eastAsia="en-US"/>
        </w:rPr>
        <w:fldChar w:fldCharType="end"/>
      </w:r>
      <w:r>
        <w:rPr>
          <w:lang w:eastAsia="en-US"/>
        </w:rPr>
        <w:t>).</w:t>
      </w:r>
    </w:p>
    <w:p w:rsidR="00612FD3" w:rsidRPr="007502CF" w:rsidRDefault="00612FD3" w:rsidP="00612FD3">
      <w:pPr>
        <w:pStyle w:val="Caption"/>
      </w:pPr>
      <w:r w:rsidRPr="007502CF">
        <w:fldChar w:fldCharType="begin"/>
      </w:r>
      <w:r w:rsidRPr="007502CF">
        <w:instrText xml:space="preserve"> IF 1 = 1 "</w:instrText>
      </w:r>
      <w:r w:rsidRPr="007502CF">
        <w:fldChar w:fldCharType="begin"/>
      </w:r>
      <w:r w:rsidRPr="007502CF">
        <w:instrText xml:space="preserve"> IF </w:instrText>
      </w:r>
      <w:r w:rsidRPr="007502CF">
        <w:rPr>
          <w:noProof/>
        </w:rPr>
        <w:fldChar w:fldCharType="begin"/>
      </w:r>
      <w:r w:rsidRPr="007502CF">
        <w:rPr>
          <w:noProof/>
        </w:rPr>
        <w:instrText xml:space="preserve"> STYLEREF "Heading 6" \l \n </w:instrText>
      </w:r>
      <w:r w:rsidRPr="007502CF">
        <w:rPr>
          <w:noProof/>
        </w:rPr>
        <w:fldChar w:fldCharType="separate"/>
      </w:r>
      <w:r w:rsidR="00B833F1">
        <w:rPr>
          <w:noProof/>
        </w:rPr>
        <w:instrText>0</w:instrText>
      </w:r>
      <w:r w:rsidRPr="007502CF">
        <w:rPr>
          <w:noProof/>
        </w:rPr>
        <w:fldChar w:fldCharType="end"/>
      </w:r>
      <w:r w:rsidRPr="007502CF">
        <w:instrText xml:space="preserve"> = 0 "</w:instrText>
      </w:r>
      <w:r w:rsidRPr="007502CF">
        <w:fldChar w:fldCharType="begin"/>
      </w:r>
      <w:r w:rsidRPr="007502CF">
        <w:instrText xml:space="preserve"> IF </w:instrText>
      </w:r>
      <w:r w:rsidRPr="007502CF">
        <w:rPr>
          <w:noProof/>
        </w:rPr>
        <w:fldChar w:fldCharType="begin"/>
      </w:r>
      <w:r w:rsidRPr="007502CF">
        <w:rPr>
          <w:noProof/>
        </w:rPr>
        <w:instrText xml:space="preserve"> STYLEREF "Heading 1" \l \n </w:instrText>
      </w:r>
      <w:r w:rsidRPr="007502CF">
        <w:rPr>
          <w:noProof/>
        </w:rPr>
        <w:fldChar w:fldCharType="separate"/>
      </w:r>
      <w:r w:rsidR="00B833F1">
        <w:rPr>
          <w:noProof/>
        </w:rPr>
        <w:instrText>6</w:instrText>
      </w:r>
      <w:r w:rsidRPr="007502CF">
        <w:rPr>
          <w:noProof/>
        </w:rPr>
        <w:fldChar w:fldCharType="end"/>
      </w:r>
      <w:r w:rsidRPr="007502CF">
        <w:instrText xml:space="preserve"> = 0 "" "</w:instrText>
      </w:r>
      <w:r w:rsidRPr="007502CF">
        <w:rPr>
          <w:noProof/>
        </w:rPr>
        <w:fldChar w:fldCharType="begin"/>
      </w:r>
      <w:r w:rsidRPr="007502CF">
        <w:rPr>
          <w:noProof/>
        </w:rPr>
        <w:instrText xml:space="preserve"> STYLEREF "Heading 1" \l \n </w:instrText>
      </w:r>
      <w:r w:rsidRPr="007502CF">
        <w:rPr>
          <w:noProof/>
        </w:rPr>
        <w:fldChar w:fldCharType="separate"/>
      </w:r>
      <w:r w:rsidR="00B833F1">
        <w:rPr>
          <w:noProof/>
        </w:rPr>
        <w:instrText>6</w:instrText>
      </w:r>
      <w:r w:rsidRPr="007502CF">
        <w:rPr>
          <w:noProof/>
        </w:rPr>
        <w:fldChar w:fldCharType="end"/>
      </w:r>
      <w:r w:rsidRPr="007502CF">
        <w:instrText xml:space="preserve">." </w:instrText>
      </w:r>
      <w:r w:rsidRPr="007502CF">
        <w:fldChar w:fldCharType="separate"/>
      </w:r>
      <w:r w:rsidR="00B833F1">
        <w:rPr>
          <w:noProof/>
        </w:rPr>
        <w:instrText>6</w:instrText>
      </w:r>
      <w:r w:rsidR="00B833F1" w:rsidRPr="007502CF">
        <w:rPr>
          <w:noProof/>
        </w:rPr>
        <w:instrText>.</w:instrText>
      </w:r>
      <w:r w:rsidRPr="007502CF">
        <w:fldChar w:fldCharType="end"/>
      </w:r>
      <w:r w:rsidRPr="007502CF">
        <w:instrText>" "</w:instrText>
      </w:r>
      <w:r w:rsidRPr="007502CF">
        <w:rPr>
          <w:noProof/>
        </w:rPr>
        <w:fldChar w:fldCharType="begin"/>
      </w:r>
      <w:r w:rsidRPr="007502CF">
        <w:rPr>
          <w:noProof/>
        </w:rPr>
        <w:instrText xml:space="preserve"> STYLEREF "Heading 6" \l \n </w:instrText>
      </w:r>
      <w:r w:rsidRPr="007502CF">
        <w:rPr>
          <w:noProof/>
        </w:rPr>
        <w:fldChar w:fldCharType="separate"/>
      </w:r>
      <w:r w:rsidRPr="007502CF">
        <w:rPr>
          <w:noProof/>
        </w:rPr>
        <w:instrText>A</w:instrText>
      </w:r>
      <w:r w:rsidRPr="007502CF">
        <w:rPr>
          <w:noProof/>
        </w:rPr>
        <w:fldChar w:fldCharType="end"/>
      </w:r>
      <w:r w:rsidRPr="007502CF">
        <w:instrText xml:space="preserve">." </w:instrText>
      </w:r>
      <w:r w:rsidRPr="007502CF">
        <w:fldChar w:fldCharType="separate"/>
      </w:r>
      <w:r w:rsidR="00EA42ED">
        <w:rPr>
          <w:noProof/>
        </w:rPr>
        <w:instrText>6</w:instrText>
      </w:r>
      <w:r w:rsidR="00EA42ED" w:rsidRPr="007502CF">
        <w:rPr>
          <w:noProof/>
        </w:rPr>
        <w:instrText>.</w:instrText>
      </w:r>
      <w:r w:rsidRPr="007502CF">
        <w:fldChar w:fldCharType="end"/>
      </w:r>
      <w:r w:rsidRPr="007502CF">
        <w:fldChar w:fldCharType="begin"/>
      </w:r>
      <w:r w:rsidRPr="007502CF">
        <w:instrText xml:space="preserve"> SEQ Item \* ARABIC \s </w:instrText>
      </w:r>
      <w:r w:rsidRPr="007502CF">
        <w:fldChar w:fldCharType="begin"/>
      </w:r>
      <w:r w:rsidRPr="007502CF">
        <w:instrText xml:space="preserve"> IF </w:instrText>
      </w:r>
      <w:r w:rsidRPr="007502CF">
        <w:rPr>
          <w:noProof/>
        </w:rPr>
        <w:fldChar w:fldCharType="begin"/>
      </w:r>
      <w:r w:rsidRPr="007502CF">
        <w:rPr>
          <w:noProof/>
        </w:rPr>
        <w:instrText xml:space="preserve"> STYLEREF "Heading 6" \l \n </w:instrText>
      </w:r>
      <w:r w:rsidRPr="007502CF">
        <w:rPr>
          <w:noProof/>
        </w:rPr>
        <w:fldChar w:fldCharType="separate"/>
      </w:r>
      <w:r w:rsidR="00B833F1">
        <w:rPr>
          <w:noProof/>
        </w:rPr>
        <w:instrText>0</w:instrText>
      </w:r>
      <w:r w:rsidRPr="007502CF">
        <w:rPr>
          <w:noProof/>
        </w:rPr>
        <w:fldChar w:fldCharType="end"/>
      </w:r>
      <w:r w:rsidRPr="007502CF">
        <w:instrText xml:space="preserve"> = 0 "</w:instrText>
      </w:r>
      <w:r w:rsidRPr="007502CF">
        <w:fldChar w:fldCharType="begin"/>
      </w:r>
      <w:r w:rsidRPr="007502CF">
        <w:instrText xml:space="preserve"> IF </w:instrText>
      </w:r>
      <w:r w:rsidRPr="007502CF">
        <w:rPr>
          <w:noProof/>
        </w:rPr>
        <w:fldChar w:fldCharType="begin"/>
      </w:r>
      <w:r w:rsidRPr="007502CF">
        <w:rPr>
          <w:noProof/>
        </w:rPr>
        <w:instrText xml:space="preserve"> STYLEREF "Heading 1" \l \n </w:instrText>
      </w:r>
      <w:r w:rsidRPr="007502CF">
        <w:rPr>
          <w:noProof/>
        </w:rPr>
        <w:fldChar w:fldCharType="separate"/>
      </w:r>
      <w:r w:rsidR="00B833F1">
        <w:rPr>
          <w:noProof/>
        </w:rPr>
        <w:instrText>6</w:instrText>
      </w:r>
      <w:r w:rsidRPr="007502CF">
        <w:rPr>
          <w:noProof/>
        </w:rPr>
        <w:fldChar w:fldCharType="end"/>
      </w:r>
      <w:r w:rsidRPr="007502CF">
        <w:instrText xml:space="preserve"> = 0 "" "1" </w:instrText>
      </w:r>
      <w:r w:rsidRPr="007502CF">
        <w:fldChar w:fldCharType="separate"/>
      </w:r>
      <w:r w:rsidR="00EA42ED" w:rsidRPr="007502CF">
        <w:rPr>
          <w:noProof/>
        </w:rPr>
        <w:instrText>1</w:instrText>
      </w:r>
      <w:r w:rsidRPr="007502CF">
        <w:fldChar w:fldCharType="end"/>
      </w:r>
      <w:r w:rsidRPr="007502CF">
        <w:instrText xml:space="preserve">" "6" </w:instrText>
      </w:r>
      <w:r w:rsidRPr="007502CF">
        <w:fldChar w:fldCharType="separate"/>
      </w:r>
      <w:r w:rsidR="00EA42ED" w:rsidRPr="007502CF">
        <w:rPr>
          <w:noProof/>
        </w:rPr>
        <w:instrText>1</w:instrText>
      </w:r>
      <w:r w:rsidRPr="007502CF">
        <w:fldChar w:fldCharType="end"/>
      </w:r>
      <w:r w:rsidRPr="007502CF">
        <w:instrText xml:space="preserve"> </w:instrText>
      </w:r>
      <w:r w:rsidRPr="007502CF">
        <w:fldChar w:fldCharType="separate"/>
      </w:r>
      <w:r w:rsidR="00B833F1">
        <w:rPr>
          <w:noProof/>
        </w:rPr>
        <w:instrText>11</w:instrText>
      </w:r>
      <w:r w:rsidRPr="007502CF">
        <w:fldChar w:fldCharType="end"/>
      </w:r>
      <w:r w:rsidRPr="007502CF">
        <w:instrText xml:space="preserve">" "" </w:instrText>
      </w:r>
      <w:r w:rsidRPr="007502CF">
        <w:fldChar w:fldCharType="separate"/>
      </w:r>
      <w:bookmarkStart w:id="2881" w:name="_Caption9085"/>
      <w:bookmarkStart w:id="2882" w:name="_Caption9966"/>
      <w:bookmarkStart w:id="2883" w:name="_Caption1102"/>
      <w:bookmarkStart w:id="2884" w:name="_Caption5963"/>
      <w:bookmarkStart w:id="2885" w:name="_Caption8368"/>
      <w:bookmarkStart w:id="2886" w:name="_Caption6808"/>
      <w:bookmarkStart w:id="2887" w:name="_Caption6607"/>
      <w:bookmarkStart w:id="2888" w:name="_Caption3798"/>
      <w:bookmarkStart w:id="2889" w:name="_Caption1185"/>
      <w:bookmarkStart w:id="2890" w:name="_Caption6537"/>
      <w:bookmarkStart w:id="2891" w:name="_Caption2741"/>
      <w:bookmarkStart w:id="2892" w:name="_Caption7825"/>
      <w:bookmarkStart w:id="2893" w:name="_Caption5407"/>
      <w:bookmarkStart w:id="2894" w:name="_Caption1245"/>
      <w:bookmarkStart w:id="2895" w:name="_Caption5601"/>
      <w:bookmarkStart w:id="2896" w:name="_Caption7254"/>
      <w:bookmarkStart w:id="2897" w:name="_Caption7167"/>
      <w:bookmarkStart w:id="2898" w:name="_Caption8931"/>
      <w:bookmarkStart w:id="2899" w:name="_Caption0794"/>
      <w:bookmarkStart w:id="2900" w:name="_Caption9456"/>
      <w:bookmarkStart w:id="2901" w:name="_Caption7336"/>
      <w:bookmarkStart w:id="2902" w:name="_Caption3707"/>
      <w:bookmarkStart w:id="2903" w:name="_Caption7561"/>
      <w:bookmarkStart w:id="2904" w:name="_Caption4275"/>
      <w:bookmarkStart w:id="2905" w:name="_Caption8992"/>
      <w:bookmarkStart w:id="2906" w:name="_Caption2984"/>
      <w:bookmarkStart w:id="2907" w:name="_Caption4637"/>
      <w:bookmarkStart w:id="2908" w:name="_Caption1343"/>
      <w:bookmarkStart w:id="2909" w:name="_Caption4552"/>
      <w:bookmarkStart w:id="2910" w:name="_Caption0367"/>
      <w:bookmarkStart w:id="2911" w:name="_Caption0825"/>
      <w:bookmarkStart w:id="2912" w:name="_Caption6053"/>
      <w:bookmarkStart w:id="2913" w:name="_Caption7811"/>
      <w:bookmarkStart w:id="2914" w:name="_Caption2192"/>
      <w:bookmarkStart w:id="2915" w:name="_Caption4373"/>
      <w:bookmarkStart w:id="2916" w:name="_Caption6328"/>
      <w:bookmarkStart w:id="2917" w:name="_Caption5442"/>
      <w:bookmarkStart w:id="2918" w:name="_Caption3020"/>
      <w:bookmarkStart w:id="2919" w:name="_Caption6393"/>
      <w:bookmarkStart w:id="2920" w:name="_Caption7449"/>
      <w:bookmarkStart w:id="2921" w:name="_Caption0326"/>
      <w:bookmarkStart w:id="2922" w:name="_Caption1243"/>
      <w:bookmarkStart w:id="2923" w:name="_Caption0386"/>
      <w:bookmarkStart w:id="2924" w:name="_Caption7528"/>
      <w:bookmarkStart w:id="2925" w:name="_Caption5358"/>
      <w:bookmarkStart w:id="2926" w:name="_Caption8168"/>
      <w:bookmarkStart w:id="2927" w:name="_Caption4845"/>
      <w:bookmarkStart w:id="2928" w:name="_Caption9362"/>
      <w:bookmarkStart w:id="2929" w:name="_Caption6858"/>
      <w:bookmarkStart w:id="2930" w:name="_Caption3700"/>
      <w:bookmarkStart w:id="2931" w:name="_Caption3036"/>
      <w:bookmarkStart w:id="2932" w:name="_Caption2848"/>
      <w:bookmarkStart w:id="2933" w:name="_Caption4715"/>
      <w:bookmarkStart w:id="2934" w:name="_Caption7137"/>
      <w:bookmarkStart w:id="2935" w:name="_Caption8266"/>
      <w:bookmarkStart w:id="2936" w:name="_Caption8591"/>
      <w:bookmarkStart w:id="2937" w:name="_Caption2236"/>
      <w:bookmarkStart w:id="2938" w:name="_Caption0612"/>
      <w:bookmarkStart w:id="2939" w:name="_Caption6205"/>
      <w:bookmarkStart w:id="2940" w:name="_Caption4205"/>
      <w:bookmarkStart w:id="2941" w:name="_Caption6923"/>
      <w:bookmarkStart w:id="2942" w:name="_Caption2899"/>
      <w:bookmarkStart w:id="2943" w:name="_Caption1803"/>
      <w:bookmarkStart w:id="2944" w:name="_Caption9371"/>
      <w:bookmarkStart w:id="2945" w:name="_Caption9441"/>
      <w:bookmarkStart w:id="2946" w:name="_Caption0440"/>
      <w:bookmarkStart w:id="2947" w:name="_Caption7083"/>
      <w:bookmarkStart w:id="2948" w:name="_Toc529869931"/>
      <w:bookmarkStart w:id="2949" w:name="_Toc530748427"/>
      <w:r w:rsidR="00EA42ED">
        <w:rPr>
          <w:noProof/>
        </w:rPr>
        <w:t>6</w:t>
      </w:r>
      <w:r w:rsidR="00EA42ED" w:rsidRPr="007502CF">
        <w:rPr>
          <w:noProof/>
        </w:rPr>
        <w:t>.</w:t>
      </w:r>
      <w:r w:rsidR="00EA42ED">
        <w:rPr>
          <w:noProof/>
        </w:rPr>
        <w:t>11</w:t>
      </w:r>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r w:rsidRPr="007502CF">
        <w:fldChar w:fldCharType="end"/>
      </w:r>
      <w:r w:rsidRPr="007502CF">
        <w:tab/>
        <w:t>Aggregate gas savings over time</w:t>
      </w:r>
      <w:bookmarkEnd w:id="2948"/>
      <w:bookmarkEnd w:id="2949"/>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8"/>
      </w:tblGrid>
      <w:tr w:rsidR="00612FD3" w:rsidTr="00301B6D">
        <w:trPr>
          <w:cantSplit/>
        </w:trPr>
        <w:tc>
          <w:tcPr>
            <w:tcW w:w="7938" w:type="dxa"/>
            <w:shd w:val="clear" w:color="auto" w:fill="E9E8E5" w:themeFill="background2"/>
          </w:tcPr>
          <w:p w:rsidR="00612FD3" w:rsidRDefault="00A73B67" w:rsidP="00C661AF">
            <w:pPr>
              <w:pStyle w:val="Chart"/>
              <w:jc w:val="center"/>
            </w:pPr>
            <w:r w:rsidRPr="00A73B67">
              <w:rPr>
                <w:noProof/>
                <w:lang w:eastAsia="en-AU"/>
              </w:rPr>
              <w:drawing>
                <wp:inline distT="0" distB="0" distL="0" distR="0" wp14:anchorId="45DD63B1" wp14:editId="40BBA469">
                  <wp:extent cx="5035550" cy="2298700"/>
                  <wp:effectExtent l="0" t="0" r="0" b="0"/>
                  <wp:docPr id="26" name="Picture 26" descr="The chart shows aggregate gas savings over time. In fact gas consumption will increase (that is negative savings). It will peak in 2028 with 200 TJ more consumption (high scenario) or 100 TJ more consumption (low scenario) and level out until 2058." title="Chart 6.11: Aggregate gas savings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5">
                            <a:extLst>
                              <a:ext uri="{28A0092B-C50C-407E-A947-70E740481C1C}">
                                <a14:useLocalDpi xmlns:a14="http://schemas.microsoft.com/office/drawing/2010/main" val="0"/>
                              </a:ext>
                            </a:extLst>
                          </a:blip>
                          <a:srcRect t="8354"/>
                          <a:stretch/>
                        </pic:blipFill>
                        <pic:spPr bwMode="auto">
                          <a:xfrm>
                            <a:off x="0" y="0"/>
                            <a:ext cx="5035550" cy="22987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612FD3" w:rsidRDefault="00612FD3" w:rsidP="00612FD3">
      <w:pPr>
        <w:pStyle w:val="Source"/>
      </w:pPr>
      <w:r>
        <w:rPr>
          <w:i/>
        </w:rPr>
        <w:t>Data source</w:t>
      </w:r>
      <w:r w:rsidRPr="00A67576">
        <w:rPr>
          <w:i/>
        </w:rPr>
        <w:t>:</w:t>
      </w:r>
      <w:r>
        <w:t xml:space="preserve"> CIE based on </w:t>
      </w:r>
      <w:r w:rsidR="003F28DD">
        <w:t>EA</w:t>
      </w:r>
      <w:r>
        <w:t xml:space="preserve"> modelling.</w:t>
      </w:r>
    </w:p>
    <w:p w:rsidR="00835EE0" w:rsidRDefault="00612FD3" w:rsidP="00612FD3">
      <w:pPr>
        <w:pStyle w:val="BodyText"/>
        <w:rPr>
          <w:lang w:eastAsia="en-US"/>
        </w:rPr>
      </w:pPr>
      <w:r>
        <w:rPr>
          <w:lang w:eastAsia="en-US"/>
        </w:rPr>
        <w:t>The net impact on GHG emissions under each scenario is shown in chart </w:t>
      </w:r>
      <w:r w:rsidR="00765802">
        <w:rPr>
          <w:lang w:eastAsia="en-US"/>
        </w:rPr>
        <w:fldChar w:fldCharType="begin"/>
      </w:r>
      <w:r w:rsidR="00765802">
        <w:rPr>
          <w:lang w:eastAsia="en-US"/>
        </w:rPr>
        <w:instrText xml:space="preserve"> REF _Caption5701 </w:instrText>
      </w:r>
      <w:r w:rsidR="00765802">
        <w:rPr>
          <w:lang w:eastAsia="en-US"/>
        </w:rPr>
        <w:fldChar w:fldCharType="separate"/>
      </w:r>
      <w:r w:rsidR="006B79B8" w:rsidRPr="007502CF">
        <w:rPr>
          <w:noProof/>
        </w:rPr>
        <w:t>6.12</w:t>
      </w:r>
      <w:r w:rsidR="00765802">
        <w:rPr>
          <w:lang w:eastAsia="en-US"/>
        </w:rPr>
        <w:fldChar w:fldCharType="end"/>
      </w:r>
      <w:r>
        <w:rPr>
          <w:lang w:eastAsia="en-US"/>
        </w:rPr>
        <w:t>.</w:t>
      </w:r>
      <w:r w:rsidR="00835EE0">
        <w:rPr>
          <w:lang w:eastAsia="en-US"/>
        </w:rPr>
        <w:t xml:space="preserve"> Under all scenarios, GHG savings increase over the ten</w:t>
      </w:r>
      <w:r w:rsidR="00183D43">
        <w:rPr>
          <w:lang w:eastAsia="en-US"/>
        </w:rPr>
        <w:noBreakHyphen/>
      </w:r>
      <w:r w:rsidR="00835EE0">
        <w:rPr>
          <w:lang w:eastAsia="en-US"/>
        </w:rPr>
        <w:t>year regulatory period as the stock of buildings constructed under the new code expands. At the end of the regulatory period, GHG emissions savings declines as electricity generation is assumed to gradually become less GHG intensive. This decline would accelerate from around 2058 as the buildings built during the regulatory period reach the end of their assumed 40 year lives.</w:t>
      </w:r>
    </w:p>
    <w:p w:rsidR="008676F3" w:rsidRDefault="008676F3" w:rsidP="00E372D7">
      <w:pPr>
        <w:pStyle w:val="ListBullet"/>
        <w:rPr>
          <w:lang w:eastAsia="en-US"/>
        </w:rPr>
      </w:pPr>
      <w:r>
        <w:rPr>
          <w:lang w:eastAsia="en-US"/>
        </w:rPr>
        <w:t xml:space="preserve">Under the low scenario, annual GHG emissions savings are estimated peak at around </w:t>
      </w:r>
      <w:r w:rsidR="00183D43">
        <w:rPr>
          <w:lang w:eastAsia="en-US"/>
        </w:rPr>
        <w:t>450 </w:t>
      </w:r>
      <w:r>
        <w:rPr>
          <w:lang w:eastAsia="en-US"/>
        </w:rPr>
        <w:t>Kt of CO</w:t>
      </w:r>
      <w:r w:rsidRPr="00934D78">
        <w:rPr>
          <w:vertAlign w:val="subscript"/>
          <w:lang w:eastAsia="en-US"/>
        </w:rPr>
        <w:t>2-e</w:t>
      </w:r>
      <w:r>
        <w:rPr>
          <w:lang w:eastAsia="en-US"/>
        </w:rPr>
        <w:t>. Over the whole period, cumulative GHG emissions reduction are estimated at around 1</w:t>
      </w:r>
      <w:r w:rsidR="00183D43">
        <w:rPr>
          <w:lang w:eastAsia="en-US"/>
        </w:rPr>
        <w:t>3</w:t>
      </w:r>
      <w:r>
        <w:rPr>
          <w:lang w:eastAsia="en-US"/>
        </w:rPr>
        <w:t>.4 Mt CO</w:t>
      </w:r>
      <w:r w:rsidRPr="00934D78">
        <w:rPr>
          <w:vertAlign w:val="subscript"/>
          <w:lang w:eastAsia="en-US"/>
        </w:rPr>
        <w:t>2-e</w:t>
      </w:r>
      <w:r>
        <w:rPr>
          <w:lang w:eastAsia="en-US"/>
        </w:rPr>
        <w:t>.</w:t>
      </w:r>
    </w:p>
    <w:p w:rsidR="00835EE0" w:rsidRDefault="00835EE0" w:rsidP="00E372D7">
      <w:pPr>
        <w:pStyle w:val="ListBullet"/>
        <w:rPr>
          <w:lang w:eastAsia="en-US"/>
        </w:rPr>
      </w:pPr>
      <w:r>
        <w:rPr>
          <w:lang w:eastAsia="en-US"/>
        </w:rPr>
        <w:t xml:space="preserve">Under the </w:t>
      </w:r>
      <w:r w:rsidR="008676F3">
        <w:rPr>
          <w:lang w:eastAsia="en-US"/>
        </w:rPr>
        <w:t>medium</w:t>
      </w:r>
      <w:r>
        <w:rPr>
          <w:lang w:eastAsia="en-US"/>
        </w:rPr>
        <w:t xml:space="preserve"> scenario, </w:t>
      </w:r>
      <w:r w:rsidR="008676F3">
        <w:rPr>
          <w:lang w:eastAsia="en-US"/>
        </w:rPr>
        <w:t xml:space="preserve">annual GHG emissions savings are estimated peak at around </w:t>
      </w:r>
      <w:r w:rsidR="00183D43">
        <w:rPr>
          <w:lang w:eastAsia="en-US"/>
        </w:rPr>
        <w:t>675 </w:t>
      </w:r>
      <w:r w:rsidR="008676F3">
        <w:rPr>
          <w:lang w:eastAsia="en-US"/>
        </w:rPr>
        <w:t>Kt of CO</w:t>
      </w:r>
      <w:r w:rsidR="008676F3" w:rsidRPr="00E372D7">
        <w:rPr>
          <w:vertAlign w:val="subscript"/>
          <w:lang w:eastAsia="en-US"/>
        </w:rPr>
        <w:t>2-e</w:t>
      </w:r>
      <w:r w:rsidR="008676F3">
        <w:rPr>
          <w:lang w:eastAsia="en-US"/>
        </w:rPr>
        <w:t xml:space="preserve">. Over the whole period, cumulative GHG emissions reduction are estimated at around </w:t>
      </w:r>
      <w:r w:rsidR="00183D43">
        <w:rPr>
          <w:lang w:eastAsia="en-US"/>
        </w:rPr>
        <w:t>20</w:t>
      </w:r>
      <w:r w:rsidR="008676F3">
        <w:rPr>
          <w:lang w:eastAsia="en-US"/>
        </w:rPr>
        <w:t> Mt CO</w:t>
      </w:r>
      <w:r w:rsidR="008676F3" w:rsidRPr="00E372D7">
        <w:rPr>
          <w:vertAlign w:val="subscript"/>
          <w:lang w:eastAsia="en-US"/>
        </w:rPr>
        <w:t>2-e</w:t>
      </w:r>
      <w:r w:rsidR="008676F3">
        <w:rPr>
          <w:lang w:eastAsia="en-US"/>
        </w:rPr>
        <w:t>.</w:t>
      </w:r>
    </w:p>
    <w:p w:rsidR="00835EE0" w:rsidRDefault="00612FD3" w:rsidP="00E372D7">
      <w:pPr>
        <w:pStyle w:val="ListBullet"/>
        <w:rPr>
          <w:lang w:eastAsia="en-US"/>
        </w:rPr>
      </w:pPr>
      <w:r>
        <w:rPr>
          <w:lang w:eastAsia="en-US"/>
        </w:rPr>
        <w:t xml:space="preserve">Based on </w:t>
      </w:r>
      <w:r w:rsidR="003F28DD">
        <w:rPr>
          <w:lang w:eastAsia="en-US"/>
        </w:rPr>
        <w:t>EA</w:t>
      </w:r>
      <w:r>
        <w:rPr>
          <w:lang w:eastAsia="en-US"/>
        </w:rPr>
        <w:t xml:space="preserve"> modelling (i.e. the high scenario), avoided GHG emissions would peak at around </w:t>
      </w:r>
      <w:r w:rsidR="00183D43">
        <w:rPr>
          <w:lang w:eastAsia="en-US"/>
        </w:rPr>
        <w:t>900 </w:t>
      </w:r>
      <w:r>
        <w:rPr>
          <w:lang w:eastAsia="en-US"/>
        </w:rPr>
        <w:t>Kt of CO</w:t>
      </w:r>
      <w:r w:rsidRPr="00E372D7">
        <w:rPr>
          <w:vertAlign w:val="subscript"/>
          <w:lang w:eastAsia="en-US"/>
        </w:rPr>
        <w:t>2</w:t>
      </w:r>
      <w:r w:rsidRPr="00E372D7">
        <w:rPr>
          <w:vertAlign w:val="subscript"/>
          <w:lang w:eastAsia="en-US"/>
        </w:rPr>
        <w:noBreakHyphen/>
        <w:t>e</w:t>
      </w:r>
      <w:r>
        <w:rPr>
          <w:lang w:eastAsia="en-US"/>
        </w:rPr>
        <w:t>.</w:t>
      </w:r>
      <w:r w:rsidR="008676F3">
        <w:rPr>
          <w:lang w:eastAsia="en-US"/>
        </w:rPr>
        <w:t xml:space="preserve"> Cumulative GHG emissions reductions over the whole period are estimated at around </w:t>
      </w:r>
      <w:r w:rsidR="00183D43">
        <w:rPr>
          <w:lang w:eastAsia="en-US"/>
        </w:rPr>
        <w:t>26.7</w:t>
      </w:r>
      <w:r w:rsidR="008676F3">
        <w:rPr>
          <w:lang w:eastAsia="en-US"/>
        </w:rPr>
        <w:t xml:space="preserve"> Mt CO</w:t>
      </w:r>
      <w:r w:rsidR="008676F3" w:rsidRPr="00934D78">
        <w:rPr>
          <w:vertAlign w:val="subscript"/>
          <w:lang w:eastAsia="en-US"/>
        </w:rPr>
        <w:t>2-e</w:t>
      </w:r>
      <w:r w:rsidR="008676F3">
        <w:rPr>
          <w:lang w:eastAsia="en-US"/>
        </w:rPr>
        <w:t>.</w:t>
      </w:r>
    </w:p>
    <w:p w:rsidR="00612FD3" w:rsidRPr="00695C93" w:rsidRDefault="00612FD3" w:rsidP="00612FD3">
      <w:pPr>
        <w:pStyle w:val="Caption"/>
      </w:pPr>
      <w:r w:rsidRPr="007502CF">
        <w:fldChar w:fldCharType="begin"/>
      </w:r>
      <w:r w:rsidRPr="007502CF">
        <w:instrText xml:space="preserve"> IF 1 = 1 "</w:instrText>
      </w:r>
      <w:r w:rsidRPr="007502CF">
        <w:fldChar w:fldCharType="begin"/>
      </w:r>
      <w:r w:rsidRPr="007502CF">
        <w:instrText xml:space="preserve"> IF </w:instrText>
      </w:r>
      <w:r w:rsidRPr="007502CF">
        <w:rPr>
          <w:noProof/>
        </w:rPr>
        <w:fldChar w:fldCharType="begin"/>
      </w:r>
      <w:r w:rsidRPr="007502CF">
        <w:rPr>
          <w:noProof/>
        </w:rPr>
        <w:instrText xml:space="preserve"> STYLEREF "Heading 6" \l \n </w:instrText>
      </w:r>
      <w:r w:rsidRPr="007502CF">
        <w:rPr>
          <w:noProof/>
        </w:rPr>
        <w:fldChar w:fldCharType="separate"/>
      </w:r>
      <w:r w:rsidR="00B833F1">
        <w:rPr>
          <w:noProof/>
        </w:rPr>
        <w:instrText>0</w:instrText>
      </w:r>
      <w:r w:rsidRPr="007502CF">
        <w:rPr>
          <w:noProof/>
        </w:rPr>
        <w:fldChar w:fldCharType="end"/>
      </w:r>
      <w:r w:rsidRPr="007502CF">
        <w:instrText xml:space="preserve"> = 0 "</w:instrText>
      </w:r>
      <w:r w:rsidRPr="007502CF">
        <w:fldChar w:fldCharType="begin"/>
      </w:r>
      <w:r w:rsidRPr="007502CF">
        <w:instrText xml:space="preserve"> IF </w:instrText>
      </w:r>
      <w:r w:rsidRPr="007502CF">
        <w:rPr>
          <w:noProof/>
        </w:rPr>
        <w:fldChar w:fldCharType="begin"/>
      </w:r>
      <w:r w:rsidRPr="007502CF">
        <w:rPr>
          <w:noProof/>
        </w:rPr>
        <w:instrText xml:space="preserve"> STYLEREF "Heading 1" \l \n </w:instrText>
      </w:r>
      <w:r w:rsidRPr="007502CF">
        <w:rPr>
          <w:noProof/>
        </w:rPr>
        <w:fldChar w:fldCharType="separate"/>
      </w:r>
      <w:r w:rsidR="00B833F1">
        <w:rPr>
          <w:noProof/>
        </w:rPr>
        <w:instrText>6</w:instrText>
      </w:r>
      <w:r w:rsidRPr="007502CF">
        <w:rPr>
          <w:noProof/>
        </w:rPr>
        <w:fldChar w:fldCharType="end"/>
      </w:r>
      <w:r w:rsidRPr="007502CF">
        <w:instrText xml:space="preserve"> = 0 "" "</w:instrText>
      </w:r>
      <w:r w:rsidRPr="007502CF">
        <w:rPr>
          <w:noProof/>
        </w:rPr>
        <w:fldChar w:fldCharType="begin"/>
      </w:r>
      <w:r w:rsidRPr="007502CF">
        <w:rPr>
          <w:noProof/>
        </w:rPr>
        <w:instrText xml:space="preserve"> STYLEREF "Heading 1" \l \n </w:instrText>
      </w:r>
      <w:r w:rsidRPr="007502CF">
        <w:rPr>
          <w:noProof/>
        </w:rPr>
        <w:fldChar w:fldCharType="separate"/>
      </w:r>
      <w:r w:rsidR="00B833F1">
        <w:rPr>
          <w:noProof/>
        </w:rPr>
        <w:instrText>6</w:instrText>
      </w:r>
      <w:r w:rsidRPr="007502CF">
        <w:rPr>
          <w:noProof/>
        </w:rPr>
        <w:fldChar w:fldCharType="end"/>
      </w:r>
      <w:r w:rsidRPr="007502CF">
        <w:instrText xml:space="preserve">." </w:instrText>
      </w:r>
      <w:r w:rsidRPr="007502CF">
        <w:fldChar w:fldCharType="separate"/>
      </w:r>
      <w:r w:rsidR="00B833F1">
        <w:rPr>
          <w:noProof/>
        </w:rPr>
        <w:instrText>6</w:instrText>
      </w:r>
      <w:r w:rsidR="00B833F1" w:rsidRPr="007502CF">
        <w:rPr>
          <w:noProof/>
        </w:rPr>
        <w:instrText>.</w:instrText>
      </w:r>
      <w:r w:rsidRPr="007502CF">
        <w:fldChar w:fldCharType="end"/>
      </w:r>
      <w:r w:rsidRPr="007502CF">
        <w:instrText>" "</w:instrText>
      </w:r>
      <w:r w:rsidRPr="007502CF">
        <w:rPr>
          <w:noProof/>
        </w:rPr>
        <w:fldChar w:fldCharType="begin"/>
      </w:r>
      <w:r w:rsidRPr="007502CF">
        <w:rPr>
          <w:noProof/>
        </w:rPr>
        <w:instrText xml:space="preserve"> STYLEREF "Heading 6" \l \n </w:instrText>
      </w:r>
      <w:r w:rsidRPr="007502CF">
        <w:rPr>
          <w:noProof/>
        </w:rPr>
        <w:fldChar w:fldCharType="separate"/>
      </w:r>
      <w:r w:rsidRPr="007502CF">
        <w:rPr>
          <w:noProof/>
        </w:rPr>
        <w:instrText>A</w:instrText>
      </w:r>
      <w:r w:rsidRPr="007502CF">
        <w:rPr>
          <w:noProof/>
        </w:rPr>
        <w:fldChar w:fldCharType="end"/>
      </w:r>
      <w:r w:rsidRPr="007502CF">
        <w:instrText xml:space="preserve">." </w:instrText>
      </w:r>
      <w:r w:rsidRPr="007502CF">
        <w:fldChar w:fldCharType="separate"/>
      </w:r>
      <w:r w:rsidR="00EA42ED">
        <w:rPr>
          <w:noProof/>
        </w:rPr>
        <w:instrText>6</w:instrText>
      </w:r>
      <w:r w:rsidR="00EA42ED" w:rsidRPr="007502CF">
        <w:rPr>
          <w:noProof/>
        </w:rPr>
        <w:instrText>.</w:instrText>
      </w:r>
      <w:r w:rsidRPr="007502CF">
        <w:fldChar w:fldCharType="end"/>
      </w:r>
      <w:r w:rsidRPr="007502CF">
        <w:fldChar w:fldCharType="begin"/>
      </w:r>
      <w:r w:rsidRPr="007502CF">
        <w:instrText xml:space="preserve"> SEQ Item \* ARABIC \s </w:instrText>
      </w:r>
      <w:r w:rsidRPr="007502CF">
        <w:fldChar w:fldCharType="begin"/>
      </w:r>
      <w:r w:rsidRPr="007502CF">
        <w:instrText xml:space="preserve"> IF </w:instrText>
      </w:r>
      <w:r w:rsidRPr="007502CF">
        <w:rPr>
          <w:noProof/>
        </w:rPr>
        <w:fldChar w:fldCharType="begin"/>
      </w:r>
      <w:r w:rsidRPr="007502CF">
        <w:rPr>
          <w:noProof/>
        </w:rPr>
        <w:instrText xml:space="preserve"> STYLEREF "Heading 6" \l \n </w:instrText>
      </w:r>
      <w:r w:rsidRPr="007502CF">
        <w:rPr>
          <w:noProof/>
        </w:rPr>
        <w:fldChar w:fldCharType="separate"/>
      </w:r>
      <w:r w:rsidR="00B833F1">
        <w:rPr>
          <w:noProof/>
        </w:rPr>
        <w:instrText>0</w:instrText>
      </w:r>
      <w:r w:rsidRPr="007502CF">
        <w:rPr>
          <w:noProof/>
        </w:rPr>
        <w:fldChar w:fldCharType="end"/>
      </w:r>
      <w:r w:rsidRPr="007502CF">
        <w:instrText xml:space="preserve"> = 0 "</w:instrText>
      </w:r>
      <w:r w:rsidRPr="007502CF">
        <w:fldChar w:fldCharType="begin"/>
      </w:r>
      <w:r w:rsidRPr="007502CF">
        <w:instrText xml:space="preserve"> IF </w:instrText>
      </w:r>
      <w:r w:rsidRPr="007502CF">
        <w:rPr>
          <w:noProof/>
        </w:rPr>
        <w:fldChar w:fldCharType="begin"/>
      </w:r>
      <w:r w:rsidRPr="007502CF">
        <w:rPr>
          <w:noProof/>
        </w:rPr>
        <w:instrText xml:space="preserve"> STYLEREF "Heading 1" \l \n </w:instrText>
      </w:r>
      <w:r w:rsidRPr="007502CF">
        <w:rPr>
          <w:noProof/>
        </w:rPr>
        <w:fldChar w:fldCharType="separate"/>
      </w:r>
      <w:r w:rsidR="00B833F1">
        <w:rPr>
          <w:noProof/>
        </w:rPr>
        <w:instrText>6</w:instrText>
      </w:r>
      <w:r w:rsidRPr="007502CF">
        <w:rPr>
          <w:noProof/>
        </w:rPr>
        <w:fldChar w:fldCharType="end"/>
      </w:r>
      <w:r w:rsidRPr="007502CF">
        <w:instrText xml:space="preserve"> = 0 "" "1" </w:instrText>
      </w:r>
      <w:r w:rsidRPr="007502CF">
        <w:fldChar w:fldCharType="separate"/>
      </w:r>
      <w:r w:rsidR="00EA42ED" w:rsidRPr="007502CF">
        <w:rPr>
          <w:noProof/>
        </w:rPr>
        <w:instrText>1</w:instrText>
      </w:r>
      <w:r w:rsidRPr="007502CF">
        <w:fldChar w:fldCharType="end"/>
      </w:r>
      <w:r w:rsidRPr="007502CF">
        <w:instrText xml:space="preserve">" "6" </w:instrText>
      </w:r>
      <w:r w:rsidRPr="007502CF">
        <w:fldChar w:fldCharType="separate"/>
      </w:r>
      <w:r w:rsidR="00EA42ED" w:rsidRPr="007502CF">
        <w:rPr>
          <w:noProof/>
        </w:rPr>
        <w:instrText>1</w:instrText>
      </w:r>
      <w:r w:rsidRPr="007502CF">
        <w:fldChar w:fldCharType="end"/>
      </w:r>
      <w:r w:rsidRPr="007502CF">
        <w:instrText xml:space="preserve"> </w:instrText>
      </w:r>
      <w:r w:rsidRPr="007502CF">
        <w:fldChar w:fldCharType="separate"/>
      </w:r>
      <w:r w:rsidR="00B833F1">
        <w:rPr>
          <w:noProof/>
        </w:rPr>
        <w:instrText>12</w:instrText>
      </w:r>
      <w:r w:rsidRPr="007502CF">
        <w:fldChar w:fldCharType="end"/>
      </w:r>
      <w:r w:rsidRPr="007502CF">
        <w:instrText xml:space="preserve">" "" </w:instrText>
      </w:r>
      <w:r w:rsidRPr="007502CF">
        <w:fldChar w:fldCharType="separate"/>
      </w:r>
      <w:bookmarkStart w:id="2950" w:name="_Caption7884"/>
      <w:bookmarkStart w:id="2951" w:name="_Caption0993"/>
      <w:bookmarkStart w:id="2952" w:name="_Caption0236"/>
      <w:bookmarkStart w:id="2953" w:name="_Caption1624"/>
      <w:bookmarkStart w:id="2954" w:name="_Caption1480"/>
      <w:bookmarkStart w:id="2955" w:name="_Caption5994"/>
      <w:bookmarkStart w:id="2956" w:name="_Caption0946"/>
      <w:bookmarkStart w:id="2957" w:name="_Caption6803"/>
      <w:bookmarkStart w:id="2958" w:name="_Caption1505"/>
      <w:bookmarkStart w:id="2959" w:name="_Caption7856"/>
      <w:bookmarkStart w:id="2960" w:name="_Caption3128"/>
      <w:bookmarkStart w:id="2961" w:name="_Caption3593"/>
      <w:bookmarkStart w:id="2962" w:name="_Caption9212"/>
      <w:bookmarkStart w:id="2963" w:name="_Caption1271"/>
      <w:bookmarkStart w:id="2964" w:name="_Caption4279"/>
      <w:bookmarkStart w:id="2965" w:name="_Caption8002"/>
      <w:bookmarkStart w:id="2966" w:name="_Caption1226"/>
      <w:bookmarkStart w:id="2967" w:name="_Caption5701"/>
      <w:bookmarkStart w:id="2968" w:name="_Caption5774"/>
      <w:bookmarkStart w:id="2969" w:name="_Caption1486"/>
      <w:bookmarkStart w:id="2970" w:name="_Caption1635"/>
      <w:bookmarkStart w:id="2971" w:name="_Caption2893"/>
      <w:bookmarkStart w:id="2972" w:name="_Caption2754"/>
      <w:bookmarkStart w:id="2973" w:name="_Caption2476"/>
      <w:bookmarkStart w:id="2974" w:name="_Caption7832"/>
      <w:bookmarkStart w:id="2975" w:name="_Caption2063"/>
      <w:bookmarkStart w:id="2976" w:name="_Caption7053"/>
      <w:bookmarkStart w:id="2977" w:name="_Caption3840"/>
      <w:bookmarkStart w:id="2978" w:name="_Caption2121"/>
      <w:bookmarkStart w:id="2979" w:name="_Caption6588"/>
      <w:bookmarkStart w:id="2980" w:name="_Caption8703"/>
      <w:bookmarkStart w:id="2981" w:name="_Caption5479"/>
      <w:bookmarkStart w:id="2982" w:name="_Caption3900"/>
      <w:bookmarkStart w:id="2983" w:name="_Caption7360"/>
      <w:bookmarkStart w:id="2984" w:name="_Caption3983"/>
      <w:bookmarkStart w:id="2985" w:name="_Caption9760"/>
      <w:bookmarkStart w:id="2986" w:name="_Caption8701"/>
      <w:bookmarkStart w:id="2987" w:name="_Caption8346"/>
      <w:bookmarkStart w:id="2988" w:name="_Caption3163"/>
      <w:bookmarkStart w:id="2989" w:name="_Caption4071"/>
      <w:bookmarkStart w:id="2990" w:name="_Caption3410"/>
      <w:bookmarkStart w:id="2991" w:name="_Caption2941"/>
      <w:bookmarkStart w:id="2992" w:name="_Caption9584"/>
      <w:bookmarkStart w:id="2993" w:name="_Caption4441"/>
      <w:bookmarkStart w:id="2994" w:name="_Caption7914"/>
      <w:bookmarkStart w:id="2995" w:name="_Caption8133"/>
      <w:bookmarkStart w:id="2996" w:name="_Caption4368"/>
      <w:bookmarkStart w:id="2997" w:name="_Caption6238"/>
      <w:bookmarkStart w:id="2998" w:name="_Caption9635"/>
      <w:bookmarkStart w:id="2999" w:name="_Caption3553"/>
      <w:bookmarkStart w:id="3000" w:name="_Caption8524"/>
      <w:bookmarkStart w:id="3001" w:name="_Caption4329"/>
      <w:bookmarkStart w:id="3002" w:name="_Caption7757"/>
      <w:bookmarkStart w:id="3003" w:name="_Caption6710"/>
      <w:bookmarkStart w:id="3004" w:name="_Caption7264"/>
      <w:bookmarkStart w:id="3005" w:name="_Caption5052"/>
      <w:bookmarkStart w:id="3006" w:name="_Caption4612"/>
      <w:bookmarkStart w:id="3007" w:name="_Caption1654"/>
      <w:bookmarkStart w:id="3008" w:name="_Caption0079"/>
      <w:bookmarkStart w:id="3009" w:name="_Caption9118"/>
      <w:bookmarkStart w:id="3010" w:name="_Caption8363"/>
      <w:bookmarkStart w:id="3011" w:name="_Caption4115"/>
      <w:bookmarkStart w:id="3012" w:name="_Caption9214"/>
      <w:bookmarkStart w:id="3013" w:name="_Caption9931"/>
      <w:bookmarkStart w:id="3014" w:name="_Caption0382"/>
      <w:bookmarkStart w:id="3015" w:name="_Caption6849"/>
      <w:bookmarkStart w:id="3016" w:name="_Caption7686"/>
      <w:bookmarkStart w:id="3017" w:name="_Toc529869932"/>
      <w:bookmarkStart w:id="3018" w:name="_Toc530748428"/>
      <w:r w:rsidR="00EA42ED">
        <w:rPr>
          <w:noProof/>
        </w:rPr>
        <w:t>6</w:t>
      </w:r>
      <w:r w:rsidR="00EA42ED" w:rsidRPr="007502CF">
        <w:rPr>
          <w:noProof/>
        </w:rPr>
        <w:t>.</w:t>
      </w:r>
      <w:r w:rsidR="00EA42ED">
        <w:rPr>
          <w:noProof/>
        </w:rPr>
        <w:t>12</w:t>
      </w:r>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r w:rsidRPr="007502CF">
        <w:fldChar w:fldCharType="end"/>
      </w:r>
      <w:r w:rsidRPr="007502CF">
        <w:tab/>
        <w:t>Aggregate GHG emissions savings over time</w:t>
      </w:r>
      <w:bookmarkEnd w:id="3017"/>
      <w:bookmarkEnd w:id="3018"/>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8"/>
      </w:tblGrid>
      <w:tr w:rsidR="00612FD3" w:rsidTr="00301B6D">
        <w:trPr>
          <w:cantSplit/>
        </w:trPr>
        <w:tc>
          <w:tcPr>
            <w:tcW w:w="7938" w:type="dxa"/>
            <w:shd w:val="clear" w:color="auto" w:fill="E9E8E5" w:themeFill="background2"/>
          </w:tcPr>
          <w:p w:rsidR="00612FD3" w:rsidRDefault="00A73B67" w:rsidP="00C661AF">
            <w:pPr>
              <w:pStyle w:val="Chart"/>
              <w:jc w:val="center"/>
            </w:pPr>
            <w:r w:rsidRPr="00A73B67">
              <w:rPr>
                <w:noProof/>
                <w:lang w:eastAsia="en-AU"/>
              </w:rPr>
              <w:drawing>
                <wp:inline distT="0" distB="0" distL="0" distR="0" wp14:anchorId="7BBD7AE9" wp14:editId="1EBDB3F9">
                  <wp:extent cx="5035550" cy="2508250"/>
                  <wp:effectExtent l="0" t="0" r="0" b="0"/>
                  <wp:docPr id="27" name="Picture 27" descr="The chart shows aggregate GHG emissions reduction over time by three realisation scenarios. At the peak in 2028, total reduction will be 900 kt CO2-e (high scenario) and 450 kt CO2-e (low scenario)." title="Chart 6.12 Aggregate GHG emissions savings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35550" cy="2508250"/>
                          </a:xfrm>
                          <a:prstGeom prst="rect">
                            <a:avLst/>
                          </a:prstGeom>
                          <a:noFill/>
                          <a:ln>
                            <a:noFill/>
                          </a:ln>
                        </pic:spPr>
                      </pic:pic>
                    </a:graphicData>
                  </a:graphic>
                </wp:inline>
              </w:drawing>
            </w:r>
          </w:p>
        </w:tc>
      </w:tr>
    </w:tbl>
    <w:p w:rsidR="003822C2" w:rsidRDefault="00612FD3" w:rsidP="00C661AF">
      <w:pPr>
        <w:pStyle w:val="Source"/>
      </w:pPr>
      <w:r>
        <w:rPr>
          <w:i/>
        </w:rPr>
        <w:t>Data source</w:t>
      </w:r>
      <w:r w:rsidRPr="00A67576">
        <w:rPr>
          <w:i/>
        </w:rPr>
        <w:t>:</w:t>
      </w:r>
      <w:r>
        <w:t xml:space="preserve"> CIE based on </w:t>
      </w:r>
      <w:r w:rsidR="003F28DD">
        <w:t>EA</w:t>
      </w:r>
      <w:r>
        <w:t xml:space="preserve"> modelling.</w:t>
      </w:r>
    </w:p>
    <w:p w:rsidR="005206C5" w:rsidRDefault="005206C5" w:rsidP="005206C5">
      <w:pPr>
        <w:pStyle w:val="BodyText"/>
        <w:rPr>
          <w:lang w:eastAsia="en-US"/>
        </w:rPr>
      </w:pPr>
      <w:r>
        <w:rPr>
          <w:lang w:eastAsia="en-US"/>
        </w:rPr>
        <w:t xml:space="preserve">These emissions reductions will </w:t>
      </w:r>
      <w:r w:rsidR="009460BD">
        <w:rPr>
          <w:lang w:eastAsia="en-US"/>
        </w:rPr>
        <w:t xml:space="preserve">make a modest </w:t>
      </w:r>
      <w:r>
        <w:rPr>
          <w:lang w:eastAsia="en-US"/>
        </w:rPr>
        <w:t>contribut</w:t>
      </w:r>
      <w:r w:rsidR="009460BD">
        <w:rPr>
          <w:lang w:eastAsia="en-US"/>
        </w:rPr>
        <w:t>ion towards</w:t>
      </w:r>
      <w:r>
        <w:rPr>
          <w:lang w:eastAsia="en-US"/>
        </w:rPr>
        <w:t xml:space="preserve"> Australia’s 2030 emissions targets of 26</w:t>
      </w:r>
      <w:r>
        <w:rPr>
          <w:lang w:eastAsia="en-US"/>
        </w:rPr>
        <w:noBreakHyphen/>
        <w:t xml:space="preserve">28 per cent below </w:t>
      </w:r>
      <w:r w:rsidR="009460BD">
        <w:rPr>
          <w:lang w:eastAsia="en-US"/>
        </w:rPr>
        <w:t xml:space="preserve">2005 levels in 2030 </w:t>
      </w:r>
      <w:r>
        <w:rPr>
          <w:lang w:eastAsia="en-US"/>
        </w:rPr>
        <w:t xml:space="preserve">under the Paris Agreement. Cumulative emissions reductions </w:t>
      </w:r>
      <w:r w:rsidR="009460BD">
        <w:rPr>
          <w:lang w:eastAsia="en-US"/>
        </w:rPr>
        <w:t>of 868</w:t>
      </w:r>
      <w:r w:rsidR="009460BD">
        <w:rPr>
          <w:lang w:eastAsia="en-US"/>
        </w:rPr>
        <w:noBreakHyphen/>
        <w:t>934 Mt CO</w:t>
      </w:r>
      <w:r w:rsidR="009460BD" w:rsidRPr="002B3C0A">
        <w:rPr>
          <w:vertAlign w:val="subscript"/>
          <w:lang w:eastAsia="en-US"/>
        </w:rPr>
        <w:t>2</w:t>
      </w:r>
      <w:r w:rsidR="009460BD" w:rsidRPr="002B3C0A">
        <w:rPr>
          <w:vertAlign w:val="subscript"/>
          <w:lang w:eastAsia="en-US"/>
        </w:rPr>
        <w:noBreakHyphen/>
        <w:t>e</w:t>
      </w:r>
      <w:r w:rsidR="009460BD">
        <w:rPr>
          <w:lang w:eastAsia="en-US"/>
        </w:rPr>
        <w:t xml:space="preserve"> are required to meet the 26 per cent and 28 per cent targets respectively.</w:t>
      </w:r>
      <w:r w:rsidR="009460BD">
        <w:rPr>
          <w:rStyle w:val="FootnoteReference"/>
          <w:lang w:eastAsia="en-US"/>
        </w:rPr>
        <w:footnoteReference w:id="61"/>
      </w:r>
      <w:r w:rsidR="009460BD">
        <w:rPr>
          <w:lang w:eastAsia="en-US"/>
        </w:rPr>
        <w:t xml:space="preserve"> The proposed changes to the NCC would contribute less than 1 per cent towards these targets (table </w:t>
      </w:r>
      <w:r w:rsidR="009460BD">
        <w:rPr>
          <w:lang w:eastAsia="en-US"/>
        </w:rPr>
        <w:fldChar w:fldCharType="begin"/>
      </w:r>
      <w:r w:rsidR="009460BD">
        <w:rPr>
          <w:lang w:eastAsia="en-US"/>
        </w:rPr>
        <w:instrText xml:space="preserve"> REF _Caption2653 </w:instrText>
      </w:r>
      <w:r w:rsidR="009460BD">
        <w:rPr>
          <w:lang w:eastAsia="en-US"/>
        </w:rPr>
        <w:fldChar w:fldCharType="separate"/>
      </w:r>
      <w:r w:rsidR="006B79B8">
        <w:rPr>
          <w:noProof/>
        </w:rPr>
        <w:t>6</w:t>
      </w:r>
      <w:r w:rsidR="006B79B8" w:rsidRPr="004E29E3">
        <w:rPr>
          <w:noProof/>
        </w:rPr>
        <w:t>.</w:t>
      </w:r>
      <w:r w:rsidR="006B79B8">
        <w:rPr>
          <w:noProof/>
        </w:rPr>
        <w:t>13</w:t>
      </w:r>
      <w:r w:rsidR="009460BD">
        <w:rPr>
          <w:lang w:eastAsia="en-US"/>
        </w:rPr>
        <w:fldChar w:fldCharType="end"/>
      </w:r>
      <w:r w:rsidR="009460BD">
        <w:rPr>
          <w:lang w:eastAsia="en-US"/>
        </w:rPr>
        <w:t>).</w:t>
      </w:r>
    </w:p>
    <w:p w:rsidR="005206C5" w:rsidRPr="004E29E3" w:rsidRDefault="005206C5" w:rsidP="005206C5">
      <w:pPr>
        <w:pStyle w:val="Caption"/>
      </w:pPr>
      <w:r w:rsidRPr="004E29E3">
        <w:fldChar w:fldCharType="begin"/>
      </w:r>
      <w:r w:rsidRPr="004E29E3">
        <w:instrText xml:space="preserve"> IF 1 = 1 "</w:instrText>
      </w:r>
      <w:r w:rsidRPr="004E29E3">
        <w:fldChar w:fldCharType="begin"/>
      </w:r>
      <w:r w:rsidRPr="004E29E3">
        <w:instrText xml:space="preserve"> IF </w:instrText>
      </w:r>
      <w:r w:rsidRPr="004E29E3">
        <w:rPr>
          <w:noProof/>
        </w:rPr>
        <w:fldChar w:fldCharType="begin"/>
      </w:r>
      <w:r w:rsidRPr="004E29E3">
        <w:rPr>
          <w:noProof/>
        </w:rPr>
        <w:instrText xml:space="preserve"> STYLEREF "Heading 6" \l \n </w:instrText>
      </w:r>
      <w:r w:rsidRPr="004E29E3">
        <w:rPr>
          <w:noProof/>
        </w:rPr>
        <w:fldChar w:fldCharType="separate"/>
      </w:r>
      <w:r w:rsidR="00B833F1">
        <w:rPr>
          <w:noProof/>
        </w:rPr>
        <w:instrText>0</w:instrText>
      </w:r>
      <w:r w:rsidRPr="004E29E3">
        <w:rPr>
          <w:noProof/>
        </w:rPr>
        <w:fldChar w:fldCharType="end"/>
      </w:r>
      <w:r w:rsidRPr="004E29E3">
        <w:instrText xml:space="preserve"> = 0 "</w:instrText>
      </w:r>
      <w:r w:rsidRPr="004E29E3">
        <w:fldChar w:fldCharType="begin"/>
      </w:r>
      <w:r w:rsidRPr="004E29E3">
        <w:instrText xml:space="preserve"> IF </w:instrText>
      </w:r>
      <w:r w:rsidRPr="004E29E3">
        <w:rPr>
          <w:noProof/>
        </w:rPr>
        <w:fldChar w:fldCharType="begin"/>
      </w:r>
      <w:r w:rsidRPr="004E29E3">
        <w:rPr>
          <w:noProof/>
        </w:rPr>
        <w:instrText xml:space="preserve"> STYLEREF "Heading 1" \l \n </w:instrText>
      </w:r>
      <w:r w:rsidRPr="004E29E3">
        <w:rPr>
          <w:noProof/>
        </w:rPr>
        <w:fldChar w:fldCharType="separate"/>
      </w:r>
      <w:r w:rsidR="00B833F1">
        <w:rPr>
          <w:noProof/>
        </w:rPr>
        <w:instrText>6</w:instrText>
      </w:r>
      <w:r w:rsidRPr="004E29E3">
        <w:rPr>
          <w:noProof/>
        </w:rPr>
        <w:fldChar w:fldCharType="end"/>
      </w:r>
      <w:r w:rsidRPr="004E29E3">
        <w:instrText xml:space="preserve"> = 0 "" "</w:instrText>
      </w:r>
      <w:r w:rsidRPr="004E29E3">
        <w:rPr>
          <w:noProof/>
        </w:rPr>
        <w:fldChar w:fldCharType="begin"/>
      </w:r>
      <w:r w:rsidRPr="004E29E3">
        <w:rPr>
          <w:noProof/>
        </w:rPr>
        <w:instrText xml:space="preserve"> STYLEREF "Heading 1" \l \n </w:instrText>
      </w:r>
      <w:r w:rsidRPr="004E29E3">
        <w:rPr>
          <w:noProof/>
        </w:rPr>
        <w:fldChar w:fldCharType="separate"/>
      </w:r>
      <w:r w:rsidR="00B833F1">
        <w:rPr>
          <w:noProof/>
        </w:rPr>
        <w:instrText>6</w:instrText>
      </w:r>
      <w:r w:rsidRPr="004E29E3">
        <w:rPr>
          <w:noProof/>
        </w:rPr>
        <w:fldChar w:fldCharType="end"/>
      </w:r>
      <w:r w:rsidRPr="004E29E3">
        <w:instrText xml:space="preserve">." </w:instrText>
      </w:r>
      <w:r w:rsidRPr="004E29E3">
        <w:fldChar w:fldCharType="separate"/>
      </w:r>
      <w:r w:rsidR="00B833F1">
        <w:rPr>
          <w:noProof/>
        </w:rPr>
        <w:instrText>6</w:instrText>
      </w:r>
      <w:r w:rsidR="00B833F1" w:rsidRPr="004E29E3">
        <w:rPr>
          <w:noProof/>
        </w:rPr>
        <w:instrText>.</w:instrText>
      </w:r>
      <w:r w:rsidRPr="004E29E3">
        <w:fldChar w:fldCharType="end"/>
      </w:r>
      <w:r w:rsidRPr="004E29E3">
        <w:instrText>" "</w:instrText>
      </w:r>
      <w:r w:rsidR="001F6F43">
        <w:fldChar w:fldCharType="begin"/>
      </w:r>
      <w:r w:rsidR="001F6F43">
        <w:instrText xml:space="preserve"> STYLEREF "Heading 6" \l \n </w:instrText>
      </w:r>
      <w:r w:rsidR="001F6F43">
        <w:fldChar w:fldCharType="separate"/>
      </w:r>
      <w:r w:rsidRPr="004E29E3">
        <w:instrText>B</w:instrText>
      </w:r>
      <w:r w:rsidR="001F6F43">
        <w:fldChar w:fldCharType="end"/>
      </w:r>
      <w:r w:rsidRPr="004E29E3">
        <w:instrText xml:space="preserve">." </w:instrText>
      </w:r>
      <w:r w:rsidRPr="004E29E3">
        <w:fldChar w:fldCharType="separate"/>
      </w:r>
      <w:r w:rsidR="00EA42ED">
        <w:rPr>
          <w:noProof/>
        </w:rPr>
        <w:instrText>6</w:instrText>
      </w:r>
      <w:r w:rsidR="00EA42ED" w:rsidRPr="004E29E3">
        <w:rPr>
          <w:noProof/>
        </w:rPr>
        <w:instrText>.</w:instrText>
      </w:r>
      <w:r w:rsidRPr="004E29E3">
        <w:fldChar w:fldCharType="end"/>
      </w:r>
      <w:r w:rsidRPr="004E29E3">
        <w:fldChar w:fldCharType="begin"/>
      </w:r>
      <w:r w:rsidRPr="004E29E3">
        <w:instrText xml:space="preserve"> SEQ Item \* ARABIC \s </w:instrText>
      </w:r>
      <w:r w:rsidRPr="004E29E3">
        <w:fldChar w:fldCharType="begin"/>
      </w:r>
      <w:r w:rsidRPr="004E29E3">
        <w:instrText xml:space="preserve"> IF </w:instrText>
      </w:r>
      <w:r w:rsidRPr="004E29E3">
        <w:rPr>
          <w:noProof/>
        </w:rPr>
        <w:fldChar w:fldCharType="begin"/>
      </w:r>
      <w:r w:rsidRPr="004E29E3">
        <w:rPr>
          <w:noProof/>
        </w:rPr>
        <w:instrText xml:space="preserve"> STYLEREF "Heading 6" \l \n </w:instrText>
      </w:r>
      <w:r w:rsidRPr="004E29E3">
        <w:rPr>
          <w:noProof/>
        </w:rPr>
        <w:fldChar w:fldCharType="separate"/>
      </w:r>
      <w:r w:rsidR="00B833F1">
        <w:rPr>
          <w:noProof/>
        </w:rPr>
        <w:instrText>0</w:instrText>
      </w:r>
      <w:r w:rsidRPr="004E29E3">
        <w:rPr>
          <w:noProof/>
        </w:rPr>
        <w:fldChar w:fldCharType="end"/>
      </w:r>
      <w:r w:rsidRPr="004E29E3">
        <w:instrText xml:space="preserve"> = 0 "</w:instrText>
      </w:r>
      <w:r w:rsidRPr="004E29E3">
        <w:fldChar w:fldCharType="begin"/>
      </w:r>
      <w:r w:rsidRPr="004E29E3">
        <w:instrText xml:space="preserve"> IF </w:instrText>
      </w:r>
      <w:r w:rsidRPr="004E29E3">
        <w:rPr>
          <w:noProof/>
        </w:rPr>
        <w:fldChar w:fldCharType="begin"/>
      </w:r>
      <w:r w:rsidRPr="004E29E3">
        <w:rPr>
          <w:noProof/>
        </w:rPr>
        <w:instrText xml:space="preserve"> STYLEREF "Heading 1" \l \n </w:instrText>
      </w:r>
      <w:r w:rsidRPr="004E29E3">
        <w:rPr>
          <w:noProof/>
        </w:rPr>
        <w:fldChar w:fldCharType="separate"/>
      </w:r>
      <w:r w:rsidR="00B833F1">
        <w:rPr>
          <w:noProof/>
        </w:rPr>
        <w:instrText>6</w:instrText>
      </w:r>
      <w:r w:rsidRPr="004E29E3">
        <w:rPr>
          <w:noProof/>
        </w:rPr>
        <w:fldChar w:fldCharType="end"/>
      </w:r>
      <w:r w:rsidRPr="004E29E3">
        <w:instrText xml:space="preserve"> = 0 "" "1" </w:instrText>
      </w:r>
      <w:r w:rsidRPr="004E29E3">
        <w:fldChar w:fldCharType="separate"/>
      </w:r>
      <w:r w:rsidR="00EA42ED" w:rsidRPr="004E29E3">
        <w:rPr>
          <w:noProof/>
        </w:rPr>
        <w:instrText>1</w:instrText>
      </w:r>
      <w:r w:rsidRPr="004E29E3">
        <w:fldChar w:fldCharType="end"/>
      </w:r>
      <w:r w:rsidRPr="004E29E3">
        <w:instrText xml:space="preserve">" "6" </w:instrText>
      </w:r>
      <w:r w:rsidRPr="004E29E3">
        <w:fldChar w:fldCharType="separate"/>
      </w:r>
      <w:r w:rsidR="00EA42ED" w:rsidRPr="004E29E3">
        <w:rPr>
          <w:noProof/>
        </w:rPr>
        <w:instrText>1</w:instrText>
      </w:r>
      <w:r w:rsidRPr="004E29E3">
        <w:fldChar w:fldCharType="end"/>
      </w:r>
      <w:r w:rsidRPr="004E29E3">
        <w:instrText xml:space="preserve"> </w:instrText>
      </w:r>
      <w:r w:rsidRPr="004E29E3">
        <w:fldChar w:fldCharType="separate"/>
      </w:r>
      <w:r w:rsidR="00B833F1">
        <w:rPr>
          <w:noProof/>
        </w:rPr>
        <w:instrText>13</w:instrText>
      </w:r>
      <w:r w:rsidRPr="004E29E3">
        <w:fldChar w:fldCharType="end"/>
      </w:r>
      <w:r w:rsidRPr="004E29E3">
        <w:instrText xml:space="preserve">" "" </w:instrText>
      </w:r>
      <w:r w:rsidRPr="004E29E3">
        <w:fldChar w:fldCharType="separate"/>
      </w:r>
      <w:bookmarkStart w:id="3019" w:name="_Caption8671"/>
      <w:bookmarkStart w:id="3020" w:name="_Caption9339"/>
      <w:bookmarkStart w:id="3021" w:name="_Caption2653"/>
      <w:bookmarkStart w:id="3022" w:name="_Caption6630"/>
      <w:bookmarkStart w:id="3023" w:name="_Caption7859"/>
      <w:bookmarkStart w:id="3024" w:name="_Caption3419"/>
      <w:bookmarkStart w:id="3025" w:name="_Caption8791"/>
      <w:bookmarkStart w:id="3026" w:name="_Caption2597"/>
      <w:bookmarkStart w:id="3027" w:name="_Caption9411"/>
      <w:bookmarkStart w:id="3028" w:name="_Caption8665"/>
      <w:bookmarkStart w:id="3029" w:name="_Caption4566"/>
      <w:bookmarkStart w:id="3030" w:name="_Caption8124"/>
      <w:bookmarkStart w:id="3031" w:name="_Caption8284"/>
      <w:bookmarkStart w:id="3032" w:name="_Caption6569"/>
      <w:bookmarkStart w:id="3033" w:name="_Caption2111"/>
      <w:bookmarkStart w:id="3034" w:name="_Caption3052"/>
      <w:bookmarkStart w:id="3035" w:name="_Caption5155"/>
      <w:bookmarkStart w:id="3036" w:name="_Caption4935"/>
      <w:bookmarkStart w:id="3037" w:name="_Toc529869933"/>
      <w:bookmarkStart w:id="3038" w:name="_Toc530748429"/>
      <w:r w:rsidR="00EA42ED">
        <w:rPr>
          <w:noProof/>
        </w:rPr>
        <w:t>6</w:t>
      </w:r>
      <w:r w:rsidR="00EA42ED" w:rsidRPr="004E29E3">
        <w:rPr>
          <w:noProof/>
        </w:rPr>
        <w:t>.</w:t>
      </w:r>
      <w:r w:rsidR="00EA42ED">
        <w:rPr>
          <w:noProof/>
        </w:rPr>
        <w:t>13</w:t>
      </w:r>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r w:rsidRPr="004E29E3">
        <w:fldChar w:fldCharType="end"/>
      </w:r>
      <w:r w:rsidRPr="004E29E3">
        <w:tab/>
        <w:t>Aggregate emissions reductions</w:t>
      </w:r>
      <w:bookmarkEnd w:id="3037"/>
      <w:bookmarkEnd w:id="3038"/>
    </w:p>
    <w:tbl>
      <w:tblPr>
        <w:tblW w:w="7936" w:type="dxa"/>
        <w:tblLayout w:type="fixed"/>
        <w:tblLook w:val="0000" w:firstRow="0" w:lastRow="0" w:firstColumn="0" w:lastColumn="0" w:noHBand="0" w:noVBand="0"/>
        <w:tblCaption w:val="Table 6.13: Aggregate emissions reductions"/>
        <w:tblDescription w:val="This table shows the emissions reductions in aggregate terms between 2019 - 2067. "/>
      </w:tblPr>
      <w:tblGrid>
        <w:gridCol w:w="2192"/>
        <w:gridCol w:w="1436"/>
        <w:gridCol w:w="1436"/>
        <w:gridCol w:w="1436"/>
        <w:gridCol w:w="1436"/>
      </w:tblGrid>
      <w:tr w:rsidR="005206C5" w:rsidRPr="004E29E3" w:rsidTr="005206C5">
        <w:trPr>
          <w:trHeight w:val="922"/>
        </w:trPr>
        <w:tc>
          <w:tcPr>
            <w:tcW w:w="2192" w:type="dxa"/>
            <w:shd w:val="clear" w:color="auto" w:fill="6F6652"/>
            <w:tcMar>
              <w:left w:w="57" w:type="dxa"/>
              <w:right w:w="57" w:type="dxa"/>
            </w:tcMar>
          </w:tcPr>
          <w:p w:rsidR="005206C5" w:rsidRPr="004E29E3" w:rsidRDefault="005206C5" w:rsidP="005206C5">
            <w:pPr>
              <w:pStyle w:val="TableDataColumnHeading"/>
              <w:jc w:val="left"/>
              <w:rPr>
                <w:lang w:val="en-GB"/>
              </w:rPr>
            </w:pPr>
          </w:p>
        </w:tc>
        <w:tc>
          <w:tcPr>
            <w:tcW w:w="1436" w:type="dxa"/>
            <w:shd w:val="clear" w:color="auto" w:fill="6F6652"/>
            <w:tcMar>
              <w:left w:w="57" w:type="dxa"/>
              <w:right w:w="57" w:type="dxa"/>
            </w:tcMar>
          </w:tcPr>
          <w:p w:rsidR="005206C5" w:rsidRPr="004E29E3" w:rsidRDefault="005206C5" w:rsidP="005206C5">
            <w:pPr>
              <w:pStyle w:val="TableDataColumnHeading"/>
              <w:rPr>
                <w:lang w:val="en-GB"/>
              </w:rPr>
            </w:pPr>
            <w:r w:rsidRPr="004E29E3">
              <w:rPr>
                <w:lang w:val="en-GB"/>
              </w:rPr>
              <w:t>Emissions reduction (2019-2067)</w:t>
            </w:r>
          </w:p>
        </w:tc>
        <w:tc>
          <w:tcPr>
            <w:tcW w:w="1436" w:type="dxa"/>
            <w:shd w:val="clear" w:color="auto" w:fill="6F6652"/>
            <w:tcMar>
              <w:left w:w="57" w:type="dxa"/>
              <w:right w:w="57" w:type="dxa"/>
            </w:tcMar>
          </w:tcPr>
          <w:p w:rsidR="005206C5" w:rsidRPr="004E29E3" w:rsidRDefault="005206C5" w:rsidP="005206C5">
            <w:pPr>
              <w:pStyle w:val="TableDataColumnHeading"/>
              <w:rPr>
                <w:lang w:val="en-GB"/>
              </w:rPr>
            </w:pPr>
            <w:r w:rsidRPr="004E29E3">
              <w:rPr>
                <w:lang w:val="en-GB"/>
              </w:rPr>
              <w:t>Emissions reductions (2021-2030)</w:t>
            </w:r>
          </w:p>
        </w:tc>
        <w:tc>
          <w:tcPr>
            <w:tcW w:w="1436" w:type="dxa"/>
            <w:shd w:val="clear" w:color="auto" w:fill="6F6652"/>
            <w:tcMar>
              <w:left w:w="57" w:type="dxa"/>
              <w:right w:w="57" w:type="dxa"/>
            </w:tcMar>
          </w:tcPr>
          <w:p w:rsidR="005206C5" w:rsidRPr="004E29E3" w:rsidRDefault="005206C5" w:rsidP="005206C5">
            <w:pPr>
              <w:pStyle w:val="TableDataColumnHeading"/>
              <w:rPr>
                <w:lang w:val="en-GB"/>
              </w:rPr>
            </w:pPr>
            <w:r w:rsidRPr="004E29E3">
              <w:rPr>
                <w:lang w:val="en-GB"/>
              </w:rPr>
              <w:t>Proportion of emissions reduction task (based on 26 per cent reduction)</w:t>
            </w:r>
          </w:p>
        </w:tc>
        <w:tc>
          <w:tcPr>
            <w:tcW w:w="1436" w:type="dxa"/>
            <w:shd w:val="clear" w:color="auto" w:fill="6F6652"/>
            <w:tcMar>
              <w:left w:w="57" w:type="dxa"/>
              <w:right w:w="57" w:type="dxa"/>
            </w:tcMar>
          </w:tcPr>
          <w:p w:rsidR="005206C5" w:rsidRPr="004E29E3" w:rsidRDefault="005206C5" w:rsidP="005206C5">
            <w:pPr>
              <w:pStyle w:val="TableDataColumnHeading"/>
              <w:rPr>
                <w:lang w:val="en-GB"/>
              </w:rPr>
            </w:pPr>
            <w:r w:rsidRPr="004E29E3">
              <w:rPr>
                <w:lang w:val="en-GB"/>
              </w:rPr>
              <w:t>Proportion of emissions reduction task (based on 28 per cent reduction)</w:t>
            </w:r>
          </w:p>
        </w:tc>
      </w:tr>
      <w:tr w:rsidR="005206C5" w:rsidRPr="004E29E3" w:rsidTr="005206C5">
        <w:trPr>
          <w:trHeight w:val="230"/>
        </w:trPr>
        <w:tc>
          <w:tcPr>
            <w:tcW w:w="2192" w:type="dxa"/>
            <w:tcBorders>
              <w:bottom w:val="single" w:sz="8" w:space="0" w:color="FFFFFF" w:themeColor="background1"/>
            </w:tcBorders>
            <w:shd w:val="clear" w:color="auto" w:fill="auto"/>
            <w:tcMar>
              <w:left w:w="57" w:type="dxa"/>
              <w:right w:w="57" w:type="dxa"/>
            </w:tcMar>
          </w:tcPr>
          <w:p w:rsidR="005206C5" w:rsidRPr="004E29E3" w:rsidRDefault="005206C5" w:rsidP="005206C5">
            <w:pPr>
              <w:pStyle w:val="TableUnit"/>
              <w:jc w:val="left"/>
              <w:rPr>
                <w:lang w:val="en-GB"/>
              </w:rPr>
            </w:pPr>
          </w:p>
        </w:tc>
        <w:tc>
          <w:tcPr>
            <w:tcW w:w="1436" w:type="dxa"/>
            <w:tcBorders>
              <w:bottom w:val="single" w:sz="8" w:space="0" w:color="FFFFFF" w:themeColor="background1"/>
            </w:tcBorders>
            <w:shd w:val="clear" w:color="auto" w:fill="auto"/>
            <w:tcMar>
              <w:left w:w="57" w:type="dxa"/>
              <w:right w:w="57" w:type="dxa"/>
            </w:tcMar>
          </w:tcPr>
          <w:p w:rsidR="005206C5" w:rsidRPr="004E29E3" w:rsidRDefault="005206C5" w:rsidP="005206C5">
            <w:pPr>
              <w:pStyle w:val="TableUnit"/>
              <w:rPr>
                <w:lang w:val="en-GB"/>
              </w:rPr>
            </w:pPr>
            <w:r w:rsidRPr="004E29E3">
              <w:rPr>
                <w:lang w:val="en-GB"/>
              </w:rPr>
              <w:t>Mt</w:t>
            </w:r>
          </w:p>
        </w:tc>
        <w:tc>
          <w:tcPr>
            <w:tcW w:w="1436" w:type="dxa"/>
            <w:tcBorders>
              <w:bottom w:val="single" w:sz="8" w:space="0" w:color="FFFFFF" w:themeColor="background1"/>
            </w:tcBorders>
            <w:shd w:val="clear" w:color="auto" w:fill="auto"/>
            <w:tcMar>
              <w:left w:w="57" w:type="dxa"/>
              <w:right w:w="57" w:type="dxa"/>
            </w:tcMar>
          </w:tcPr>
          <w:p w:rsidR="005206C5" w:rsidRPr="004E29E3" w:rsidRDefault="005206C5" w:rsidP="005206C5">
            <w:pPr>
              <w:pStyle w:val="TableUnit"/>
              <w:rPr>
                <w:lang w:val="en-GB"/>
              </w:rPr>
            </w:pPr>
            <w:r w:rsidRPr="004E29E3">
              <w:rPr>
                <w:lang w:val="en-GB"/>
              </w:rPr>
              <w:t>Mt</w:t>
            </w:r>
          </w:p>
        </w:tc>
        <w:tc>
          <w:tcPr>
            <w:tcW w:w="1436" w:type="dxa"/>
            <w:tcBorders>
              <w:bottom w:val="single" w:sz="8" w:space="0" w:color="FFFFFF" w:themeColor="background1"/>
            </w:tcBorders>
            <w:shd w:val="clear" w:color="auto" w:fill="auto"/>
            <w:tcMar>
              <w:left w:w="57" w:type="dxa"/>
              <w:right w:w="57" w:type="dxa"/>
            </w:tcMar>
          </w:tcPr>
          <w:p w:rsidR="005206C5" w:rsidRPr="004E29E3" w:rsidRDefault="005206C5" w:rsidP="005206C5">
            <w:pPr>
              <w:pStyle w:val="TableUnit"/>
              <w:rPr>
                <w:lang w:val="en-GB"/>
              </w:rPr>
            </w:pPr>
            <w:r w:rsidRPr="004E29E3">
              <w:rPr>
                <w:lang w:val="en-GB"/>
              </w:rPr>
              <w:t>Per cent</w:t>
            </w:r>
          </w:p>
        </w:tc>
        <w:tc>
          <w:tcPr>
            <w:tcW w:w="1436" w:type="dxa"/>
            <w:tcBorders>
              <w:bottom w:val="single" w:sz="8" w:space="0" w:color="FFFFFF" w:themeColor="background1"/>
            </w:tcBorders>
            <w:shd w:val="clear" w:color="auto" w:fill="auto"/>
            <w:tcMar>
              <w:left w:w="57" w:type="dxa"/>
              <w:right w:w="57" w:type="dxa"/>
            </w:tcMar>
          </w:tcPr>
          <w:p w:rsidR="005206C5" w:rsidRPr="004E29E3" w:rsidRDefault="005206C5" w:rsidP="005206C5">
            <w:pPr>
              <w:pStyle w:val="TableUnit"/>
              <w:rPr>
                <w:lang w:val="en-GB"/>
              </w:rPr>
            </w:pPr>
            <w:r w:rsidRPr="004E29E3">
              <w:rPr>
                <w:lang w:val="en-GB"/>
              </w:rPr>
              <w:t>Per cent</w:t>
            </w:r>
          </w:p>
        </w:tc>
      </w:tr>
      <w:tr w:rsidR="005206C5" w:rsidRPr="004E29E3" w:rsidTr="005206C5">
        <w:trPr>
          <w:trHeight w:val="230"/>
        </w:trPr>
        <w:tc>
          <w:tcPr>
            <w:tcW w:w="219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5206C5" w:rsidRPr="004E29E3" w:rsidRDefault="005206C5" w:rsidP="005206C5">
            <w:pPr>
              <w:pStyle w:val="TableDataEntries"/>
              <w:jc w:val="left"/>
              <w:rPr>
                <w:lang w:val="en-GB"/>
              </w:rPr>
            </w:pPr>
            <w:r w:rsidRPr="004E29E3">
              <w:rPr>
                <w:lang w:val="en-GB"/>
              </w:rPr>
              <w:t>Low scenario</w:t>
            </w:r>
          </w:p>
        </w:tc>
        <w:tc>
          <w:tcPr>
            <w:tcW w:w="143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5206C5" w:rsidRPr="004E29E3" w:rsidRDefault="005206C5" w:rsidP="005206C5">
            <w:pPr>
              <w:pStyle w:val="TableDataEntries"/>
              <w:rPr>
                <w:lang w:val="en-GB"/>
              </w:rPr>
            </w:pPr>
            <w:r w:rsidRPr="004E29E3">
              <w:rPr>
                <w:lang w:val="en-GB"/>
              </w:rPr>
              <w:t xml:space="preserve"> 13.34</w:t>
            </w:r>
          </w:p>
        </w:tc>
        <w:tc>
          <w:tcPr>
            <w:tcW w:w="143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5206C5" w:rsidRPr="004E29E3" w:rsidRDefault="005206C5" w:rsidP="005206C5">
            <w:pPr>
              <w:pStyle w:val="TableDataEntries"/>
              <w:rPr>
                <w:lang w:val="en-GB"/>
              </w:rPr>
            </w:pPr>
            <w:r w:rsidRPr="004E29E3">
              <w:rPr>
                <w:lang w:val="en-GB"/>
              </w:rPr>
              <w:t xml:space="preserve"> 3.28</w:t>
            </w:r>
          </w:p>
        </w:tc>
        <w:tc>
          <w:tcPr>
            <w:tcW w:w="143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5206C5" w:rsidRPr="004E29E3" w:rsidRDefault="005206C5" w:rsidP="005206C5">
            <w:pPr>
              <w:pStyle w:val="TableDataEntries"/>
              <w:rPr>
                <w:lang w:val="en-GB"/>
              </w:rPr>
            </w:pPr>
            <w:r w:rsidRPr="004E29E3">
              <w:rPr>
                <w:lang w:val="en-GB"/>
              </w:rPr>
              <w:t xml:space="preserve"> 0.38</w:t>
            </w:r>
          </w:p>
        </w:tc>
        <w:tc>
          <w:tcPr>
            <w:tcW w:w="143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5206C5" w:rsidRPr="004E29E3" w:rsidRDefault="005206C5" w:rsidP="005206C5">
            <w:pPr>
              <w:pStyle w:val="TableDataEntries"/>
              <w:rPr>
                <w:lang w:val="en-GB"/>
              </w:rPr>
            </w:pPr>
            <w:r w:rsidRPr="004E29E3">
              <w:rPr>
                <w:lang w:val="en-GB"/>
              </w:rPr>
              <w:t xml:space="preserve"> 0.35</w:t>
            </w:r>
          </w:p>
        </w:tc>
      </w:tr>
      <w:tr w:rsidR="005206C5" w:rsidRPr="004E29E3" w:rsidTr="005206C5">
        <w:trPr>
          <w:trHeight w:val="230"/>
        </w:trPr>
        <w:tc>
          <w:tcPr>
            <w:tcW w:w="219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5206C5" w:rsidRPr="004E29E3" w:rsidRDefault="005206C5" w:rsidP="005206C5">
            <w:pPr>
              <w:pStyle w:val="TableDataEntries"/>
              <w:jc w:val="left"/>
              <w:rPr>
                <w:lang w:val="en-GB"/>
              </w:rPr>
            </w:pPr>
            <w:r w:rsidRPr="004E29E3">
              <w:rPr>
                <w:lang w:val="en-GB"/>
              </w:rPr>
              <w:t>Medium scenario</w:t>
            </w:r>
          </w:p>
        </w:tc>
        <w:tc>
          <w:tcPr>
            <w:tcW w:w="143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5206C5" w:rsidRPr="004E29E3" w:rsidRDefault="005206C5" w:rsidP="005206C5">
            <w:pPr>
              <w:pStyle w:val="TableDataEntries"/>
              <w:rPr>
                <w:lang w:val="en-GB"/>
              </w:rPr>
            </w:pPr>
            <w:r w:rsidRPr="004E29E3">
              <w:rPr>
                <w:lang w:val="en-GB"/>
              </w:rPr>
              <w:t xml:space="preserve"> 20.01</w:t>
            </w:r>
          </w:p>
        </w:tc>
        <w:tc>
          <w:tcPr>
            <w:tcW w:w="143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5206C5" w:rsidRPr="004E29E3" w:rsidRDefault="005206C5" w:rsidP="005206C5">
            <w:pPr>
              <w:pStyle w:val="TableDataEntries"/>
              <w:rPr>
                <w:lang w:val="en-GB"/>
              </w:rPr>
            </w:pPr>
            <w:r w:rsidRPr="004E29E3">
              <w:rPr>
                <w:lang w:val="en-GB"/>
              </w:rPr>
              <w:t xml:space="preserve"> 4.92</w:t>
            </w:r>
          </w:p>
        </w:tc>
        <w:tc>
          <w:tcPr>
            <w:tcW w:w="143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5206C5" w:rsidRPr="004E29E3" w:rsidRDefault="005206C5" w:rsidP="005206C5">
            <w:pPr>
              <w:pStyle w:val="TableDataEntries"/>
              <w:rPr>
                <w:lang w:val="en-GB"/>
              </w:rPr>
            </w:pPr>
            <w:r w:rsidRPr="004E29E3">
              <w:rPr>
                <w:lang w:val="en-GB"/>
              </w:rPr>
              <w:t xml:space="preserve"> 0.57</w:t>
            </w:r>
          </w:p>
        </w:tc>
        <w:tc>
          <w:tcPr>
            <w:tcW w:w="143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5206C5" w:rsidRPr="004E29E3" w:rsidRDefault="005206C5" w:rsidP="005206C5">
            <w:pPr>
              <w:pStyle w:val="TableDataEntries"/>
              <w:rPr>
                <w:lang w:val="en-GB"/>
              </w:rPr>
            </w:pPr>
            <w:r w:rsidRPr="004E29E3">
              <w:rPr>
                <w:lang w:val="en-GB"/>
              </w:rPr>
              <w:t xml:space="preserve"> 0.53</w:t>
            </w:r>
          </w:p>
        </w:tc>
      </w:tr>
      <w:tr w:rsidR="005206C5" w:rsidRPr="004E29E3" w:rsidTr="005206C5">
        <w:trPr>
          <w:trHeight w:val="230"/>
        </w:trPr>
        <w:tc>
          <w:tcPr>
            <w:tcW w:w="2192" w:type="dxa"/>
            <w:tcBorders>
              <w:top w:val="single" w:sz="8" w:space="0" w:color="FFFFFF" w:themeColor="background1"/>
              <w:bottom w:val="single" w:sz="6" w:space="0" w:color="6F6652"/>
            </w:tcBorders>
            <w:shd w:val="clear" w:color="auto" w:fill="E9E8E5" w:themeFill="background2"/>
            <w:tcMar>
              <w:left w:w="57" w:type="dxa"/>
              <w:right w:w="57" w:type="dxa"/>
            </w:tcMar>
          </w:tcPr>
          <w:p w:rsidR="005206C5" w:rsidRPr="004E29E3" w:rsidRDefault="005206C5" w:rsidP="005206C5">
            <w:pPr>
              <w:pStyle w:val="TableDataEntries"/>
              <w:jc w:val="left"/>
              <w:rPr>
                <w:lang w:val="en-GB"/>
              </w:rPr>
            </w:pPr>
            <w:r w:rsidRPr="004E29E3">
              <w:rPr>
                <w:lang w:val="en-GB"/>
              </w:rPr>
              <w:t>High scenario</w:t>
            </w:r>
          </w:p>
        </w:tc>
        <w:tc>
          <w:tcPr>
            <w:tcW w:w="1436" w:type="dxa"/>
            <w:tcBorders>
              <w:top w:val="single" w:sz="8" w:space="0" w:color="FFFFFF" w:themeColor="background1"/>
              <w:bottom w:val="single" w:sz="6" w:space="0" w:color="6F6652"/>
            </w:tcBorders>
            <w:shd w:val="clear" w:color="auto" w:fill="E9E8E5" w:themeFill="background2"/>
            <w:tcMar>
              <w:left w:w="57" w:type="dxa"/>
              <w:right w:w="57" w:type="dxa"/>
            </w:tcMar>
          </w:tcPr>
          <w:p w:rsidR="005206C5" w:rsidRPr="004E29E3" w:rsidRDefault="005206C5" w:rsidP="005206C5">
            <w:pPr>
              <w:pStyle w:val="TableDataEntries"/>
              <w:rPr>
                <w:lang w:val="en-GB"/>
              </w:rPr>
            </w:pPr>
            <w:r w:rsidRPr="004E29E3">
              <w:rPr>
                <w:lang w:val="en-GB"/>
              </w:rPr>
              <w:t xml:space="preserve"> 26.67</w:t>
            </w:r>
          </w:p>
        </w:tc>
        <w:tc>
          <w:tcPr>
            <w:tcW w:w="1436" w:type="dxa"/>
            <w:tcBorders>
              <w:top w:val="single" w:sz="8" w:space="0" w:color="FFFFFF" w:themeColor="background1"/>
              <w:bottom w:val="single" w:sz="6" w:space="0" w:color="6F6652"/>
            </w:tcBorders>
            <w:shd w:val="clear" w:color="auto" w:fill="E9E8E5" w:themeFill="background2"/>
            <w:tcMar>
              <w:left w:w="57" w:type="dxa"/>
              <w:right w:w="57" w:type="dxa"/>
            </w:tcMar>
          </w:tcPr>
          <w:p w:rsidR="005206C5" w:rsidRPr="004E29E3" w:rsidRDefault="005206C5" w:rsidP="005206C5">
            <w:pPr>
              <w:pStyle w:val="TableDataEntries"/>
              <w:rPr>
                <w:lang w:val="en-GB"/>
              </w:rPr>
            </w:pPr>
            <w:r w:rsidRPr="004E29E3">
              <w:rPr>
                <w:lang w:val="en-GB"/>
              </w:rPr>
              <w:t xml:space="preserve"> 6.56</w:t>
            </w:r>
          </w:p>
        </w:tc>
        <w:tc>
          <w:tcPr>
            <w:tcW w:w="1436" w:type="dxa"/>
            <w:tcBorders>
              <w:top w:val="single" w:sz="8" w:space="0" w:color="FFFFFF" w:themeColor="background1"/>
              <w:bottom w:val="single" w:sz="6" w:space="0" w:color="6F6652"/>
            </w:tcBorders>
            <w:shd w:val="clear" w:color="auto" w:fill="E9E8E5" w:themeFill="background2"/>
            <w:tcMar>
              <w:left w:w="57" w:type="dxa"/>
              <w:right w:w="57" w:type="dxa"/>
            </w:tcMar>
          </w:tcPr>
          <w:p w:rsidR="005206C5" w:rsidRPr="004E29E3" w:rsidRDefault="005206C5" w:rsidP="005206C5">
            <w:pPr>
              <w:pStyle w:val="TableDataEntries"/>
              <w:rPr>
                <w:lang w:val="en-GB"/>
              </w:rPr>
            </w:pPr>
            <w:r w:rsidRPr="004E29E3">
              <w:rPr>
                <w:lang w:val="en-GB"/>
              </w:rPr>
              <w:t xml:space="preserve"> 0.76</w:t>
            </w:r>
          </w:p>
        </w:tc>
        <w:tc>
          <w:tcPr>
            <w:tcW w:w="1436" w:type="dxa"/>
            <w:tcBorders>
              <w:top w:val="single" w:sz="8" w:space="0" w:color="FFFFFF" w:themeColor="background1"/>
              <w:bottom w:val="single" w:sz="6" w:space="0" w:color="6F6652"/>
            </w:tcBorders>
            <w:shd w:val="clear" w:color="auto" w:fill="E9E8E5" w:themeFill="background2"/>
            <w:tcMar>
              <w:left w:w="57" w:type="dxa"/>
              <w:right w:w="57" w:type="dxa"/>
            </w:tcMar>
          </w:tcPr>
          <w:p w:rsidR="005206C5" w:rsidRPr="004E29E3" w:rsidRDefault="005206C5" w:rsidP="005206C5">
            <w:pPr>
              <w:pStyle w:val="TableDataEntries"/>
              <w:rPr>
                <w:lang w:val="en-GB"/>
              </w:rPr>
            </w:pPr>
            <w:r w:rsidRPr="004E29E3">
              <w:rPr>
                <w:lang w:val="en-GB"/>
              </w:rPr>
              <w:t xml:space="preserve"> 0.70</w:t>
            </w:r>
          </w:p>
        </w:tc>
      </w:tr>
    </w:tbl>
    <w:p w:rsidR="005206C5" w:rsidRDefault="005206C5" w:rsidP="002B3C0A">
      <w:pPr>
        <w:pStyle w:val="Source"/>
      </w:pPr>
      <w:r w:rsidRPr="004E29E3">
        <w:rPr>
          <w:i/>
        </w:rPr>
        <w:t>Source:</w:t>
      </w:r>
      <w:r w:rsidRPr="004E29E3">
        <w:t xml:space="preserve"> </w:t>
      </w:r>
      <w:r w:rsidR="009460BD" w:rsidRPr="004E29E3">
        <w:t xml:space="preserve">Department of the Environment and Energy, Australia’s emissions projections 2017, December 2017, p. 3; </w:t>
      </w:r>
      <w:r w:rsidRPr="004E29E3">
        <w:t xml:space="preserve">CIE estimates based on </w:t>
      </w:r>
      <w:r w:rsidR="003F28DD" w:rsidRPr="004E29E3">
        <w:t>EA</w:t>
      </w:r>
      <w:r w:rsidRPr="004E29E3">
        <w:t xml:space="preserve"> modelling.</w:t>
      </w:r>
    </w:p>
    <w:p w:rsidR="005206C5" w:rsidRPr="005206C5" w:rsidRDefault="005206C5" w:rsidP="005206C5">
      <w:pPr>
        <w:pStyle w:val="BodyText"/>
        <w:rPr>
          <w:lang w:eastAsia="en-US"/>
        </w:rPr>
      </w:pPr>
    </w:p>
    <w:p w:rsidR="00612FD3" w:rsidRDefault="00612FD3" w:rsidP="00612FD3">
      <w:pPr>
        <w:pStyle w:val="Heading1"/>
        <w:numPr>
          <w:ilvl w:val="0"/>
          <w:numId w:val="5"/>
        </w:numPr>
        <w:rPr>
          <w:lang w:eastAsia="en-US"/>
        </w:rPr>
      </w:pPr>
      <w:bookmarkStart w:id="3039" w:name="_Toc529869851"/>
      <w:bookmarkStart w:id="3040" w:name="_Toc530748569"/>
      <w:r>
        <w:rPr>
          <w:lang w:eastAsia="en-US"/>
        </w:rPr>
        <w:t>Other impacts</w:t>
      </w:r>
      <w:bookmarkEnd w:id="3039"/>
      <w:bookmarkEnd w:id="3040"/>
    </w:p>
    <w:p w:rsidR="00612FD3" w:rsidRDefault="00161A1A" w:rsidP="00C661AF">
      <w:pPr>
        <w:pStyle w:val="Heading2"/>
        <w:numPr>
          <w:ilvl w:val="1"/>
          <w:numId w:val="5"/>
        </w:numPr>
        <w:spacing w:before="0"/>
      </w:pPr>
      <w:bookmarkStart w:id="3041" w:name="_Toc529869852"/>
      <w:bookmarkStart w:id="3042" w:name="_Toc530748570"/>
      <w:r>
        <w:t>Change in administrative costs</w:t>
      </w:r>
      <w:bookmarkEnd w:id="3041"/>
      <w:bookmarkEnd w:id="3042"/>
    </w:p>
    <w:p w:rsidR="00161A1A" w:rsidRDefault="00161A1A" w:rsidP="00161A1A">
      <w:pPr>
        <w:pStyle w:val="BodyText"/>
      </w:pPr>
      <w:r>
        <w:t xml:space="preserve">In general, there are no significant new regulatory processes under the proposed changes to the NCC. As such, changes in administrative costs </w:t>
      </w:r>
      <w:r w:rsidR="0050317E">
        <w:t>would be</w:t>
      </w:r>
      <w:r>
        <w:t xml:space="preserve"> relatively modest.</w:t>
      </w:r>
    </w:p>
    <w:p w:rsidR="00161A1A" w:rsidRPr="00161A1A" w:rsidRDefault="00161A1A" w:rsidP="00DD6203">
      <w:pPr>
        <w:pStyle w:val="Heading3"/>
      </w:pPr>
      <w:r>
        <w:t>Streamlined regulatory process</w:t>
      </w:r>
    </w:p>
    <w:p w:rsidR="00612FD3" w:rsidRPr="00C661AF" w:rsidRDefault="00161A1A" w:rsidP="00612FD3">
      <w:pPr>
        <w:pStyle w:val="BodyText"/>
        <w:rPr>
          <w:spacing w:val="-3"/>
        </w:rPr>
      </w:pPr>
      <w:r>
        <w:rPr>
          <w:spacing w:val="-3"/>
        </w:rPr>
        <w:t xml:space="preserve">One change that may streamline regulatory processes is the </w:t>
      </w:r>
      <w:r w:rsidR="00612FD3" w:rsidRPr="00C661AF">
        <w:rPr>
          <w:spacing w:val="-3"/>
        </w:rPr>
        <w:t>expan</w:t>
      </w:r>
      <w:r>
        <w:rPr>
          <w:spacing w:val="-3"/>
        </w:rPr>
        <w:t>sion of</w:t>
      </w:r>
      <w:r w:rsidR="00612FD3" w:rsidRPr="00C661AF">
        <w:rPr>
          <w:spacing w:val="-3"/>
        </w:rPr>
        <w:t xml:space="preserve"> options for </w:t>
      </w:r>
      <w:r>
        <w:rPr>
          <w:spacing w:val="-3"/>
        </w:rPr>
        <w:t xml:space="preserve">demonstrating </w:t>
      </w:r>
      <w:r w:rsidR="00612FD3" w:rsidRPr="00C661AF">
        <w:rPr>
          <w:spacing w:val="-3"/>
        </w:rPr>
        <w:t>compliance via new Verification Methods (VMs). A Performance Solution is used where a building owner chooses to meet the Performance Requirements of the NCC using a method other than the DTS provisions of the NCC. Verification Methods are one option to demonstrate compliance with the Performance Requirements. Currently NCC 2016 specifies one VM – JV3.</w:t>
      </w:r>
    </w:p>
    <w:p w:rsidR="00612FD3" w:rsidRPr="00C661AF" w:rsidRDefault="00612FD3" w:rsidP="00612FD3">
      <w:pPr>
        <w:pStyle w:val="BodyText"/>
        <w:rPr>
          <w:spacing w:val="-3"/>
        </w:rPr>
      </w:pPr>
      <w:r w:rsidRPr="00C661AF">
        <w:rPr>
          <w:spacing w:val="-3"/>
        </w:rPr>
        <w:t>However, where a building owner chooses to obtain either a NABERS Commitment Agreement or a Green Star Design &amp; As Built rating the building owner will incur the associated costs in addition to the cost of demonstrating compliance with the NCC using its DTS provisions, a Performance Solution verified using JV3 or another Performance Solution.</w:t>
      </w:r>
    </w:p>
    <w:p w:rsidR="00612FD3" w:rsidRDefault="00612FD3" w:rsidP="00612FD3">
      <w:pPr>
        <w:pStyle w:val="BodyText"/>
      </w:pPr>
      <w:r w:rsidRPr="00C661AF">
        <w:rPr>
          <w:spacing w:val="-3"/>
        </w:rPr>
        <w:t xml:space="preserve">Under the proposed changes, the NCC would recognise a NABERS Commitment Agreement or Green Star rating as an acceptable means of demonstrating compliance with the NCC’s Performance Requirements, avoiding duplication and additional cost. </w:t>
      </w:r>
      <w:r w:rsidR="003F28DD">
        <w:rPr>
          <w:spacing w:val="-3"/>
        </w:rPr>
        <w:t>EA</w:t>
      </w:r>
      <w:r w:rsidRPr="00C661AF">
        <w:rPr>
          <w:spacing w:val="-3"/>
        </w:rPr>
        <w:t xml:space="preserve"> estimates that the cost savings could be in the order of $10 000 per building.</w:t>
      </w:r>
      <w:r w:rsidR="00161A1A">
        <w:rPr>
          <w:spacing w:val="-3"/>
        </w:rPr>
        <w:t xml:space="preserve"> </w:t>
      </w:r>
      <w:r>
        <w:t>Th</w:t>
      </w:r>
      <w:r w:rsidR="00161A1A">
        <w:t xml:space="preserve">ese administrative cost savings </w:t>
      </w:r>
      <w:r>
        <w:t>appl</w:t>
      </w:r>
      <w:r w:rsidR="00161A1A">
        <w:t>y</w:t>
      </w:r>
      <w:r>
        <w:t xml:space="preserve"> mainly to office buildings.</w:t>
      </w:r>
    </w:p>
    <w:p w:rsidR="00612FD3" w:rsidRDefault="00612FD3" w:rsidP="00612FD3">
      <w:pPr>
        <w:pStyle w:val="ListBullet"/>
        <w:numPr>
          <w:ilvl w:val="0"/>
          <w:numId w:val="36"/>
        </w:numPr>
      </w:pPr>
      <w:r>
        <w:t>The NABERS register shows there have been 184 NABERS Commitment Agreements, mostly over the past ten years (although some were earlier), indicating around 18 per year are sought.</w:t>
      </w:r>
      <w:r>
        <w:rPr>
          <w:rStyle w:val="FootnoteReference"/>
        </w:rPr>
        <w:footnoteReference w:id="62"/>
      </w:r>
    </w:p>
    <w:p w:rsidR="00612FD3" w:rsidRDefault="00612FD3" w:rsidP="00612FD3">
      <w:pPr>
        <w:pStyle w:val="ListBullet"/>
        <w:numPr>
          <w:ilvl w:val="0"/>
          <w:numId w:val="36"/>
        </w:numPr>
      </w:pPr>
      <w:r>
        <w:t>Green Star Design &amp; As Built penetration rates vary across state capitals, ranging from 8 per cent in Darwin up to around 38 per cent in Brisbane and Perth.</w:t>
      </w:r>
      <w:r>
        <w:rPr>
          <w:rStyle w:val="FootnoteReference"/>
        </w:rPr>
        <w:footnoteReference w:id="63"/>
      </w:r>
      <w:r>
        <w:t xml:space="preserve"> To estimate the approximate number of buildings, we:</w:t>
      </w:r>
    </w:p>
    <w:p w:rsidR="00612FD3" w:rsidRDefault="00612FD3" w:rsidP="00612FD3">
      <w:pPr>
        <w:pStyle w:val="ListBullet2"/>
        <w:numPr>
          <w:ilvl w:val="1"/>
          <w:numId w:val="36"/>
        </w:numPr>
      </w:pPr>
      <w:r>
        <w:t>apply these capital city penetration rates to state-wide office building projections to estimate the proportion of floor space covered by Green Star Design &amp; As Built ratings</w:t>
      </w:r>
      <w:r w:rsidR="00C661AF">
        <w:t>,</w:t>
      </w:r>
      <w:r>
        <w:t xml:space="preserve"> and</w:t>
      </w:r>
    </w:p>
    <w:p w:rsidR="00612FD3" w:rsidRDefault="00612FD3" w:rsidP="00612FD3">
      <w:pPr>
        <w:pStyle w:val="ListBullet2"/>
        <w:numPr>
          <w:ilvl w:val="1"/>
          <w:numId w:val="36"/>
        </w:numPr>
      </w:pPr>
      <w:r>
        <w:t>convert to the number of buildings, by dividing by 9000 m</w:t>
      </w:r>
      <w:r w:rsidRPr="005D74B3">
        <w:rPr>
          <w:vertAlign w:val="superscript"/>
        </w:rPr>
        <w:t>2</w:t>
      </w:r>
      <w:r>
        <w:t xml:space="preserve"> based on the assumed floor space of building 5A.</w:t>
      </w:r>
    </w:p>
    <w:p w:rsidR="00612FD3" w:rsidRDefault="00612FD3" w:rsidP="00612FD3">
      <w:pPr>
        <w:pStyle w:val="BodyText"/>
      </w:pPr>
      <w:r>
        <w:t xml:space="preserve">If each building covered by a NABERS Commitment Agreement or Green Star Design &amp; As Built rating saves around $10 000 (based on </w:t>
      </w:r>
      <w:r w:rsidR="003F28DD">
        <w:t>EA</w:t>
      </w:r>
      <w:r>
        <w:t xml:space="preserve"> estimates), this implies a relatively modest cost saving of around </w:t>
      </w:r>
      <w:r w:rsidR="006133DD">
        <w:t xml:space="preserve">$0.7 million annually or </w:t>
      </w:r>
      <w:r>
        <w:t>$5.3 million in present value terms over ten years, using a discount rate of 7 per cent (table </w:t>
      </w:r>
      <w:r w:rsidR="00BA0599">
        <w:rPr>
          <w:noProof/>
        </w:rPr>
        <w:fldChar w:fldCharType="begin"/>
      </w:r>
      <w:r w:rsidR="00BA0599">
        <w:rPr>
          <w:noProof/>
        </w:rPr>
        <w:instrText xml:space="preserve"> REF _Caption7024 </w:instrText>
      </w:r>
      <w:r w:rsidR="00BA0599">
        <w:rPr>
          <w:noProof/>
        </w:rPr>
        <w:fldChar w:fldCharType="separate"/>
      </w:r>
      <w:r w:rsidR="006B79B8">
        <w:rPr>
          <w:noProof/>
        </w:rPr>
        <w:t>7</w:t>
      </w:r>
      <w:r w:rsidR="006B79B8" w:rsidRPr="002B3C0A">
        <w:rPr>
          <w:noProof/>
        </w:rPr>
        <w:t>.</w:t>
      </w:r>
      <w:r w:rsidR="006B79B8">
        <w:rPr>
          <w:noProof/>
        </w:rPr>
        <w:t>1</w:t>
      </w:r>
      <w:r w:rsidR="00BA0599">
        <w:rPr>
          <w:noProof/>
        </w:rPr>
        <w:fldChar w:fldCharType="end"/>
      </w:r>
      <w:r>
        <w:t>). Note that where buildings obtain both a Green Star rating and a NABERS Commitment Agreement, this approach may over</w:t>
      </w:r>
      <w:r>
        <w:noBreakHyphen/>
        <w:t>estimate the number of separate buildings to which the savings would apply.</w:t>
      </w:r>
    </w:p>
    <w:p w:rsidR="00612FD3" w:rsidRDefault="00612FD3" w:rsidP="00C661AF">
      <w:pPr>
        <w:pStyle w:val="Caption"/>
        <w:spacing w:before="240"/>
      </w:pPr>
      <w:r w:rsidRPr="002B3C0A">
        <w:fldChar w:fldCharType="begin"/>
      </w:r>
      <w:r w:rsidRPr="002B3C0A">
        <w:instrText xml:space="preserve"> IF 1 = 1 "</w:instrText>
      </w:r>
      <w:r w:rsidRPr="002B3C0A">
        <w:fldChar w:fldCharType="begin"/>
      </w:r>
      <w:r w:rsidRPr="002B3C0A">
        <w:instrText xml:space="preserve"> IF </w:instrText>
      </w:r>
      <w:r w:rsidR="00BA0599" w:rsidRPr="002B3C0A">
        <w:rPr>
          <w:noProof/>
        </w:rPr>
        <w:fldChar w:fldCharType="begin"/>
      </w:r>
      <w:r w:rsidR="00BA0599" w:rsidRPr="002B3C0A">
        <w:rPr>
          <w:noProof/>
        </w:rPr>
        <w:instrText xml:space="preserve"> STYLEREF "Heading 6" \l \n </w:instrText>
      </w:r>
      <w:r w:rsidR="00BA0599" w:rsidRPr="002B3C0A">
        <w:rPr>
          <w:noProof/>
        </w:rPr>
        <w:fldChar w:fldCharType="separate"/>
      </w:r>
      <w:r w:rsidR="00B833F1">
        <w:rPr>
          <w:noProof/>
        </w:rPr>
        <w:instrText>0</w:instrText>
      </w:r>
      <w:r w:rsidR="00BA0599" w:rsidRPr="002B3C0A">
        <w:rPr>
          <w:noProof/>
        </w:rPr>
        <w:fldChar w:fldCharType="end"/>
      </w:r>
      <w:r w:rsidRPr="002B3C0A">
        <w:instrText xml:space="preserve"> = 0 "</w:instrText>
      </w:r>
      <w:r w:rsidRPr="002B3C0A">
        <w:fldChar w:fldCharType="begin"/>
      </w:r>
      <w:r w:rsidRPr="002B3C0A">
        <w:instrText xml:space="preserve"> IF </w:instrText>
      </w:r>
      <w:r w:rsidR="00BA0599" w:rsidRPr="002B3C0A">
        <w:rPr>
          <w:noProof/>
        </w:rPr>
        <w:fldChar w:fldCharType="begin"/>
      </w:r>
      <w:r w:rsidR="00BA0599" w:rsidRPr="002B3C0A">
        <w:rPr>
          <w:noProof/>
        </w:rPr>
        <w:instrText xml:space="preserve"> STYLEREF "Heading 1" \l \n </w:instrText>
      </w:r>
      <w:r w:rsidR="00BA0599" w:rsidRPr="002B3C0A">
        <w:rPr>
          <w:noProof/>
        </w:rPr>
        <w:fldChar w:fldCharType="separate"/>
      </w:r>
      <w:r w:rsidR="00B833F1">
        <w:rPr>
          <w:noProof/>
        </w:rPr>
        <w:instrText>7</w:instrText>
      </w:r>
      <w:r w:rsidR="00BA0599" w:rsidRPr="002B3C0A">
        <w:rPr>
          <w:noProof/>
        </w:rPr>
        <w:fldChar w:fldCharType="end"/>
      </w:r>
      <w:r w:rsidRPr="002B3C0A">
        <w:instrText xml:space="preserve"> = 0 "" "</w:instrText>
      </w:r>
      <w:r w:rsidR="00BA0599" w:rsidRPr="002B3C0A">
        <w:rPr>
          <w:noProof/>
        </w:rPr>
        <w:fldChar w:fldCharType="begin"/>
      </w:r>
      <w:r w:rsidR="00BA0599" w:rsidRPr="002B3C0A">
        <w:rPr>
          <w:noProof/>
        </w:rPr>
        <w:instrText xml:space="preserve"> STYLEREF "Heading 1" \l \n </w:instrText>
      </w:r>
      <w:r w:rsidR="00BA0599" w:rsidRPr="002B3C0A">
        <w:rPr>
          <w:noProof/>
        </w:rPr>
        <w:fldChar w:fldCharType="separate"/>
      </w:r>
      <w:r w:rsidR="00B833F1">
        <w:rPr>
          <w:noProof/>
        </w:rPr>
        <w:instrText>7</w:instrText>
      </w:r>
      <w:r w:rsidR="00BA0599" w:rsidRPr="002B3C0A">
        <w:rPr>
          <w:noProof/>
        </w:rPr>
        <w:fldChar w:fldCharType="end"/>
      </w:r>
      <w:r w:rsidRPr="002B3C0A">
        <w:instrText xml:space="preserve">." </w:instrText>
      </w:r>
      <w:r w:rsidRPr="002B3C0A">
        <w:fldChar w:fldCharType="separate"/>
      </w:r>
      <w:r w:rsidR="00B833F1">
        <w:rPr>
          <w:noProof/>
        </w:rPr>
        <w:instrText>7</w:instrText>
      </w:r>
      <w:r w:rsidR="00B833F1" w:rsidRPr="002B3C0A">
        <w:rPr>
          <w:noProof/>
        </w:rPr>
        <w:instrText>.</w:instrText>
      </w:r>
      <w:r w:rsidRPr="002B3C0A">
        <w:fldChar w:fldCharType="end"/>
      </w:r>
      <w:r w:rsidRPr="002B3C0A">
        <w:instrText>" "</w:instrText>
      </w:r>
      <w:r w:rsidR="001F6F43">
        <w:fldChar w:fldCharType="begin"/>
      </w:r>
      <w:r w:rsidR="001F6F43">
        <w:instrText xml:space="preserve"> STYLEREF "Heading 6" \l \n </w:instrText>
      </w:r>
      <w:r w:rsidR="001F6F43">
        <w:fldChar w:fldCharType="separate"/>
      </w:r>
      <w:r w:rsidRPr="002B3C0A">
        <w:instrText>B</w:instrText>
      </w:r>
      <w:r w:rsidR="001F6F43">
        <w:fldChar w:fldCharType="end"/>
      </w:r>
      <w:r w:rsidRPr="002B3C0A">
        <w:instrText xml:space="preserve">." </w:instrText>
      </w:r>
      <w:r w:rsidRPr="002B3C0A">
        <w:fldChar w:fldCharType="separate"/>
      </w:r>
      <w:r w:rsidR="00EA42ED">
        <w:rPr>
          <w:noProof/>
        </w:rPr>
        <w:instrText>7</w:instrText>
      </w:r>
      <w:r w:rsidR="00EA42ED" w:rsidRPr="002B3C0A">
        <w:rPr>
          <w:noProof/>
        </w:rPr>
        <w:instrText>.</w:instrText>
      </w:r>
      <w:r w:rsidRPr="002B3C0A">
        <w:fldChar w:fldCharType="end"/>
      </w:r>
      <w:r w:rsidRPr="002B3C0A">
        <w:fldChar w:fldCharType="begin"/>
      </w:r>
      <w:r w:rsidRPr="002B3C0A">
        <w:instrText xml:space="preserve"> SEQ Item \* ARABIC \s </w:instrText>
      </w:r>
      <w:r w:rsidRPr="002B3C0A">
        <w:fldChar w:fldCharType="begin"/>
      </w:r>
      <w:r w:rsidRPr="002B3C0A">
        <w:instrText xml:space="preserve"> IF </w:instrText>
      </w:r>
      <w:r w:rsidR="00BA0599" w:rsidRPr="002B3C0A">
        <w:rPr>
          <w:noProof/>
        </w:rPr>
        <w:fldChar w:fldCharType="begin"/>
      </w:r>
      <w:r w:rsidR="00BA0599" w:rsidRPr="002B3C0A">
        <w:rPr>
          <w:noProof/>
        </w:rPr>
        <w:instrText xml:space="preserve"> STYLEREF "Heading 6" \l \n </w:instrText>
      </w:r>
      <w:r w:rsidR="00BA0599" w:rsidRPr="002B3C0A">
        <w:rPr>
          <w:noProof/>
        </w:rPr>
        <w:fldChar w:fldCharType="separate"/>
      </w:r>
      <w:r w:rsidR="00B833F1">
        <w:rPr>
          <w:noProof/>
        </w:rPr>
        <w:instrText>0</w:instrText>
      </w:r>
      <w:r w:rsidR="00BA0599" w:rsidRPr="002B3C0A">
        <w:rPr>
          <w:noProof/>
        </w:rPr>
        <w:fldChar w:fldCharType="end"/>
      </w:r>
      <w:r w:rsidRPr="002B3C0A">
        <w:instrText xml:space="preserve"> = 0 "</w:instrText>
      </w:r>
      <w:r w:rsidRPr="002B3C0A">
        <w:fldChar w:fldCharType="begin"/>
      </w:r>
      <w:r w:rsidRPr="002B3C0A">
        <w:instrText xml:space="preserve"> IF </w:instrText>
      </w:r>
      <w:r w:rsidR="00BA0599" w:rsidRPr="002B3C0A">
        <w:rPr>
          <w:noProof/>
        </w:rPr>
        <w:fldChar w:fldCharType="begin"/>
      </w:r>
      <w:r w:rsidR="00BA0599" w:rsidRPr="002B3C0A">
        <w:rPr>
          <w:noProof/>
        </w:rPr>
        <w:instrText xml:space="preserve"> STYLEREF "Heading 1" \l \n </w:instrText>
      </w:r>
      <w:r w:rsidR="00BA0599" w:rsidRPr="002B3C0A">
        <w:rPr>
          <w:noProof/>
        </w:rPr>
        <w:fldChar w:fldCharType="separate"/>
      </w:r>
      <w:r w:rsidR="00B833F1">
        <w:rPr>
          <w:noProof/>
        </w:rPr>
        <w:instrText>7</w:instrText>
      </w:r>
      <w:r w:rsidR="00BA0599" w:rsidRPr="002B3C0A">
        <w:rPr>
          <w:noProof/>
        </w:rPr>
        <w:fldChar w:fldCharType="end"/>
      </w:r>
      <w:r w:rsidRPr="002B3C0A">
        <w:instrText xml:space="preserve"> = 0 "" "1" </w:instrText>
      </w:r>
      <w:r w:rsidRPr="002B3C0A">
        <w:fldChar w:fldCharType="separate"/>
      </w:r>
      <w:r w:rsidR="00EA42ED" w:rsidRPr="002B3C0A">
        <w:rPr>
          <w:noProof/>
        </w:rPr>
        <w:instrText>1</w:instrText>
      </w:r>
      <w:r w:rsidRPr="002B3C0A">
        <w:fldChar w:fldCharType="end"/>
      </w:r>
      <w:r w:rsidRPr="002B3C0A">
        <w:instrText xml:space="preserve">" "6" </w:instrText>
      </w:r>
      <w:r w:rsidRPr="002B3C0A">
        <w:fldChar w:fldCharType="separate"/>
      </w:r>
      <w:r w:rsidR="00EA42ED" w:rsidRPr="002B3C0A">
        <w:rPr>
          <w:noProof/>
        </w:rPr>
        <w:instrText>1</w:instrText>
      </w:r>
      <w:r w:rsidRPr="002B3C0A">
        <w:fldChar w:fldCharType="end"/>
      </w:r>
      <w:r w:rsidRPr="002B3C0A">
        <w:instrText xml:space="preserve"> </w:instrText>
      </w:r>
      <w:r w:rsidRPr="002B3C0A">
        <w:fldChar w:fldCharType="separate"/>
      </w:r>
      <w:r w:rsidR="00B833F1">
        <w:rPr>
          <w:noProof/>
        </w:rPr>
        <w:instrText>1</w:instrText>
      </w:r>
      <w:r w:rsidRPr="002B3C0A">
        <w:fldChar w:fldCharType="end"/>
      </w:r>
      <w:r w:rsidRPr="002B3C0A">
        <w:instrText xml:space="preserve">" "" </w:instrText>
      </w:r>
      <w:r w:rsidRPr="002B3C0A">
        <w:fldChar w:fldCharType="separate"/>
      </w:r>
      <w:bookmarkStart w:id="3043" w:name="_Caption1941"/>
      <w:bookmarkStart w:id="3044" w:name="_Caption6239"/>
      <w:bookmarkStart w:id="3045" w:name="_Caption8742"/>
      <w:bookmarkStart w:id="3046" w:name="_Caption4641"/>
      <w:bookmarkStart w:id="3047" w:name="_Caption6541"/>
      <w:bookmarkStart w:id="3048" w:name="_Caption4435"/>
      <w:bookmarkStart w:id="3049" w:name="_Caption0853"/>
      <w:bookmarkStart w:id="3050" w:name="_Caption0770"/>
      <w:bookmarkStart w:id="3051" w:name="_Caption4339"/>
      <w:bookmarkStart w:id="3052" w:name="_Caption5933"/>
      <w:bookmarkStart w:id="3053" w:name="_Caption7813"/>
      <w:bookmarkStart w:id="3054" w:name="_Caption3342"/>
      <w:bookmarkStart w:id="3055" w:name="_Caption5488"/>
      <w:bookmarkStart w:id="3056" w:name="_Caption9842"/>
      <w:bookmarkStart w:id="3057" w:name="_Caption6868"/>
      <w:bookmarkStart w:id="3058" w:name="_Caption2462"/>
      <w:bookmarkStart w:id="3059" w:name="_Caption9075"/>
      <w:bookmarkStart w:id="3060" w:name="_Caption5167"/>
      <w:bookmarkStart w:id="3061" w:name="_Caption9807"/>
      <w:bookmarkStart w:id="3062" w:name="_Caption6628"/>
      <w:bookmarkStart w:id="3063" w:name="_Caption1395"/>
      <w:bookmarkStart w:id="3064" w:name="_Caption0879"/>
      <w:bookmarkStart w:id="3065" w:name="_Caption7388"/>
      <w:bookmarkStart w:id="3066" w:name="_Caption4892"/>
      <w:bookmarkStart w:id="3067" w:name="_Caption8071"/>
      <w:bookmarkStart w:id="3068" w:name="_Caption0155"/>
      <w:bookmarkStart w:id="3069" w:name="_Caption9804"/>
      <w:bookmarkStart w:id="3070" w:name="_Caption1037"/>
      <w:bookmarkStart w:id="3071" w:name="_Caption7355"/>
      <w:bookmarkStart w:id="3072" w:name="_Caption8484"/>
      <w:bookmarkStart w:id="3073" w:name="_Caption7101"/>
      <w:bookmarkStart w:id="3074" w:name="_Caption4064"/>
      <w:bookmarkStart w:id="3075" w:name="_Caption5635"/>
      <w:bookmarkStart w:id="3076" w:name="_Caption5434"/>
      <w:bookmarkStart w:id="3077" w:name="_Caption3743"/>
      <w:bookmarkStart w:id="3078" w:name="_Caption0816"/>
      <w:bookmarkStart w:id="3079" w:name="_Caption0332"/>
      <w:bookmarkStart w:id="3080" w:name="_Caption7024"/>
      <w:bookmarkStart w:id="3081" w:name="_Caption7462"/>
      <w:bookmarkStart w:id="3082" w:name="_Caption0598"/>
      <w:bookmarkStart w:id="3083" w:name="_Caption5777"/>
      <w:bookmarkStart w:id="3084" w:name="_Caption7410"/>
      <w:bookmarkStart w:id="3085" w:name="_Caption7206"/>
      <w:bookmarkStart w:id="3086" w:name="_Caption0813"/>
      <w:bookmarkStart w:id="3087" w:name="_Caption1757"/>
      <w:bookmarkStart w:id="3088" w:name="_Caption8843"/>
      <w:bookmarkStart w:id="3089" w:name="_Caption3277"/>
      <w:bookmarkStart w:id="3090" w:name="_Caption2327"/>
      <w:bookmarkStart w:id="3091" w:name="_Caption8719"/>
      <w:bookmarkStart w:id="3092" w:name="_Caption5236"/>
      <w:bookmarkStart w:id="3093" w:name="_Caption8030"/>
      <w:bookmarkStart w:id="3094" w:name="_Caption9069"/>
      <w:bookmarkStart w:id="3095" w:name="_Caption6652"/>
      <w:bookmarkStart w:id="3096" w:name="_Caption0581"/>
      <w:bookmarkStart w:id="3097" w:name="_Caption9161"/>
      <w:bookmarkStart w:id="3098" w:name="_Caption4974"/>
      <w:bookmarkStart w:id="3099" w:name="_Caption5709"/>
      <w:bookmarkStart w:id="3100" w:name="_Caption9799"/>
      <w:bookmarkStart w:id="3101" w:name="_Caption7906"/>
      <w:bookmarkStart w:id="3102" w:name="_Caption0971"/>
      <w:bookmarkStart w:id="3103" w:name="_Caption1362"/>
      <w:bookmarkStart w:id="3104" w:name="_Caption9043"/>
      <w:bookmarkStart w:id="3105" w:name="_Caption6069"/>
      <w:bookmarkStart w:id="3106" w:name="_Caption2270"/>
      <w:bookmarkStart w:id="3107" w:name="_Caption4389"/>
      <w:bookmarkStart w:id="3108" w:name="_Caption6255"/>
      <w:bookmarkStart w:id="3109" w:name="_Caption6540"/>
      <w:bookmarkStart w:id="3110" w:name="_Toc529869934"/>
      <w:bookmarkStart w:id="3111" w:name="_Toc530748430"/>
      <w:r w:rsidR="00EA42ED">
        <w:rPr>
          <w:noProof/>
        </w:rPr>
        <w:t>7</w:t>
      </w:r>
      <w:r w:rsidR="00EA42ED" w:rsidRPr="002B3C0A">
        <w:rPr>
          <w:noProof/>
        </w:rPr>
        <w:t>.</w:t>
      </w:r>
      <w:r w:rsidR="00EA42ED">
        <w:rPr>
          <w:noProof/>
        </w:rPr>
        <w:t>1</w:t>
      </w:r>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r w:rsidRPr="002B3C0A">
        <w:fldChar w:fldCharType="end"/>
      </w:r>
      <w:r w:rsidRPr="002B3C0A">
        <w:tab/>
        <w:t>Estimated administrative cost savings</w:t>
      </w:r>
      <w:bookmarkEnd w:id="3110"/>
      <w:bookmarkEnd w:id="3111"/>
    </w:p>
    <w:tbl>
      <w:tblPr>
        <w:tblW w:w="8222" w:type="dxa"/>
        <w:tblLayout w:type="fixed"/>
        <w:tblLook w:val="0000" w:firstRow="0" w:lastRow="0" w:firstColumn="0" w:lastColumn="0" w:noHBand="0" w:noVBand="0"/>
        <w:tblCaption w:val="Table 7.1: Estimated administrative cost savings"/>
        <w:tblDescription w:val="This table shows the estimated administrative costs savings as a result of implementing the proposed changes to NCC 2019. The annual saving is estimated to be $706 million or $5,280 million in  Present Value terms. "/>
      </w:tblPr>
      <w:tblGrid>
        <w:gridCol w:w="1758"/>
        <w:gridCol w:w="369"/>
        <w:gridCol w:w="463"/>
        <w:gridCol w:w="682"/>
        <w:gridCol w:w="683"/>
        <w:gridCol w:w="682"/>
        <w:gridCol w:w="683"/>
        <w:gridCol w:w="683"/>
        <w:gridCol w:w="682"/>
        <w:gridCol w:w="683"/>
        <w:gridCol w:w="854"/>
      </w:tblGrid>
      <w:tr w:rsidR="00612FD3" w:rsidTr="00C661AF">
        <w:trPr>
          <w:trHeight w:val="461"/>
          <w:tblHeader/>
        </w:trPr>
        <w:tc>
          <w:tcPr>
            <w:tcW w:w="1758" w:type="dxa"/>
            <w:tcBorders>
              <w:bottom w:val="single" w:sz="8" w:space="0" w:color="FFFFFF" w:themeColor="background1"/>
            </w:tcBorders>
            <w:shd w:val="clear" w:color="auto" w:fill="6F6652"/>
            <w:tcMar>
              <w:left w:w="57" w:type="dxa"/>
              <w:right w:w="57" w:type="dxa"/>
            </w:tcMar>
          </w:tcPr>
          <w:p w:rsidR="00612FD3" w:rsidRDefault="00612FD3" w:rsidP="00301B6D">
            <w:pPr>
              <w:pStyle w:val="TableDataColumnHeading"/>
              <w:jc w:val="left"/>
              <w:rPr>
                <w:lang w:val="en-GB"/>
              </w:rPr>
            </w:pPr>
          </w:p>
        </w:tc>
        <w:tc>
          <w:tcPr>
            <w:tcW w:w="832" w:type="dxa"/>
            <w:gridSpan w:val="2"/>
            <w:tcBorders>
              <w:bottom w:val="single" w:sz="8" w:space="0" w:color="FFFFFF" w:themeColor="background1"/>
            </w:tcBorders>
            <w:shd w:val="clear" w:color="auto" w:fill="6F6652"/>
            <w:tcMar>
              <w:left w:w="57" w:type="dxa"/>
              <w:right w:w="57" w:type="dxa"/>
            </w:tcMar>
          </w:tcPr>
          <w:p w:rsidR="00612FD3" w:rsidRDefault="00612FD3" w:rsidP="00301B6D">
            <w:pPr>
              <w:pStyle w:val="TableDataColumnHeading"/>
              <w:rPr>
                <w:lang w:val="en-GB"/>
              </w:rPr>
            </w:pPr>
            <w:r>
              <w:rPr>
                <w:lang w:val="en-GB"/>
              </w:rPr>
              <w:t>NSW</w:t>
            </w:r>
          </w:p>
        </w:tc>
        <w:tc>
          <w:tcPr>
            <w:tcW w:w="682" w:type="dxa"/>
            <w:tcBorders>
              <w:bottom w:val="single" w:sz="8" w:space="0" w:color="FFFFFF" w:themeColor="background1"/>
            </w:tcBorders>
            <w:shd w:val="clear" w:color="auto" w:fill="6F6652"/>
            <w:tcMar>
              <w:left w:w="57" w:type="dxa"/>
              <w:right w:w="57" w:type="dxa"/>
            </w:tcMar>
          </w:tcPr>
          <w:p w:rsidR="00612FD3" w:rsidRDefault="00612FD3" w:rsidP="00301B6D">
            <w:pPr>
              <w:pStyle w:val="TableDataColumnHeading"/>
              <w:rPr>
                <w:lang w:val="en-GB"/>
              </w:rPr>
            </w:pPr>
            <w:r>
              <w:rPr>
                <w:lang w:val="en-GB"/>
              </w:rPr>
              <w:t>Vic</w:t>
            </w:r>
          </w:p>
        </w:tc>
        <w:tc>
          <w:tcPr>
            <w:tcW w:w="683" w:type="dxa"/>
            <w:tcBorders>
              <w:bottom w:val="single" w:sz="8" w:space="0" w:color="FFFFFF" w:themeColor="background1"/>
            </w:tcBorders>
            <w:shd w:val="clear" w:color="auto" w:fill="6F6652"/>
            <w:tcMar>
              <w:left w:w="57" w:type="dxa"/>
              <w:right w:w="57" w:type="dxa"/>
            </w:tcMar>
          </w:tcPr>
          <w:p w:rsidR="00612FD3" w:rsidRDefault="00612FD3" w:rsidP="00301B6D">
            <w:pPr>
              <w:pStyle w:val="TableDataColumnHeading"/>
              <w:rPr>
                <w:lang w:val="en-GB"/>
              </w:rPr>
            </w:pPr>
            <w:r>
              <w:rPr>
                <w:lang w:val="en-GB"/>
              </w:rPr>
              <w:t>Qld</w:t>
            </w:r>
          </w:p>
        </w:tc>
        <w:tc>
          <w:tcPr>
            <w:tcW w:w="682" w:type="dxa"/>
            <w:tcBorders>
              <w:bottom w:val="single" w:sz="8" w:space="0" w:color="FFFFFF" w:themeColor="background1"/>
            </w:tcBorders>
            <w:shd w:val="clear" w:color="auto" w:fill="6F6652"/>
            <w:tcMar>
              <w:left w:w="57" w:type="dxa"/>
              <w:right w:w="57" w:type="dxa"/>
            </w:tcMar>
          </w:tcPr>
          <w:p w:rsidR="00612FD3" w:rsidRDefault="00612FD3" w:rsidP="00301B6D">
            <w:pPr>
              <w:pStyle w:val="TableDataColumnHeading"/>
              <w:rPr>
                <w:lang w:val="en-GB"/>
              </w:rPr>
            </w:pPr>
            <w:r>
              <w:rPr>
                <w:lang w:val="en-GB"/>
              </w:rPr>
              <w:t>SA</w:t>
            </w:r>
          </w:p>
        </w:tc>
        <w:tc>
          <w:tcPr>
            <w:tcW w:w="683" w:type="dxa"/>
            <w:tcBorders>
              <w:bottom w:val="single" w:sz="8" w:space="0" w:color="FFFFFF" w:themeColor="background1"/>
            </w:tcBorders>
            <w:shd w:val="clear" w:color="auto" w:fill="6F6652"/>
            <w:tcMar>
              <w:left w:w="57" w:type="dxa"/>
              <w:right w:w="57" w:type="dxa"/>
            </w:tcMar>
          </w:tcPr>
          <w:p w:rsidR="00612FD3" w:rsidRDefault="00612FD3" w:rsidP="00301B6D">
            <w:pPr>
              <w:pStyle w:val="TableDataColumnHeading"/>
              <w:rPr>
                <w:lang w:val="en-GB"/>
              </w:rPr>
            </w:pPr>
            <w:r>
              <w:rPr>
                <w:lang w:val="en-GB"/>
              </w:rPr>
              <w:t>WA</w:t>
            </w:r>
          </w:p>
        </w:tc>
        <w:tc>
          <w:tcPr>
            <w:tcW w:w="683" w:type="dxa"/>
            <w:tcBorders>
              <w:bottom w:val="single" w:sz="8" w:space="0" w:color="FFFFFF" w:themeColor="background1"/>
            </w:tcBorders>
            <w:shd w:val="clear" w:color="auto" w:fill="6F6652"/>
            <w:tcMar>
              <w:left w:w="57" w:type="dxa"/>
              <w:right w:w="57" w:type="dxa"/>
            </w:tcMar>
          </w:tcPr>
          <w:p w:rsidR="00612FD3" w:rsidRDefault="00612FD3" w:rsidP="00301B6D">
            <w:pPr>
              <w:pStyle w:val="TableDataColumnHeading"/>
              <w:rPr>
                <w:lang w:val="en-GB"/>
              </w:rPr>
            </w:pPr>
            <w:r>
              <w:rPr>
                <w:lang w:val="en-GB"/>
              </w:rPr>
              <w:t>Tas</w:t>
            </w:r>
          </w:p>
        </w:tc>
        <w:tc>
          <w:tcPr>
            <w:tcW w:w="682" w:type="dxa"/>
            <w:tcBorders>
              <w:bottom w:val="single" w:sz="8" w:space="0" w:color="FFFFFF" w:themeColor="background1"/>
            </w:tcBorders>
            <w:shd w:val="clear" w:color="auto" w:fill="6F6652"/>
            <w:tcMar>
              <w:left w:w="57" w:type="dxa"/>
              <w:right w:w="57" w:type="dxa"/>
            </w:tcMar>
          </w:tcPr>
          <w:p w:rsidR="00612FD3" w:rsidRDefault="00612FD3" w:rsidP="00301B6D">
            <w:pPr>
              <w:pStyle w:val="TableDataColumnHeading"/>
              <w:rPr>
                <w:lang w:val="en-GB"/>
              </w:rPr>
            </w:pPr>
            <w:r>
              <w:rPr>
                <w:lang w:val="en-GB"/>
              </w:rPr>
              <w:t>ACT</w:t>
            </w:r>
          </w:p>
        </w:tc>
        <w:tc>
          <w:tcPr>
            <w:tcW w:w="683" w:type="dxa"/>
            <w:tcBorders>
              <w:bottom w:val="single" w:sz="8" w:space="0" w:color="FFFFFF" w:themeColor="background1"/>
            </w:tcBorders>
            <w:shd w:val="clear" w:color="auto" w:fill="6F6652"/>
            <w:tcMar>
              <w:left w:w="57" w:type="dxa"/>
              <w:right w:w="57" w:type="dxa"/>
            </w:tcMar>
          </w:tcPr>
          <w:p w:rsidR="00612FD3" w:rsidRDefault="00612FD3" w:rsidP="00301B6D">
            <w:pPr>
              <w:pStyle w:val="TableDataColumnHeading"/>
              <w:rPr>
                <w:lang w:val="en-GB"/>
              </w:rPr>
            </w:pPr>
            <w:r>
              <w:rPr>
                <w:lang w:val="en-GB"/>
              </w:rPr>
              <w:t>NT</w:t>
            </w:r>
          </w:p>
        </w:tc>
        <w:tc>
          <w:tcPr>
            <w:tcW w:w="854" w:type="dxa"/>
            <w:tcBorders>
              <w:bottom w:val="single" w:sz="8" w:space="0" w:color="FFFFFF" w:themeColor="background1"/>
            </w:tcBorders>
            <w:shd w:val="clear" w:color="auto" w:fill="6F6652"/>
            <w:tcMar>
              <w:left w:w="57" w:type="dxa"/>
              <w:right w:w="57" w:type="dxa"/>
            </w:tcMar>
          </w:tcPr>
          <w:p w:rsidR="00612FD3" w:rsidRDefault="00612FD3" w:rsidP="00301B6D">
            <w:pPr>
              <w:pStyle w:val="TableDataColumnHeading"/>
              <w:rPr>
                <w:lang w:val="en-GB"/>
              </w:rPr>
            </w:pPr>
            <w:r>
              <w:rPr>
                <w:lang w:val="en-GB"/>
              </w:rPr>
              <w:t>Total</w:t>
            </w:r>
          </w:p>
        </w:tc>
      </w:tr>
      <w:tr w:rsidR="00612FD3" w:rsidTr="00C661AF">
        <w:trPr>
          <w:trHeight w:val="230"/>
        </w:trPr>
        <w:tc>
          <w:tcPr>
            <w:tcW w:w="2127" w:type="dxa"/>
            <w:gridSpan w:val="2"/>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jc w:val="left"/>
              <w:rPr>
                <w:lang w:val="en-GB"/>
              </w:rPr>
            </w:pPr>
            <w:r>
              <w:rPr>
                <w:lang w:val="en-GB"/>
              </w:rPr>
              <w:t xml:space="preserve">Average NABERS Commitment Agreements (No. per year) </w:t>
            </w:r>
            <w:r w:rsidRPr="005D74B3">
              <w:rPr>
                <w:rStyle w:val="NoteLabel"/>
              </w:rPr>
              <w:t>a</w:t>
            </w:r>
          </w:p>
        </w:tc>
        <w:tc>
          <w:tcPr>
            <w:tcW w:w="46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7.2</w:t>
            </w:r>
          </w:p>
        </w:tc>
        <w:tc>
          <w:tcPr>
            <w:tcW w:w="6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1.8</w:t>
            </w:r>
          </w:p>
        </w:tc>
        <w:tc>
          <w:tcPr>
            <w:tcW w:w="6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3.5</w:t>
            </w:r>
          </w:p>
        </w:tc>
        <w:tc>
          <w:tcPr>
            <w:tcW w:w="6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0.6</w:t>
            </w:r>
          </w:p>
        </w:tc>
        <w:tc>
          <w:tcPr>
            <w:tcW w:w="6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3.6</w:t>
            </w:r>
          </w:p>
        </w:tc>
        <w:tc>
          <w:tcPr>
            <w:tcW w:w="6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0.0</w:t>
            </w:r>
          </w:p>
        </w:tc>
        <w:tc>
          <w:tcPr>
            <w:tcW w:w="6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1.4</w:t>
            </w:r>
          </w:p>
        </w:tc>
        <w:tc>
          <w:tcPr>
            <w:tcW w:w="6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0.3</w:t>
            </w:r>
          </w:p>
        </w:tc>
        <w:tc>
          <w:tcPr>
            <w:tcW w:w="85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18.4</w:t>
            </w:r>
          </w:p>
        </w:tc>
      </w:tr>
      <w:tr w:rsidR="00612FD3" w:rsidTr="00C661AF">
        <w:trPr>
          <w:trHeight w:val="230"/>
        </w:trPr>
        <w:tc>
          <w:tcPr>
            <w:tcW w:w="2127" w:type="dxa"/>
            <w:gridSpan w:val="2"/>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jc w:val="left"/>
              <w:rPr>
                <w:lang w:val="en-GB"/>
              </w:rPr>
            </w:pPr>
            <w:r>
              <w:rPr>
                <w:lang w:val="en-GB"/>
              </w:rPr>
              <w:t xml:space="preserve">Green Star penetration (%) </w:t>
            </w:r>
            <w:r>
              <w:rPr>
                <w:rStyle w:val="NoteLabel"/>
              </w:rPr>
              <w:t>b</w:t>
            </w:r>
          </w:p>
        </w:tc>
        <w:tc>
          <w:tcPr>
            <w:tcW w:w="46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26</w:t>
            </w:r>
          </w:p>
        </w:tc>
        <w:tc>
          <w:tcPr>
            <w:tcW w:w="6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33</w:t>
            </w:r>
          </w:p>
        </w:tc>
        <w:tc>
          <w:tcPr>
            <w:tcW w:w="6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38</w:t>
            </w:r>
          </w:p>
        </w:tc>
        <w:tc>
          <w:tcPr>
            <w:tcW w:w="6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29</w:t>
            </w:r>
          </w:p>
        </w:tc>
        <w:tc>
          <w:tcPr>
            <w:tcW w:w="6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38</w:t>
            </w:r>
          </w:p>
        </w:tc>
        <w:tc>
          <w:tcPr>
            <w:tcW w:w="6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10</w:t>
            </w:r>
          </w:p>
        </w:tc>
        <w:tc>
          <w:tcPr>
            <w:tcW w:w="6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28</w:t>
            </w:r>
          </w:p>
        </w:tc>
        <w:tc>
          <w:tcPr>
            <w:tcW w:w="6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8</w:t>
            </w:r>
          </w:p>
        </w:tc>
        <w:tc>
          <w:tcPr>
            <w:tcW w:w="85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p>
        </w:tc>
      </w:tr>
      <w:tr w:rsidR="00C661AF" w:rsidTr="00817952">
        <w:trPr>
          <w:trHeight w:val="230"/>
        </w:trPr>
        <w:tc>
          <w:tcPr>
            <w:tcW w:w="8222" w:type="dxa"/>
            <w:gridSpan w:val="11"/>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C661AF" w:rsidRDefault="00C661AF" w:rsidP="00C661AF">
            <w:pPr>
              <w:pStyle w:val="TableHeading1"/>
              <w:rPr>
                <w:lang w:val="en-GB"/>
              </w:rPr>
            </w:pPr>
            <w:r>
              <w:rPr>
                <w:lang w:val="en-GB"/>
              </w:rPr>
              <w:t>Estimated n</w:t>
            </w:r>
            <w:r w:rsidRPr="00543A67">
              <w:rPr>
                <w:lang w:val="en-GB"/>
              </w:rPr>
              <w:t>umber of buildings (No.)</w:t>
            </w:r>
            <w:r w:rsidRPr="00B47ACA">
              <w:rPr>
                <w:rStyle w:val="NoteLabel"/>
              </w:rPr>
              <w:t xml:space="preserve"> </w:t>
            </w:r>
            <w:r>
              <w:rPr>
                <w:rStyle w:val="NoteLabel"/>
              </w:rPr>
              <w:t>c</w:t>
            </w:r>
          </w:p>
        </w:tc>
      </w:tr>
      <w:tr w:rsidR="00612FD3" w:rsidTr="00C661AF">
        <w:trPr>
          <w:trHeight w:val="230"/>
        </w:trPr>
        <w:tc>
          <w:tcPr>
            <w:tcW w:w="175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jc w:val="left"/>
              <w:rPr>
                <w:lang w:val="en-GB"/>
              </w:rPr>
            </w:pPr>
            <w:r>
              <w:rPr>
                <w:lang w:val="en-GB"/>
              </w:rPr>
              <w:t>2019</w:t>
            </w:r>
          </w:p>
        </w:tc>
        <w:tc>
          <w:tcPr>
            <w:tcW w:w="832" w:type="dxa"/>
            <w:gridSpan w:val="2"/>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24.4</w:t>
            </w:r>
          </w:p>
        </w:tc>
        <w:tc>
          <w:tcPr>
            <w:tcW w:w="6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7.2</w:t>
            </w:r>
          </w:p>
        </w:tc>
        <w:tc>
          <w:tcPr>
            <w:tcW w:w="6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15.9</w:t>
            </w:r>
          </w:p>
        </w:tc>
        <w:tc>
          <w:tcPr>
            <w:tcW w:w="6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3.2</w:t>
            </w:r>
          </w:p>
        </w:tc>
        <w:tc>
          <w:tcPr>
            <w:tcW w:w="6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9.7</w:t>
            </w:r>
          </w:p>
        </w:tc>
        <w:tc>
          <w:tcPr>
            <w:tcW w:w="6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0.1</w:t>
            </w:r>
          </w:p>
        </w:tc>
        <w:tc>
          <w:tcPr>
            <w:tcW w:w="6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3.9</w:t>
            </w:r>
          </w:p>
        </w:tc>
        <w:tc>
          <w:tcPr>
            <w:tcW w:w="6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0.4</w:t>
            </w:r>
          </w:p>
        </w:tc>
        <w:tc>
          <w:tcPr>
            <w:tcW w:w="85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64.9</w:t>
            </w:r>
          </w:p>
        </w:tc>
      </w:tr>
      <w:tr w:rsidR="00612FD3" w:rsidTr="00C661AF">
        <w:trPr>
          <w:trHeight w:val="230"/>
        </w:trPr>
        <w:tc>
          <w:tcPr>
            <w:tcW w:w="175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jc w:val="left"/>
              <w:rPr>
                <w:lang w:val="en-GB"/>
              </w:rPr>
            </w:pPr>
            <w:r>
              <w:rPr>
                <w:lang w:val="en-GB"/>
              </w:rPr>
              <w:t>2020</w:t>
            </w:r>
          </w:p>
        </w:tc>
        <w:tc>
          <w:tcPr>
            <w:tcW w:w="832" w:type="dxa"/>
            <w:gridSpan w:val="2"/>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24.4</w:t>
            </w:r>
          </w:p>
        </w:tc>
        <w:tc>
          <w:tcPr>
            <w:tcW w:w="6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8.1</w:t>
            </w:r>
          </w:p>
        </w:tc>
        <w:tc>
          <w:tcPr>
            <w:tcW w:w="6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13.8</w:t>
            </w:r>
          </w:p>
        </w:tc>
        <w:tc>
          <w:tcPr>
            <w:tcW w:w="6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3.5</w:t>
            </w:r>
          </w:p>
        </w:tc>
        <w:tc>
          <w:tcPr>
            <w:tcW w:w="6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9.6</w:t>
            </w:r>
          </w:p>
        </w:tc>
        <w:tc>
          <w:tcPr>
            <w:tcW w:w="6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0.2</w:t>
            </w:r>
          </w:p>
        </w:tc>
        <w:tc>
          <w:tcPr>
            <w:tcW w:w="6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4.7</w:t>
            </w:r>
          </w:p>
        </w:tc>
        <w:tc>
          <w:tcPr>
            <w:tcW w:w="6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0.4</w:t>
            </w:r>
          </w:p>
        </w:tc>
        <w:tc>
          <w:tcPr>
            <w:tcW w:w="85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64.9</w:t>
            </w:r>
          </w:p>
        </w:tc>
      </w:tr>
      <w:tr w:rsidR="00612FD3" w:rsidTr="00C661AF">
        <w:trPr>
          <w:trHeight w:val="230"/>
        </w:trPr>
        <w:tc>
          <w:tcPr>
            <w:tcW w:w="175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jc w:val="left"/>
              <w:rPr>
                <w:lang w:val="en-GB"/>
              </w:rPr>
            </w:pPr>
            <w:r>
              <w:rPr>
                <w:lang w:val="en-GB"/>
              </w:rPr>
              <w:t>2021</w:t>
            </w:r>
          </w:p>
        </w:tc>
        <w:tc>
          <w:tcPr>
            <w:tcW w:w="832" w:type="dxa"/>
            <w:gridSpan w:val="2"/>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22.1</w:t>
            </w:r>
          </w:p>
        </w:tc>
        <w:tc>
          <w:tcPr>
            <w:tcW w:w="6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16.2</w:t>
            </w:r>
          </w:p>
        </w:tc>
        <w:tc>
          <w:tcPr>
            <w:tcW w:w="6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14.0</w:t>
            </w:r>
          </w:p>
        </w:tc>
        <w:tc>
          <w:tcPr>
            <w:tcW w:w="6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2.5</w:t>
            </w:r>
          </w:p>
        </w:tc>
        <w:tc>
          <w:tcPr>
            <w:tcW w:w="6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9.6</w:t>
            </w:r>
          </w:p>
        </w:tc>
        <w:tc>
          <w:tcPr>
            <w:tcW w:w="6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0.2</w:t>
            </w:r>
          </w:p>
        </w:tc>
        <w:tc>
          <w:tcPr>
            <w:tcW w:w="6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4.2</w:t>
            </w:r>
          </w:p>
        </w:tc>
        <w:tc>
          <w:tcPr>
            <w:tcW w:w="6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0.4</w:t>
            </w:r>
          </w:p>
        </w:tc>
        <w:tc>
          <w:tcPr>
            <w:tcW w:w="85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69.2</w:t>
            </w:r>
          </w:p>
        </w:tc>
      </w:tr>
      <w:tr w:rsidR="00612FD3" w:rsidTr="00C661AF">
        <w:trPr>
          <w:trHeight w:val="230"/>
        </w:trPr>
        <w:tc>
          <w:tcPr>
            <w:tcW w:w="175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jc w:val="left"/>
              <w:rPr>
                <w:lang w:val="en-GB"/>
              </w:rPr>
            </w:pPr>
            <w:r>
              <w:rPr>
                <w:lang w:val="en-GB"/>
              </w:rPr>
              <w:t>2022</w:t>
            </w:r>
          </w:p>
        </w:tc>
        <w:tc>
          <w:tcPr>
            <w:tcW w:w="832" w:type="dxa"/>
            <w:gridSpan w:val="2"/>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22.2</w:t>
            </w:r>
          </w:p>
        </w:tc>
        <w:tc>
          <w:tcPr>
            <w:tcW w:w="6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16.3</w:t>
            </w:r>
          </w:p>
        </w:tc>
        <w:tc>
          <w:tcPr>
            <w:tcW w:w="6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14.2</w:t>
            </w:r>
          </w:p>
        </w:tc>
        <w:tc>
          <w:tcPr>
            <w:tcW w:w="6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2.5</w:t>
            </w:r>
          </w:p>
        </w:tc>
        <w:tc>
          <w:tcPr>
            <w:tcW w:w="6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9.6</w:t>
            </w:r>
          </w:p>
        </w:tc>
        <w:tc>
          <w:tcPr>
            <w:tcW w:w="6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0.2</w:t>
            </w:r>
          </w:p>
        </w:tc>
        <w:tc>
          <w:tcPr>
            <w:tcW w:w="6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4.3</w:t>
            </w:r>
          </w:p>
        </w:tc>
        <w:tc>
          <w:tcPr>
            <w:tcW w:w="6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0.4</w:t>
            </w:r>
          </w:p>
        </w:tc>
        <w:tc>
          <w:tcPr>
            <w:tcW w:w="85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69.7</w:t>
            </w:r>
          </w:p>
        </w:tc>
      </w:tr>
      <w:tr w:rsidR="00612FD3" w:rsidTr="00C661AF">
        <w:trPr>
          <w:trHeight w:val="230"/>
        </w:trPr>
        <w:tc>
          <w:tcPr>
            <w:tcW w:w="175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jc w:val="left"/>
              <w:rPr>
                <w:lang w:val="en-GB"/>
              </w:rPr>
            </w:pPr>
            <w:r>
              <w:rPr>
                <w:lang w:val="en-GB"/>
              </w:rPr>
              <w:t>2023</w:t>
            </w:r>
          </w:p>
        </w:tc>
        <w:tc>
          <w:tcPr>
            <w:tcW w:w="832" w:type="dxa"/>
            <w:gridSpan w:val="2"/>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22.5</w:t>
            </w:r>
          </w:p>
        </w:tc>
        <w:tc>
          <w:tcPr>
            <w:tcW w:w="6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16.6</w:t>
            </w:r>
          </w:p>
        </w:tc>
        <w:tc>
          <w:tcPr>
            <w:tcW w:w="6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14.5</w:t>
            </w:r>
          </w:p>
        </w:tc>
        <w:tc>
          <w:tcPr>
            <w:tcW w:w="6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2.5</w:t>
            </w:r>
          </w:p>
        </w:tc>
        <w:tc>
          <w:tcPr>
            <w:tcW w:w="6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9.7</w:t>
            </w:r>
          </w:p>
        </w:tc>
        <w:tc>
          <w:tcPr>
            <w:tcW w:w="6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0.2</w:t>
            </w:r>
          </w:p>
        </w:tc>
        <w:tc>
          <w:tcPr>
            <w:tcW w:w="6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4.3</w:t>
            </w:r>
          </w:p>
        </w:tc>
        <w:tc>
          <w:tcPr>
            <w:tcW w:w="6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0.4</w:t>
            </w:r>
          </w:p>
        </w:tc>
        <w:tc>
          <w:tcPr>
            <w:tcW w:w="85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70.8</w:t>
            </w:r>
          </w:p>
        </w:tc>
      </w:tr>
      <w:tr w:rsidR="00612FD3" w:rsidTr="00C661AF">
        <w:trPr>
          <w:trHeight w:val="230"/>
        </w:trPr>
        <w:tc>
          <w:tcPr>
            <w:tcW w:w="175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jc w:val="left"/>
              <w:rPr>
                <w:lang w:val="en-GB"/>
              </w:rPr>
            </w:pPr>
            <w:r>
              <w:rPr>
                <w:lang w:val="en-GB"/>
              </w:rPr>
              <w:t>2024</w:t>
            </w:r>
          </w:p>
        </w:tc>
        <w:tc>
          <w:tcPr>
            <w:tcW w:w="832" w:type="dxa"/>
            <w:gridSpan w:val="2"/>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22.8</w:t>
            </w:r>
          </w:p>
        </w:tc>
        <w:tc>
          <w:tcPr>
            <w:tcW w:w="6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17.0</w:t>
            </w:r>
          </w:p>
        </w:tc>
        <w:tc>
          <w:tcPr>
            <w:tcW w:w="6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14.8</w:t>
            </w:r>
          </w:p>
        </w:tc>
        <w:tc>
          <w:tcPr>
            <w:tcW w:w="6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2.6</w:t>
            </w:r>
          </w:p>
        </w:tc>
        <w:tc>
          <w:tcPr>
            <w:tcW w:w="6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9.8</w:t>
            </w:r>
          </w:p>
        </w:tc>
        <w:tc>
          <w:tcPr>
            <w:tcW w:w="6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0.2</w:t>
            </w:r>
          </w:p>
        </w:tc>
        <w:tc>
          <w:tcPr>
            <w:tcW w:w="6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4.4</w:t>
            </w:r>
          </w:p>
        </w:tc>
        <w:tc>
          <w:tcPr>
            <w:tcW w:w="6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0.4</w:t>
            </w:r>
          </w:p>
        </w:tc>
        <w:tc>
          <w:tcPr>
            <w:tcW w:w="85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72.1</w:t>
            </w:r>
          </w:p>
        </w:tc>
      </w:tr>
      <w:tr w:rsidR="00612FD3" w:rsidTr="00C661AF">
        <w:trPr>
          <w:trHeight w:val="230"/>
        </w:trPr>
        <w:tc>
          <w:tcPr>
            <w:tcW w:w="175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jc w:val="left"/>
              <w:rPr>
                <w:lang w:val="en-GB"/>
              </w:rPr>
            </w:pPr>
            <w:r>
              <w:rPr>
                <w:lang w:val="en-GB"/>
              </w:rPr>
              <w:t>2025</w:t>
            </w:r>
          </w:p>
        </w:tc>
        <w:tc>
          <w:tcPr>
            <w:tcW w:w="832" w:type="dxa"/>
            <w:gridSpan w:val="2"/>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23.0</w:t>
            </w:r>
          </w:p>
        </w:tc>
        <w:tc>
          <w:tcPr>
            <w:tcW w:w="6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17.1</w:t>
            </w:r>
          </w:p>
        </w:tc>
        <w:tc>
          <w:tcPr>
            <w:tcW w:w="6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14.8</w:t>
            </w:r>
          </w:p>
        </w:tc>
        <w:tc>
          <w:tcPr>
            <w:tcW w:w="6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2.6</w:t>
            </w:r>
          </w:p>
        </w:tc>
        <w:tc>
          <w:tcPr>
            <w:tcW w:w="6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9.9</w:t>
            </w:r>
          </w:p>
        </w:tc>
        <w:tc>
          <w:tcPr>
            <w:tcW w:w="6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0.2</w:t>
            </w:r>
          </w:p>
        </w:tc>
        <w:tc>
          <w:tcPr>
            <w:tcW w:w="6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4.4</w:t>
            </w:r>
          </w:p>
        </w:tc>
        <w:tc>
          <w:tcPr>
            <w:tcW w:w="6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0.4</w:t>
            </w:r>
          </w:p>
        </w:tc>
        <w:tc>
          <w:tcPr>
            <w:tcW w:w="85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72.5</w:t>
            </w:r>
          </w:p>
        </w:tc>
      </w:tr>
      <w:tr w:rsidR="00612FD3" w:rsidTr="00C661AF">
        <w:trPr>
          <w:trHeight w:val="230"/>
        </w:trPr>
        <w:tc>
          <w:tcPr>
            <w:tcW w:w="175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jc w:val="left"/>
              <w:rPr>
                <w:lang w:val="en-GB"/>
              </w:rPr>
            </w:pPr>
            <w:r>
              <w:rPr>
                <w:lang w:val="en-GB"/>
              </w:rPr>
              <w:t>2026</w:t>
            </w:r>
          </w:p>
        </w:tc>
        <w:tc>
          <w:tcPr>
            <w:tcW w:w="832" w:type="dxa"/>
            <w:gridSpan w:val="2"/>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23.2</w:t>
            </w:r>
          </w:p>
        </w:tc>
        <w:tc>
          <w:tcPr>
            <w:tcW w:w="6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17.5</w:t>
            </w:r>
          </w:p>
        </w:tc>
        <w:tc>
          <w:tcPr>
            <w:tcW w:w="6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15.1</w:t>
            </w:r>
          </w:p>
        </w:tc>
        <w:tc>
          <w:tcPr>
            <w:tcW w:w="6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2.6</w:t>
            </w:r>
          </w:p>
        </w:tc>
        <w:tc>
          <w:tcPr>
            <w:tcW w:w="6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9.9</w:t>
            </w:r>
          </w:p>
        </w:tc>
        <w:tc>
          <w:tcPr>
            <w:tcW w:w="6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0.2</w:t>
            </w:r>
          </w:p>
        </w:tc>
        <w:tc>
          <w:tcPr>
            <w:tcW w:w="6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4.5</w:t>
            </w:r>
          </w:p>
        </w:tc>
        <w:tc>
          <w:tcPr>
            <w:tcW w:w="6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0.4</w:t>
            </w:r>
          </w:p>
        </w:tc>
        <w:tc>
          <w:tcPr>
            <w:tcW w:w="85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73.5</w:t>
            </w:r>
          </w:p>
        </w:tc>
      </w:tr>
      <w:tr w:rsidR="00612FD3" w:rsidTr="00C661AF">
        <w:trPr>
          <w:trHeight w:val="230"/>
        </w:trPr>
        <w:tc>
          <w:tcPr>
            <w:tcW w:w="175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jc w:val="left"/>
              <w:rPr>
                <w:lang w:val="en-GB"/>
              </w:rPr>
            </w:pPr>
            <w:r>
              <w:rPr>
                <w:lang w:val="en-GB"/>
              </w:rPr>
              <w:t>2027</w:t>
            </w:r>
          </w:p>
        </w:tc>
        <w:tc>
          <w:tcPr>
            <w:tcW w:w="832" w:type="dxa"/>
            <w:gridSpan w:val="2"/>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23.3</w:t>
            </w:r>
          </w:p>
        </w:tc>
        <w:tc>
          <w:tcPr>
            <w:tcW w:w="6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17.6</w:t>
            </w:r>
          </w:p>
        </w:tc>
        <w:tc>
          <w:tcPr>
            <w:tcW w:w="6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15.2</w:t>
            </w:r>
          </w:p>
        </w:tc>
        <w:tc>
          <w:tcPr>
            <w:tcW w:w="6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2.6</w:t>
            </w:r>
          </w:p>
        </w:tc>
        <w:tc>
          <w:tcPr>
            <w:tcW w:w="6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9.9</w:t>
            </w:r>
          </w:p>
        </w:tc>
        <w:tc>
          <w:tcPr>
            <w:tcW w:w="6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0.2</w:t>
            </w:r>
          </w:p>
        </w:tc>
        <w:tc>
          <w:tcPr>
            <w:tcW w:w="6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4.6</w:t>
            </w:r>
          </w:p>
        </w:tc>
        <w:tc>
          <w:tcPr>
            <w:tcW w:w="6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0.4</w:t>
            </w:r>
          </w:p>
        </w:tc>
        <w:tc>
          <w:tcPr>
            <w:tcW w:w="85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73.8</w:t>
            </w:r>
          </w:p>
        </w:tc>
      </w:tr>
      <w:tr w:rsidR="00612FD3" w:rsidTr="00C661AF">
        <w:trPr>
          <w:trHeight w:val="230"/>
        </w:trPr>
        <w:tc>
          <w:tcPr>
            <w:tcW w:w="175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jc w:val="left"/>
              <w:rPr>
                <w:lang w:val="en-GB"/>
              </w:rPr>
            </w:pPr>
            <w:r>
              <w:rPr>
                <w:lang w:val="en-GB"/>
              </w:rPr>
              <w:t>2028</w:t>
            </w:r>
          </w:p>
        </w:tc>
        <w:tc>
          <w:tcPr>
            <w:tcW w:w="832" w:type="dxa"/>
            <w:gridSpan w:val="2"/>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23.7</w:t>
            </w:r>
          </w:p>
        </w:tc>
        <w:tc>
          <w:tcPr>
            <w:tcW w:w="6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17.9</w:t>
            </w:r>
          </w:p>
        </w:tc>
        <w:tc>
          <w:tcPr>
            <w:tcW w:w="6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15.3</w:t>
            </w:r>
          </w:p>
        </w:tc>
        <w:tc>
          <w:tcPr>
            <w:tcW w:w="6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2.7</w:t>
            </w:r>
          </w:p>
        </w:tc>
        <w:tc>
          <w:tcPr>
            <w:tcW w:w="6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10.0</w:t>
            </w:r>
          </w:p>
        </w:tc>
        <w:tc>
          <w:tcPr>
            <w:tcW w:w="6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0.2</w:t>
            </w:r>
          </w:p>
        </w:tc>
        <w:tc>
          <w:tcPr>
            <w:tcW w:w="6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4.7</w:t>
            </w:r>
          </w:p>
        </w:tc>
        <w:tc>
          <w:tcPr>
            <w:tcW w:w="6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0.5</w:t>
            </w:r>
          </w:p>
        </w:tc>
        <w:tc>
          <w:tcPr>
            <w:tcW w:w="85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74.9</w:t>
            </w:r>
          </w:p>
        </w:tc>
      </w:tr>
      <w:tr w:rsidR="00C661AF" w:rsidTr="00817952">
        <w:trPr>
          <w:trHeight w:val="230"/>
        </w:trPr>
        <w:tc>
          <w:tcPr>
            <w:tcW w:w="8222" w:type="dxa"/>
            <w:gridSpan w:val="11"/>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C661AF" w:rsidRDefault="00C661AF" w:rsidP="00C661AF">
            <w:pPr>
              <w:pStyle w:val="TableDataEntries"/>
              <w:spacing w:before="140" w:after="80"/>
              <w:jc w:val="left"/>
              <w:rPr>
                <w:lang w:val="en-GB"/>
              </w:rPr>
            </w:pPr>
            <w:r w:rsidRPr="00C661AF">
              <w:rPr>
                <w:rFonts w:ascii="Franklin Gothic Demi" w:hAnsi="Franklin Gothic Demi"/>
                <w:color w:val="6F6652" w:themeColor="text2"/>
                <w:lang w:val="en-GB"/>
              </w:rPr>
              <w:t>Cost saving ($'000)</w:t>
            </w:r>
            <w:r>
              <w:rPr>
                <w:lang w:val="en-GB"/>
              </w:rPr>
              <w:t xml:space="preserve"> </w:t>
            </w:r>
            <w:r>
              <w:rPr>
                <w:rStyle w:val="NoteLabel"/>
              </w:rPr>
              <w:t>d</w:t>
            </w:r>
          </w:p>
        </w:tc>
      </w:tr>
      <w:tr w:rsidR="00612FD3" w:rsidTr="00C661AF">
        <w:trPr>
          <w:trHeight w:val="230"/>
        </w:trPr>
        <w:tc>
          <w:tcPr>
            <w:tcW w:w="175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jc w:val="left"/>
              <w:rPr>
                <w:lang w:val="en-GB"/>
              </w:rPr>
            </w:pPr>
            <w:r>
              <w:rPr>
                <w:lang w:val="en-GB"/>
              </w:rPr>
              <w:t>2019</w:t>
            </w:r>
          </w:p>
        </w:tc>
        <w:tc>
          <w:tcPr>
            <w:tcW w:w="832" w:type="dxa"/>
            <w:gridSpan w:val="2"/>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244.3</w:t>
            </w:r>
          </w:p>
        </w:tc>
        <w:tc>
          <w:tcPr>
            <w:tcW w:w="6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72.0</w:t>
            </w:r>
          </w:p>
        </w:tc>
        <w:tc>
          <w:tcPr>
            <w:tcW w:w="6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159.5</w:t>
            </w:r>
          </w:p>
        </w:tc>
        <w:tc>
          <w:tcPr>
            <w:tcW w:w="6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31.8</w:t>
            </w:r>
          </w:p>
        </w:tc>
        <w:tc>
          <w:tcPr>
            <w:tcW w:w="6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96.5</w:t>
            </w:r>
          </w:p>
        </w:tc>
        <w:tc>
          <w:tcPr>
            <w:tcW w:w="6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1.4</w:t>
            </w:r>
          </w:p>
        </w:tc>
        <w:tc>
          <w:tcPr>
            <w:tcW w:w="6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39.0</w:t>
            </w:r>
          </w:p>
        </w:tc>
        <w:tc>
          <w:tcPr>
            <w:tcW w:w="6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4.4</w:t>
            </w:r>
          </w:p>
        </w:tc>
        <w:tc>
          <w:tcPr>
            <w:tcW w:w="85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648.8</w:t>
            </w:r>
          </w:p>
        </w:tc>
      </w:tr>
      <w:tr w:rsidR="00612FD3" w:rsidTr="00C661AF">
        <w:trPr>
          <w:trHeight w:val="230"/>
        </w:trPr>
        <w:tc>
          <w:tcPr>
            <w:tcW w:w="175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jc w:val="left"/>
              <w:rPr>
                <w:lang w:val="en-GB"/>
              </w:rPr>
            </w:pPr>
            <w:r>
              <w:rPr>
                <w:lang w:val="en-GB"/>
              </w:rPr>
              <w:t>2020</w:t>
            </w:r>
          </w:p>
        </w:tc>
        <w:tc>
          <w:tcPr>
            <w:tcW w:w="832" w:type="dxa"/>
            <w:gridSpan w:val="2"/>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244.3</w:t>
            </w:r>
          </w:p>
        </w:tc>
        <w:tc>
          <w:tcPr>
            <w:tcW w:w="6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81.3</w:t>
            </w:r>
          </w:p>
        </w:tc>
        <w:tc>
          <w:tcPr>
            <w:tcW w:w="6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138.3</w:t>
            </w:r>
          </w:p>
        </w:tc>
        <w:tc>
          <w:tcPr>
            <w:tcW w:w="6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35.5</w:t>
            </w:r>
          </w:p>
        </w:tc>
        <w:tc>
          <w:tcPr>
            <w:tcW w:w="6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96.1</w:t>
            </w:r>
          </w:p>
        </w:tc>
        <w:tc>
          <w:tcPr>
            <w:tcW w:w="6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1.9</w:t>
            </w:r>
          </w:p>
        </w:tc>
        <w:tc>
          <w:tcPr>
            <w:tcW w:w="6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46.9</w:t>
            </w:r>
          </w:p>
        </w:tc>
        <w:tc>
          <w:tcPr>
            <w:tcW w:w="6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4.3</w:t>
            </w:r>
          </w:p>
        </w:tc>
        <w:tc>
          <w:tcPr>
            <w:tcW w:w="85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648.6</w:t>
            </w:r>
          </w:p>
        </w:tc>
      </w:tr>
      <w:tr w:rsidR="00612FD3" w:rsidTr="00C661AF">
        <w:trPr>
          <w:trHeight w:val="230"/>
        </w:trPr>
        <w:tc>
          <w:tcPr>
            <w:tcW w:w="175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jc w:val="left"/>
              <w:rPr>
                <w:lang w:val="en-GB"/>
              </w:rPr>
            </w:pPr>
            <w:r>
              <w:rPr>
                <w:lang w:val="en-GB"/>
              </w:rPr>
              <w:t>2021</w:t>
            </w:r>
          </w:p>
        </w:tc>
        <w:tc>
          <w:tcPr>
            <w:tcW w:w="832" w:type="dxa"/>
            <w:gridSpan w:val="2"/>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221.0</w:t>
            </w:r>
          </w:p>
        </w:tc>
        <w:tc>
          <w:tcPr>
            <w:tcW w:w="6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161.7</w:t>
            </w:r>
          </w:p>
        </w:tc>
        <w:tc>
          <w:tcPr>
            <w:tcW w:w="6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140.4</w:t>
            </w:r>
          </w:p>
        </w:tc>
        <w:tc>
          <w:tcPr>
            <w:tcW w:w="6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24.6</w:t>
            </w:r>
          </w:p>
        </w:tc>
        <w:tc>
          <w:tcPr>
            <w:tcW w:w="6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95.9</w:t>
            </w:r>
          </w:p>
        </w:tc>
        <w:tc>
          <w:tcPr>
            <w:tcW w:w="6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1.8</w:t>
            </w:r>
          </w:p>
        </w:tc>
        <w:tc>
          <w:tcPr>
            <w:tcW w:w="6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42.1</w:t>
            </w:r>
          </w:p>
        </w:tc>
        <w:tc>
          <w:tcPr>
            <w:tcW w:w="6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4.3</w:t>
            </w:r>
          </w:p>
        </w:tc>
        <w:tc>
          <w:tcPr>
            <w:tcW w:w="85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691.8</w:t>
            </w:r>
          </w:p>
        </w:tc>
      </w:tr>
      <w:tr w:rsidR="00612FD3" w:rsidTr="00C661AF">
        <w:trPr>
          <w:trHeight w:val="230"/>
        </w:trPr>
        <w:tc>
          <w:tcPr>
            <w:tcW w:w="175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jc w:val="left"/>
              <w:rPr>
                <w:lang w:val="en-GB"/>
              </w:rPr>
            </w:pPr>
            <w:r>
              <w:rPr>
                <w:lang w:val="en-GB"/>
              </w:rPr>
              <w:t>2022</w:t>
            </w:r>
          </w:p>
        </w:tc>
        <w:tc>
          <w:tcPr>
            <w:tcW w:w="832" w:type="dxa"/>
            <w:gridSpan w:val="2"/>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222.4</w:t>
            </w:r>
          </w:p>
        </w:tc>
        <w:tc>
          <w:tcPr>
            <w:tcW w:w="6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163.3</w:t>
            </w:r>
          </w:p>
        </w:tc>
        <w:tc>
          <w:tcPr>
            <w:tcW w:w="6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142.3</w:t>
            </w:r>
          </w:p>
        </w:tc>
        <w:tc>
          <w:tcPr>
            <w:tcW w:w="6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24.8</w:t>
            </w:r>
          </w:p>
        </w:tc>
        <w:tc>
          <w:tcPr>
            <w:tcW w:w="6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95.8</w:t>
            </w:r>
          </w:p>
        </w:tc>
        <w:tc>
          <w:tcPr>
            <w:tcW w:w="6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1.8</w:t>
            </w:r>
          </w:p>
        </w:tc>
        <w:tc>
          <w:tcPr>
            <w:tcW w:w="6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42.5</w:t>
            </w:r>
          </w:p>
        </w:tc>
        <w:tc>
          <w:tcPr>
            <w:tcW w:w="6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4.3</w:t>
            </w:r>
          </w:p>
        </w:tc>
        <w:tc>
          <w:tcPr>
            <w:tcW w:w="85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697.3</w:t>
            </w:r>
          </w:p>
        </w:tc>
      </w:tr>
      <w:tr w:rsidR="00612FD3" w:rsidTr="00C661AF">
        <w:trPr>
          <w:trHeight w:val="230"/>
        </w:trPr>
        <w:tc>
          <w:tcPr>
            <w:tcW w:w="175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jc w:val="left"/>
              <w:rPr>
                <w:lang w:val="en-GB"/>
              </w:rPr>
            </w:pPr>
            <w:r>
              <w:rPr>
                <w:lang w:val="en-GB"/>
              </w:rPr>
              <w:t>2023</w:t>
            </w:r>
          </w:p>
        </w:tc>
        <w:tc>
          <w:tcPr>
            <w:tcW w:w="832" w:type="dxa"/>
            <w:gridSpan w:val="2"/>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224.8</w:t>
            </w:r>
          </w:p>
        </w:tc>
        <w:tc>
          <w:tcPr>
            <w:tcW w:w="6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166.3</w:t>
            </w:r>
          </w:p>
        </w:tc>
        <w:tc>
          <w:tcPr>
            <w:tcW w:w="6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145.5</w:t>
            </w:r>
          </w:p>
        </w:tc>
        <w:tc>
          <w:tcPr>
            <w:tcW w:w="6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25.0</w:t>
            </w:r>
          </w:p>
        </w:tc>
        <w:tc>
          <w:tcPr>
            <w:tcW w:w="6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96.9</w:t>
            </w:r>
          </w:p>
        </w:tc>
        <w:tc>
          <w:tcPr>
            <w:tcW w:w="6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1.9</w:t>
            </w:r>
          </w:p>
        </w:tc>
        <w:tc>
          <w:tcPr>
            <w:tcW w:w="6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43.3</w:t>
            </w:r>
          </w:p>
        </w:tc>
        <w:tc>
          <w:tcPr>
            <w:tcW w:w="6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4.4</w:t>
            </w:r>
          </w:p>
        </w:tc>
        <w:tc>
          <w:tcPr>
            <w:tcW w:w="85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708.0</w:t>
            </w:r>
          </w:p>
        </w:tc>
      </w:tr>
      <w:tr w:rsidR="00612FD3" w:rsidTr="00C661AF">
        <w:trPr>
          <w:trHeight w:val="230"/>
        </w:trPr>
        <w:tc>
          <w:tcPr>
            <w:tcW w:w="175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jc w:val="left"/>
              <w:rPr>
                <w:lang w:val="en-GB"/>
              </w:rPr>
            </w:pPr>
            <w:r>
              <w:rPr>
                <w:lang w:val="en-GB"/>
              </w:rPr>
              <w:t>2024</w:t>
            </w:r>
          </w:p>
        </w:tc>
        <w:tc>
          <w:tcPr>
            <w:tcW w:w="832" w:type="dxa"/>
            <w:gridSpan w:val="2"/>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228.0</w:t>
            </w:r>
          </w:p>
        </w:tc>
        <w:tc>
          <w:tcPr>
            <w:tcW w:w="6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170.5</w:t>
            </w:r>
          </w:p>
        </w:tc>
        <w:tc>
          <w:tcPr>
            <w:tcW w:w="6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148.0</w:t>
            </w:r>
          </w:p>
        </w:tc>
        <w:tc>
          <w:tcPr>
            <w:tcW w:w="6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25.5</w:t>
            </w:r>
          </w:p>
        </w:tc>
        <w:tc>
          <w:tcPr>
            <w:tcW w:w="6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98.3</w:t>
            </w:r>
          </w:p>
        </w:tc>
        <w:tc>
          <w:tcPr>
            <w:tcW w:w="6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1.9</w:t>
            </w:r>
          </w:p>
        </w:tc>
        <w:tc>
          <w:tcPr>
            <w:tcW w:w="6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44.3</w:t>
            </w:r>
          </w:p>
        </w:tc>
        <w:tc>
          <w:tcPr>
            <w:tcW w:w="6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4.4</w:t>
            </w:r>
          </w:p>
        </w:tc>
        <w:tc>
          <w:tcPr>
            <w:tcW w:w="85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721.1</w:t>
            </w:r>
          </w:p>
        </w:tc>
      </w:tr>
      <w:tr w:rsidR="00612FD3" w:rsidTr="00C661AF">
        <w:trPr>
          <w:trHeight w:val="230"/>
        </w:trPr>
        <w:tc>
          <w:tcPr>
            <w:tcW w:w="175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jc w:val="left"/>
              <w:rPr>
                <w:lang w:val="en-GB"/>
              </w:rPr>
            </w:pPr>
            <w:r>
              <w:rPr>
                <w:lang w:val="en-GB"/>
              </w:rPr>
              <w:t>2025</w:t>
            </w:r>
          </w:p>
        </w:tc>
        <w:tc>
          <w:tcPr>
            <w:tcW w:w="832" w:type="dxa"/>
            <w:gridSpan w:val="2"/>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230.1</w:t>
            </w:r>
          </w:p>
        </w:tc>
        <w:tc>
          <w:tcPr>
            <w:tcW w:w="6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171.4</w:t>
            </w:r>
          </w:p>
        </w:tc>
        <w:tc>
          <w:tcPr>
            <w:tcW w:w="6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148.4</w:t>
            </w:r>
          </w:p>
        </w:tc>
        <w:tc>
          <w:tcPr>
            <w:tcW w:w="6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25.6</w:t>
            </w:r>
          </w:p>
        </w:tc>
        <w:tc>
          <w:tcPr>
            <w:tcW w:w="6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98.6</w:t>
            </w:r>
          </w:p>
        </w:tc>
        <w:tc>
          <w:tcPr>
            <w:tcW w:w="6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1.9</w:t>
            </w:r>
          </w:p>
        </w:tc>
        <w:tc>
          <w:tcPr>
            <w:tcW w:w="6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44.4</w:t>
            </w:r>
          </w:p>
        </w:tc>
        <w:tc>
          <w:tcPr>
            <w:tcW w:w="6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4.4</w:t>
            </w:r>
          </w:p>
        </w:tc>
        <w:tc>
          <w:tcPr>
            <w:tcW w:w="85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724.8</w:t>
            </w:r>
          </w:p>
        </w:tc>
      </w:tr>
      <w:tr w:rsidR="00612FD3" w:rsidTr="00C661AF">
        <w:trPr>
          <w:trHeight w:val="230"/>
        </w:trPr>
        <w:tc>
          <w:tcPr>
            <w:tcW w:w="175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jc w:val="left"/>
              <w:rPr>
                <w:lang w:val="en-GB"/>
              </w:rPr>
            </w:pPr>
            <w:r>
              <w:rPr>
                <w:lang w:val="en-GB"/>
              </w:rPr>
              <w:t>2026</w:t>
            </w:r>
          </w:p>
        </w:tc>
        <w:tc>
          <w:tcPr>
            <w:tcW w:w="832" w:type="dxa"/>
            <w:gridSpan w:val="2"/>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232.4</w:t>
            </w:r>
          </w:p>
        </w:tc>
        <w:tc>
          <w:tcPr>
            <w:tcW w:w="6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175.2</w:t>
            </w:r>
          </w:p>
        </w:tc>
        <w:tc>
          <w:tcPr>
            <w:tcW w:w="6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150.8</w:t>
            </w:r>
          </w:p>
        </w:tc>
        <w:tc>
          <w:tcPr>
            <w:tcW w:w="6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26.1</w:t>
            </w:r>
          </w:p>
        </w:tc>
        <w:tc>
          <w:tcPr>
            <w:tcW w:w="6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99.3</w:t>
            </w:r>
          </w:p>
        </w:tc>
        <w:tc>
          <w:tcPr>
            <w:tcW w:w="6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1.9</w:t>
            </w:r>
          </w:p>
        </w:tc>
        <w:tc>
          <w:tcPr>
            <w:tcW w:w="6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45.1</w:t>
            </w:r>
          </w:p>
        </w:tc>
        <w:tc>
          <w:tcPr>
            <w:tcW w:w="6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4.5</w:t>
            </w:r>
          </w:p>
        </w:tc>
        <w:tc>
          <w:tcPr>
            <w:tcW w:w="85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735.3</w:t>
            </w:r>
          </w:p>
        </w:tc>
      </w:tr>
      <w:tr w:rsidR="00612FD3" w:rsidTr="00C661AF">
        <w:trPr>
          <w:trHeight w:val="230"/>
        </w:trPr>
        <w:tc>
          <w:tcPr>
            <w:tcW w:w="175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jc w:val="left"/>
              <w:rPr>
                <w:lang w:val="en-GB"/>
              </w:rPr>
            </w:pPr>
            <w:r>
              <w:rPr>
                <w:lang w:val="en-GB"/>
              </w:rPr>
              <w:t>2027</w:t>
            </w:r>
          </w:p>
        </w:tc>
        <w:tc>
          <w:tcPr>
            <w:tcW w:w="832" w:type="dxa"/>
            <w:gridSpan w:val="2"/>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232.9</w:t>
            </w:r>
          </w:p>
        </w:tc>
        <w:tc>
          <w:tcPr>
            <w:tcW w:w="6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175.8</w:t>
            </w:r>
          </w:p>
        </w:tc>
        <w:tc>
          <w:tcPr>
            <w:tcW w:w="6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151.7</w:t>
            </w:r>
          </w:p>
        </w:tc>
        <w:tc>
          <w:tcPr>
            <w:tcW w:w="6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26.1</w:t>
            </w:r>
          </w:p>
        </w:tc>
        <w:tc>
          <w:tcPr>
            <w:tcW w:w="6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99.0</w:t>
            </w:r>
          </w:p>
        </w:tc>
        <w:tc>
          <w:tcPr>
            <w:tcW w:w="6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1.9</w:t>
            </w:r>
          </w:p>
        </w:tc>
        <w:tc>
          <w:tcPr>
            <w:tcW w:w="6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45.9</w:t>
            </w:r>
          </w:p>
        </w:tc>
        <w:tc>
          <w:tcPr>
            <w:tcW w:w="6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4.5</w:t>
            </w:r>
          </w:p>
        </w:tc>
        <w:tc>
          <w:tcPr>
            <w:tcW w:w="85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737.7</w:t>
            </w:r>
          </w:p>
        </w:tc>
      </w:tr>
      <w:tr w:rsidR="00612FD3" w:rsidTr="00C661AF">
        <w:trPr>
          <w:trHeight w:val="230"/>
        </w:trPr>
        <w:tc>
          <w:tcPr>
            <w:tcW w:w="175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jc w:val="left"/>
              <w:rPr>
                <w:lang w:val="en-GB"/>
              </w:rPr>
            </w:pPr>
            <w:r>
              <w:rPr>
                <w:lang w:val="en-GB"/>
              </w:rPr>
              <w:t>2028</w:t>
            </w:r>
          </w:p>
        </w:tc>
        <w:tc>
          <w:tcPr>
            <w:tcW w:w="832" w:type="dxa"/>
            <w:gridSpan w:val="2"/>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236.7</w:t>
            </w:r>
          </w:p>
        </w:tc>
        <w:tc>
          <w:tcPr>
            <w:tcW w:w="6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179.4</w:t>
            </w:r>
          </w:p>
        </w:tc>
        <w:tc>
          <w:tcPr>
            <w:tcW w:w="6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153.5</w:t>
            </w:r>
          </w:p>
        </w:tc>
        <w:tc>
          <w:tcPr>
            <w:tcW w:w="6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26.7</w:t>
            </w:r>
          </w:p>
        </w:tc>
        <w:tc>
          <w:tcPr>
            <w:tcW w:w="6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100.2</w:t>
            </w:r>
          </w:p>
        </w:tc>
        <w:tc>
          <w:tcPr>
            <w:tcW w:w="6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1.9</w:t>
            </w:r>
          </w:p>
        </w:tc>
        <w:tc>
          <w:tcPr>
            <w:tcW w:w="6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46.5</w:t>
            </w:r>
          </w:p>
        </w:tc>
        <w:tc>
          <w:tcPr>
            <w:tcW w:w="6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4.5</w:t>
            </w:r>
          </w:p>
        </w:tc>
        <w:tc>
          <w:tcPr>
            <w:tcW w:w="85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612FD3" w:rsidRDefault="00612FD3" w:rsidP="00301B6D">
            <w:pPr>
              <w:pStyle w:val="TableDataEntries"/>
              <w:rPr>
                <w:lang w:val="en-GB"/>
              </w:rPr>
            </w:pPr>
            <w:r>
              <w:t xml:space="preserve"> 749.5</w:t>
            </w:r>
          </w:p>
        </w:tc>
      </w:tr>
      <w:tr w:rsidR="00C860B9" w:rsidRPr="00DE6662" w:rsidTr="00C661AF">
        <w:trPr>
          <w:trHeight w:val="230"/>
        </w:trPr>
        <w:tc>
          <w:tcPr>
            <w:tcW w:w="1758"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rsidR="00C860B9" w:rsidRPr="00DE6662" w:rsidRDefault="00C860B9" w:rsidP="00301B6D">
            <w:pPr>
              <w:pStyle w:val="TableDataEntries"/>
              <w:jc w:val="left"/>
              <w:rPr>
                <w:rFonts w:ascii="Franklin Gothic Demi" w:hAnsi="Franklin Gothic Demi"/>
                <w:lang w:val="en-GB"/>
              </w:rPr>
            </w:pPr>
            <w:r>
              <w:rPr>
                <w:rFonts w:ascii="Franklin Gothic Demi" w:hAnsi="Franklin Gothic Demi"/>
                <w:lang w:val="en-GB"/>
              </w:rPr>
              <w:t>Average annual saving (not discounted</w:t>
            </w:r>
            <w:r w:rsidR="00192F70">
              <w:rPr>
                <w:rFonts w:ascii="Franklin Gothic Demi" w:hAnsi="Franklin Gothic Demi"/>
                <w:lang w:val="en-GB"/>
              </w:rPr>
              <w:t>, $’000</w:t>
            </w:r>
            <w:r>
              <w:rPr>
                <w:rFonts w:ascii="Franklin Gothic Demi" w:hAnsi="Franklin Gothic Demi"/>
                <w:lang w:val="en-GB"/>
              </w:rPr>
              <w:t>)</w:t>
            </w:r>
          </w:p>
        </w:tc>
        <w:tc>
          <w:tcPr>
            <w:tcW w:w="832" w:type="dxa"/>
            <w:gridSpan w:val="2"/>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C860B9" w:rsidRPr="002B3C0A" w:rsidRDefault="00C860B9" w:rsidP="00301B6D">
            <w:pPr>
              <w:pStyle w:val="TableDataEntries"/>
              <w:rPr>
                <w:rFonts w:ascii="Franklin Gothic Demi" w:hAnsi="Franklin Gothic Demi"/>
                <w:lang w:val="en-GB"/>
              </w:rPr>
            </w:pPr>
            <w:r>
              <w:rPr>
                <w:rFonts w:ascii="Franklin Gothic Demi" w:hAnsi="Franklin Gothic Demi"/>
                <w:lang w:val="en-GB"/>
              </w:rPr>
              <w:t>231.7</w:t>
            </w:r>
          </w:p>
        </w:tc>
        <w:tc>
          <w:tcPr>
            <w:tcW w:w="682"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C860B9" w:rsidRPr="00DE6662" w:rsidRDefault="00C860B9" w:rsidP="00301B6D">
            <w:pPr>
              <w:pStyle w:val="TableDataEntries"/>
              <w:rPr>
                <w:rFonts w:ascii="Franklin Gothic Demi" w:hAnsi="Franklin Gothic Demi"/>
              </w:rPr>
            </w:pPr>
            <w:r>
              <w:rPr>
                <w:rFonts w:ascii="Franklin Gothic Demi" w:hAnsi="Franklin Gothic Demi"/>
              </w:rPr>
              <w:t>151.7</w:t>
            </w:r>
          </w:p>
        </w:tc>
        <w:tc>
          <w:tcPr>
            <w:tcW w:w="6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C860B9" w:rsidRPr="00DE6662" w:rsidRDefault="00C860B9" w:rsidP="00301B6D">
            <w:pPr>
              <w:pStyle w:val="TableDataEntries"/>
              <w:rPr>
                <w:rFonts w:ascii="Franklin Gothic Demi" w:hAnsi="Franklin Gothic Demi"/>
              </w:rPr>
            </w:pPr>
            <w:r>
              <w:rPr>
                <w:rFonts w:ascii="Franklin Gothic Demi" w:hAnsi="Franklin Gothic Demi"/>
              </w:rPr>
              <w:t>147.8</w:t>
            </w:r>
          </w:p>
        </w:tc>
        <w:tc>
          <w:tcPr>
            <w:tcW w:w="682"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C860B9" w:rsidRPr="00DE6662" w:rsidRDefault="00C860B9" w:rsidP="00301B6D">
            <w:pPr>
              <w:pStyle w:val="TableDataEntries"/>
              <w:rPr>
                <w:rFonts w:ascii="Franklin Gothic Demi" w:hAnsi="Franklin Gothic Demi"/>
              </w:rPr>
            </w:pPr>
            <w:r>
              <w:rPr>
                <w:rFonts w:ascii="Franklin Gothic Demi" w:hAnsi="Franklin Gothic Demi"/>
              </w:rPr>
              <w:t>27.2</w:t>
            </w:r>
          </w:p>
        </w:tc>
        <w:tc>
          <w:tcPr>
            <w:tcW w:w="6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C860B9" w:rsidRPr="00DE6662" w:rsidRDefault="00C860B9" w:rsidP="00301B6D">
            <w:pPr>
              <w:pStyle w:val="TableDataEntries"/>
              <w:rPr>
                <w:rFonts w:ascii="Franklin Gothic Demi" w:hAnsi="Franklin Gothic Demi"/>
              </w:rPr>
            </w:pPr>
            <w:r>
              <w:rPr>
                <w:rFonts w:ascii="Franklin Gothic Demi" w:hAnsi="Franklin Gothic Demi"/>
              </w:rPr>
              <w:t>97.7</w:t>
            </w:r>
          </w:p>
        </w:tc>
        <w:tc>
          <w:tcPr>
            <w:tcW w:w="6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C860B9" w:rsidRPr="00DE6662" w:rsidRDefault="00C860B9" w:rsidP="00301B6D">
            <w:pPr>
              <w:pStyle w:val="TableDataEntries"/>
              <w:rPr>
                <w:rFonts w:ascii="Franklin Gothic Demi" w:hAnsi="Franklin Gothic Demi"/>
              </w:rPr>
            </w:pPr>
            <w:r>
              <w:rPr>
                <w:rFonts w:ascii="Franklin Gothic Demi" w:hAnsi="Franklin Gothic Demi"/>
              </w:rPr>
              <w:t>1.8</w:t>
            </w:r>
          </w:p>
        </w:tc>
        <w:tc>
          <w:tcPr>
            <w:tcW w:w="682"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C860B9" w:rsidRPr="00DE6662" w:rsidRDefault="00C860B9" w:rsidP="00301B6D">
            <w:pPr>
              <w:pStyle w:val="TableDataEntries"/>
              <w:rPr>
                <w:rFonts w:ascii="Franklin Gothic Demi" w:hAnsi="Franklin Gothic Demi"/>
              </w:rPr>
            </w:pPr>
            <w:r>
              <w:rPr>
                <w:rFonts w:ascii="Franklin Gothic Demi" w:hAnsi="Franklin Gothic Demi"/>
              </w:rPr>
              <w:t>44.0</w:t>
            </w:r>
          </w:p>
        </w:tc>
        <w:tc>
          <w:tcPr>
            <w:tcW w:w="6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C860B9" w:rsidRPr="00DE6662" w:rsidRDefault="00C860B9" w:rsidP="00301B6D">
            <w:pPr>
              <w:pStyle w:val="TableDataEntries"/>
              <w:rPr>
                <w:rFonts w:ascii="Franklin Gothic Demi" w:hAnsi="Franklin Gothic Demi"/>
              </w:rPr>
            </w:pPr>
            <w:r>
              <w:rPr>
                <w:rFonts w:ascii="Franklin Gothic Demi" w:hAnsi="Franklin Gothic Demi"/>
              </w:rPr>
              <w:t>4.4</w:t>
            </w:r>
          </w:p>
        </w:tc>
        <w:tc>
          <w:tcPr>
            <w:tcW w:w="854"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C860B9" w:rsidRPr="00DE6662" w:rsidRDefault="00C860B9" w:rsidP="00301B6D">
            <w:pPr>
              <w:pStyle w:val="TableDataEntries"/>
              <w:rPr>
                <w:rFonts w:ascii="Franklin Gothic Demi" w:hAnsi="Franklin Gothic Demi"/>
              </w:rPr>
            </w:pPr>
            <w:r>
              <w:rPr>
                <w:rFonts w:ascii="Franklin Gothic Demi" w:hAnsi="Franklin Gothic Demi"/>
              </w:rPr>
              <w:t>706.3</w:t>
            </w:r>
          </w:p>
        </w:tc>
      </w:tr>
      <w:tr w:rsidR="00612FD3" w:rsidRPr="00DE6662" w:rsidTr="00C661AF">
        <w:trPr>
          <w:trHeight w:val="230"/>
        </w:trPr>
        <w:tc>
          <w:tcPr>
            <w:tcW w:w="1758"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rsidR="00612FD3" w:rsidRPr="00DE6662" w:rsidRDefault="00612FD3" w:rsidP="00301B6D">
            <w:pPr>
              <w:pStyle w:val="TableDataEntries"/>
              <w:jc w:val="left"/>
              <w:rPr>
                <w:rFonts w:ascii="Franklin Gothic Demi" w:hAnsi="Franklin Gothic Demi"/>
                <w:lang w:val="en-GB"/>
              </w:rPr>
            </w:pPr>
            <w:r w:rsidRPr="00DE6662">
              <w:rPr>
                <w:rFonts w:ascii="Franklin Gothic Demi" w:hAnsi="Franklin Gothic Demi"/>
                <w:lang w:val="en-GB"/>
              </w:rPr>
              <w:t>Net present value</w:t>
            </w:r>
            <w:r w:rsidR="00192F70">
              <w:rPr>
                <w:rFonts w:ascii="Franklin Gothic Demi" w:hAnsi="Franklin Gothic Demi"/>
                <w:lang w:val="en-GB"/>
              </w:rPr>
              <w:t xml:space="preserve"> ($’000)</w:t>
            </w:r>
          </w:p>
        </w:tc>
        <w:tc>
          <w:tcPr>
            <w:tcW w:w="832" w:type="dxa"/>
            <w:gridSpan w:val="2"/>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612FD3" w:rsidRPr="00DE6662" w:rsidRDefault="00612FD3" w:rsidP="00301B6D">
            <w:pPr>
              <w:pStyle w:val="TableDataEntries"/>
              <w:rPr>
                <w:rFonts w:ascii="Franklin Gothic Demi" w:hAnsi="Franklin Gothic Demi"/>
                <w:lang w:val="en-GB"/>
              </w:rPr>
            </w:pPr>
            <w:r w:rsidRPr="00DE6662">
              <w:rPr>
                <w:rFonts w:ascii="Franklin Gothic Demi" w:hAnsi="Franklin Gothic Demi"/>
              </w:rPr>
              <w:t>1 743.6</w:t>
            </w:r>
          </w:p>
        </w:tc>
        <w:tc>
          <w:tcPr>
            <w:tcW w:w="682"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612FD3" w:rsidRPr="00DE6662" w:rsidRDefault="00612FD3" w:rsidP="00301B6D">
            <w:pPr>
              <w:pStyle w:val="TableDataEntries"/>
              <w:rPr>
                <w:rFonts w:ascii="Franklin Gothic Demi" w:hAnsi="Franklin Gothic Demi"/>
                <w:lang w:val="en-GB"/>
              </w:rPr>
            </w:pPr>
            <w:r w:rsidRPr="00DE6662">
              <w:rPr>
                <w:rFonts w:ascii="Franklin Gothic Demi" w:hAnsi="Franklin Gothic Demi"/>
              </w:rPr>
              <w:t>1 094</w:t>
            </w:r>
          </w:p>
        </w:tc>
        <w:tc>
          <w:tcPr>
            <w:tcW w:w="6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612FD3" w:rsidRPr="00DE6662" w:rsidRDefault="00612FD3" w:rsidP="00301B6D">
            <w:pPr>
              <w:pStyle w:val="TableDataEntries"/>
              <w:rPr>
                <w:rFonts w:ascii="Franklin Gothic Demi" w:hAnsi="Franklin Gothic Demi"/>
                <w:lang w:val="en-GB"/>
              </w:rPr>
            </w:pPr>
            <w:r w:rsidRPr="00DE6662">
              <w:rPr>
                <w:rFonts w:ascii="Franklin Gothic Demi" w:hAnsi="Franklin Gothic Demi"/>
              </w:rPr>
              <w:t>1 108.6</w:t>
            </w:r>
          </w:p>
        </w:tc>
        <w:tc>
          <w:tcPr>
            <w:tcW w:w="682"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612FD3" w:rsidRPr="00DE6662" w:rsidRDefault="00612FD3" w:rsidP="00301B6D">
            <w:pPr>
              <w:pStyle w:val="TableDataEntries"/>
              <w:rPr>
                <w:rFonts w:ascii="Franklin Gothic Demi" w:hAnsi="Franklin Gothic Demi"/>
                <w:lang w:val="en-GB"/>
              </w:rPr>
            </w:pPr>
            <w:r w:rsidRPr="00DE6662">
              <w:rPr>
                <w:rFonts w:ascii="Franklin Gothic Demi" w:hAnsi="Franklin Gothic Demi"/>
              </w:rPr>
              <w:t xml:space="preserve"> 206.9</w:t>
            </w:r>
          </w:p>
        </w:tc>
        <w:tc>
          <w:tcPr>
            <w:tcW w:w="6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612FD3" w:rsidRPr="00DE6662" w:rsidRDefault="00612FD3" w:rsidP="00301B6D">
            <w:pPr>
              <w:pStyle w:val="TableDataEntries"/>
              <w:rPr>
                <w:rFonts w:ascii="Franklin Gothic Demi" w:hAnsi="Franklin Gothic Demi"/>
                <w:lang w:val="en-GB"/>
              </w:rPr>
            </w:pPr>
            <w:r w:rsidRPr="00DE6662">
              <w:rPr>
                <w:rFonts w:ascii="Franklin Gothic Demi" w:hAnsi="Franklin Gothic Demi"/>
              </w:rPr>
              <w:t xml:space="preserve"> 732.1</w:t>
            </w:r>
          </w:p>
        </w:tc>
        <w:tc>
          <w:tcPr>
            <w:tcW w:w="6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612FD3" w:rsidRPr="00DE6662" w:rsidRDefault="00612FD3" w:rsidP="00301B6D">
            <w:pPr>
              <w:pStyle w:val="TableDataEntries"/>
              <w:rPr>
                <w:rFonts w:ascii="Franklin Gothic Demi" w:hAnsi="Franklin Gothic Demi"/>
                <w:lang w:val="en-GB"/>
              </w:rPr>
            </w:pPr>
            <w:r w:rsidRPr="00DE6662">
              <w:rPr>
                <w:rFonts w:ascii="Franklin Gothic Demi" w:hAnsi="Franklin Gothic Demi"/>
              </w:rPr>
              <w:t xml:space="preserve"> 13.6</w:t>
            </w:r>
          </w:p>
        </w:tc>
        <w:tc>
          <w:tcPr>
            <w:tcW w:w="682"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612FD3" w:rsidRPr="00DE6662" w:rsidRDefault="00612FD3" w:rsidP="00301B6D">
            <w:pPr>
              <w:pStyle w:val="TableDataEntries"/>
              <w:rPr>
                <w:rFonts w:ascii="Franklin Gothic Demi" w:hAnsi="Franklin Gothic Demi"/>
                <w:lang w:val="en-GB"/>
              </w:rPr>
            </w:pPr>
            <w:r w:rsidRPr="00DE6662">
              <w:rPr>
                <w:rFonts w:ascii="Franklin Gothic Demi" w:hAnsi="Franklin Gothic Demi"/>
              </w:rPr>
              <w:t xml:space="preserve"> 328.6</w:t>
            </w:r>
          </w:p>
        </w:tc>
        <w:tc>
          <w:tcPr>
            <w:tcW w:w="6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612FD3" w:rsidRPr="00DE6662" w:rsidRDefault="00612FD3" w:rsidP="00301B6D">
            <w:pPr>
              <w:pStyle w:val="TableDataEntries"/>
              <w:rPr>
                <w:rFonts w:ascii="Franklin Gothic Demi" w:hAnsi="Franklin Gothic Demi"/>
                <w:lang w:val="en-GB"/>
              </w:rPr>
            </w:pPr>
            <w:r w:rsidRPr="00DE6662">
              <w:rPr>
                <w:rFonts w:ascii="Franklin Gothic Demi" w:hAnsi="Franklin Gothic Demi"/>
              </w:rPr>
              <w:t xml:space="preserve"> 33.0</w:t>
            </w:r>
          </w:p>
        </w:tc>
        <w:tc>
          <w:tcPr>
            <w:tcW w:w="854"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612FD3" w:rsidRPr="00DE6662" w:rsidRDefault="00612FD3" w:rsidP="00301B6D">
            <w:pPr>
              <w:pStyle w:val="TableDataEntries"/>
              <w:rPr>
                <w:rFonts w:ascii="Franklin Gothic Demi" w:hAnsi="Franklin Gothic Demi"/>
                <w:lang w:val="en-GB"/>
              </w:rPr>
            </w:pPr>
            <w:r w:rsidRPr="00DE6662">
              <w:rPr>
                <w:rFonts w:ascii="Franklin Gothic Demi" w:hAnsi="Franklin Gothic Demi"/>
              </w:rPr>
              <w:t>5 260.5</w:t>
            </w:r>
          </w:p>
        </w:tc>
      </w:tr>
    </w:tbl>
    <w:p w:rsidR="00612FD3" w:rsidRPr="00E4232C" w:rsidRDefault="00612FD3" w:rsidP="00612FD3">
      <w:pPr>
        <w:pStyle w:val="Note"/>
        <w:ind w:right="-285"/>
      </w:pPr>
      <w:r w:rsidRPr="00E4232C">
        <w:rPr>
          <w:rStyle w:val="NoteLabel"/>
        </w:rPr>
        <w:t>a</w:t>
      </w:r>
      <w:r>
        <w:t xml:space="preserve"> NABERS website, </w:t>
      </w:r>
      <w:hyperlink r:id="rId47" w:history="1">
        <w:r w:rsidRPr="004237CA">
          <w:rPr>
            <w:rStyle w:val="Hyperlink"/>
          </w:rPr>
          <w:t>https://nabers.gov.au/public/WebPages/ContentStandard.aspx?module=21&amp;template=3&amp;id=220</w:t>
        </w:r>
      </w:hyperlink>
      <w:r>
        <w:t xml:space="preserve">, accessed 27 February 2018. </w:t>
      </w:r>
      <w:r>
        <w:rPr>
          <w:rStyle w:val="NoteLabel"/>
        </w:rPr>
        <w:t>b</w:t>
      </w:r>
      <w:r w:rsidRPr="00FA7774">
        <w:t xml:space="preserve"> </w:t>
      </w:r>
      <w:r>
        <w:t xml:space="preserve">Green Building Council of Australia, </w:t>
      </w:r>
      <w:r w:rsidRPr="005D74B3">
        <w:rPr>
          <w:i/>
        </w:rPr>
        <w:t>Penetration of Green Star Australia’s office market</w:t>
      </w:r>
      <w:r>
        <w:t xml:space="preserve">, May 2017, p. 2; </w:t>
      </w:r>
      <w:r w:rsidRPr="005D74B3">
        <w:rPr>
          <w:rStyle w:val="NoteLabel"/>
        </w:rPr>
        <w:t>c</w:t>
      </w:r>
      <w:r>
        <w:t xml:space="preserve"> Building projection in m</w:t>
      </w:r>
      <w:r w:rsidRPr="00D2278E">
        <w:rPr>
          <w:vertAlign w:val="superscript"/>
        </w:rPr>
        <w:t>2</w:t>
      </w:r>
      <w:r>
        <w:t xml:space="preserve"> (see appendix E)  multiplied by Green star penetration rate, divided by the floor space of an average office building (assumed to be 9000 m</w:t>
      </w:r>
      <w:r w:rsidRPr="00D2278E">
        <w:rPr>
          <w:vertAlign w:val="superscript"/>
        </w:rPr>
        <w:t>2</w:t>
      </w:r>
      <w:r>
        <w:t xml:space="preserve"> based on Building 5A) plus the average number of NABERS Commitment Agreements per year. </w:t>
      </w:r>
      <w:r w:rsidRPr="005D74B3">
        <w:rPr>
          <w:rStyle w:val="NoteLabel"/>
        </w:rPr>
        <w:t>d</w:t>
      </w:r>
      <w:r>
        <w:t xml:space="preserve"> Number of buildings multiplied by $10 000 per building based on </w:t>
      </w:r>
      <w:r w:rsidR="003F28DD">
        <w:t>EA</w:t>
      </w:r>
      <w:r>
        <w:t xml:space="preserve"> estimates.</w:t>
      </w:r>
    </w:p>
    <w:p w:rsidR="00612FD3" w:rsidRDefault="00612FD3" w:rsidP="00612FD3">
      <w:pPr>
        <w:pStyle w:val="Source"/>
        <w:ind w:right="-285"/>
      </w:pPr>
      <w:r>
        <w:rPr>
          <w:i/>
        </w:rPr>
        <w:t>Source</w:t>
      </w:r>
      <w:r w:rsidRPr="00E4232C">
        <w:rPr>
          <w:i/>
        </w:rPr>
        <w:t>:</w:t>
      </w:r>
      <w:r>
        <w:t xml:space="preserve"> Green Building Council of Australia, </w:t>
      </w:r>
      <w:r w:rsidR="003F28DD">
        <w:t>EA</w:t>
      </w:r>
      <w:r>
        <w:t>, CIE.</w:t>
      </w:r>
    </w:p>
    <w:p w:rsidR="00161A1A" w:rsidRDefault="00161A1A" w:rsidP="00DD6203">
      <w:pPr>
        <w:pStyle w:val="Heading3"/>
        <w:rPr>
          <w:lang w:eastAsia="en-US"/>
        </w:rPr>
      </w:pPr>
      <w:r>
        <w:rPr>
          <w:lang w:eastAsia="en-US"/>
        </w:rPr>
        <w:t xml:space="preserve">Other changes in </w:t>
      </w:r>
      <w:r w:rsidR="0015766D">
        <w:rPr>
          <w:lang w:eastAsia="en-US"/>
        </w:rPr>
        <w:t>regulatory practice</w:t>
      </w:r>
    </w:p>
    <w:p w:rsidR="00161A1A" w:rsidRDefault="005F0B61">
      <w:pPr>
        <w:pStyle w:val="BodyText"/>
        <w:rPr>
          <w:lang w:eastAsia="en-US"/>
        </w:rPr>
      </w:pPr>
      <w:r>
        <w:rPr>
          <w:lang w:eastAsia="en-US"/>
        </w:rPr>
        <w:t xml:space="preserve">Other possible changes </w:t>
      </w:r>
      <w:r w:rsidR="0015766D">
        <w:rPr>
          <w:lang w:eastAsia="en-US"/>
        </w:rPr>
        <w:t xml:space="preserve">to regulatory practice that will have minimal impact on administrative costs (and have therefore </w:t>
      </w:r>
      <w:r>
        <w:rPr>
          <w:lang w:eastAsia="en-US"/>
        </w:rPr>
        <w:t>not been quantified</w:t>
      </w:r>
      <w:r w:rsidR="0015766D">
        <w:rPr>
          <w:lang w:eastAsia="en-US"/>
        </w:rPr>
        <w:t>)</w:t>
      </w:r>
      <w:r>
        <w:rPr>
          <w:lang w:eastAsia="en-US"/>
        </w:rPr>
        <w:t xml:space="preserve"> include the following.</w:t>
      </w:r>
    </w:p>
    <w:p w:rsidR="005F0B61" w:rsidRDefault="00161A1A" w:rsidP="00DD6203">
      <w:pPr>
        <w:pStyle w:val="ListBullet"/>
      </w:pPr>
      <w:r>
        <w:t xml:space="preserve">While not able to be quantified </w:t>
      </w:r>
      <w:r w:rsidR="0015766D">
        <w:t>it is likely that</w:t>
      </w:r>
      <w:r>
        <w:t xml:space="preserve"> there will be a </w:t>
      </w:r>
      <w:r w:rsidR="0015766D">
        <w:t xml:space="preserve">reduction in the </w:t>
      </w:r>
      <w:r>
        <w:t>regulatory burden for designers of facades and HVAC systems as a result of the new methods.</w:t>
      </w:r>
    </w:p>
    <w:p w:rsidR="005F0B61" w:rsidRDefault="00161A1A" w:rsidP="00DD6203">
      <w:pPr>
        <w:pStyle w:val="ListBullet2"/>
      </w:pPr>
      <w:r>
        <w:t xml:space="preserve">For HVAC designers, they are now able to use the new whole of system DTS compliance pathways to show that their system design uses less energy than a system representative of the DTS minimum standards at a component level. This gives the designer the ability to trade energy use between fans and pumps as a DTS solution. Previously this would have required </w:t>
      </w:r>
      <w:r w:rsidR="005F0B61">
        <w:t>the use of a Performance Solution</w:t>
      </w:r>
      <w:r>
        <w:t xml:space="preserve"> </w:t>
      </w:r>
      <w:r w:rsidR="005F0B61">
        <w:t xml:space="preserve">(through the JV3 pathway) </w:t>
      </w:r>
      <w:r>
        <w:t>and full building energy model.</w:t>
      </w:r>
    </w:p>
    <w:p w:rsidR="00161A1A" w:rsidRDefault="00161A1A" w:rsidP="00DD6203">
      <w:pPr>
        <w:pStyle w:val="ListBullet2"/>
      </w:pPr>
      <w:r>
        <w:t xml:space="preserve">This is also true of the changes to facades. Anecdotal feedback from industry is that </w:t>
      </w:r>
      <w:r w:rsidR="005F0B61">
        <w:t xml:space="preserve">a </w:t>
      </w:r>
      <w:r w:rsidR="00BB30D0">
        <w:t>Performance</w:t>
      </w:r>
      <w:r w:rsidR="005F0B61">
        <w:t xml:space="preserve"> Solution</w:t>
      </w:r>
      <w:r>
        <w:t xml:space="preserve"> is </w:t>
      </w:r>
      <w:r w:rsidR="005F0B61">
        <w:t xml:space="preserve">commonly </w:t>
      </w:r>
      <w:r>
        <w:t>used to get consistent glazing and façade types and materials on all aspects.  Especially in cool climates the over stringency issue means that this is not possible under the DTS, so a JV3 is used. Designers can now trade energy performance between facades, allowing for consistent glazing types to be used on all aspects without the use of a JV3, meaning they no longer have to create a full energy model.</w:t>
      </w:r>
    </w:p>
    <w:p w:rsidR="0015766D" w:rsidRDefault="005F0B61">
      <w:pPr>
        <w:pStyle w:val="ListBullet"/>
      </w:pPr>
      <w:r>
        <w:t>T</w:t>
      </w:r>
      <w:r w:rsidR="00161A1A">
        <w:t xml:space="preserve">he new methods for fans, pumps and facades will require designers to demonstrate compliance of their fans in a new format. Learning how to </w:t>
      </w:r>
      <w:r>
        <w:t>comply with the new format</w:t>
      </w:r>
      <w:r w:rsidR="00161A1A">
        <w:t xml:space="preserve"> is expected to be achieved through </w:t>
      </w:r>
      <w:r>
        <w:t>re</w:t>
      </w:r>
      <w:r>
        <w:noBreakHyphen/>
      </w:r>
      <w:r w:rsidR="00161A1A">
        <w:t>training</w:t>
      </w:r>
      <w:r>
        <w:t xml:space="preserve"> (see below for an estimate of the associated costs)</w:t>
      </w:r>
      <w:r w:rsidR="00161A1A">
        <w:t xml:space="preserve">. The information that will be used to demonstrate compliance </w:t>
      </w:r>
      <w:r w:rsidR="0015766D">
        <w:t>is the same information</w:t>
      </w:r>
      <w:r w:rsidR="00161A1A">
        <w:t xml:space="preserve"> required to complete a compliant design currently (material type, thermal resistance properties, building area, HVAC system parameters etc</w:t>
      </w:r>
      <w:r>
        <w:t>.</w:t>
      </w:r>
      <w:r w:rsidR="00161A1A">
        <w:t>)</w:t>
      </w:r>
      <w:r w:rsidR="0015766D">
        <w:t>.</w:t>
      </w:r>
    </w:p>
    <w:p w:rsidR="0015766D" w:rsidRDefault="0015766D" w:rsidP="00DD6203">
      <w:pPr>
        <w:pStyle w:val="ListBullet2"/>
      </w:pPr>
      <w:r>
        <w:t>I</w:t>
      </w:r>
      <w:r w:rsidR="00161A1A">
        <w:t>n the case of HVAC pumps and fans the designer will replace</w:t>
      </w:r>
      <w:r>
        <w:t xml:space="preserve"> one calculation (based on</w:t>
      </w:r>
      <w:r w:rsidR="00863131">
        <w:t xml:space="preserve"> </w:t>
      </w:r>
      <w:r>
        <w:t>watts per m</w:t>
      </w:r>
      <w:r w:rsidRPr="00E27E77">
        <w:rPr>
          <w:vertAlign w:val="superscript"/>
        </w:rPr>
        <w:t>2</w:t>
      </w:r>
      <w:r>
        <w:t xml:space="preserve">) </w:t>
      </w:r>
      <w:r w:rsidR="00161A1A">
        <w:t>with a new one (total system pressure drop).</w:t>
      </w:r>
    </w:p>
    <w:p w:rsidR="00161A1A" w:rsidRDefault="00161A1A" w:rsidP="0015766D">
      <w:pPr>
        <w:pStyle w:val="ListBullet2"/>
      </w:pPr>
      <w:r>
        <w:t>In the case of facades</w:t>
      </w:r>
      <w:r w:rsidR="0015766D">
        <w:t>,</w:t>
      </w:r>
      <w:r>
        <w:t xml:space="preserve"> the designer will take the information they currently need (square meters and thermal resistance of glass and wall elements) and combine them to get a total façade calc</w:t>
      </w:r>
      <w:r w:rsidR="0015766D">
        <w:t>ulation</w:t>
      </w:r>
      <w:r>
        <w:t>.</w:t>
      </w:r>
    </w:p>
    <w:p w:rsidR="0015766D" w:rsidRDefault="0015766D" w:rsidP="00DD6203">
      <w:pPr>
        <w:pStyle w:val="ListBullet2"/>
      </w:pPr>
      <w:r>
        <w:t xml:space="preserve">In both cases, the ABCB is producing calculators that </w:t>
      </w:r>
      <w:r w:rsidR="00CE55B1">
        <w:t xml:space="preserve">assist in </w:t>
      </w:r>
      <w:r>
        <w:t>complet</w:t>
      </w:r>
      <w:r w:rsidR="00CE55B1">
        <w:t>ing</w:t>
      </w:r>
      <w:r>
        <w:t xml:space="preserve"> the necessary calculations.</w:t>
      </w:r>
    </w:p>
    <w:p w:rsidR="00161A1A" w:rsidRPr="0050317E" w:rsidRDefault="00DB6FF2" w:rsidP="00DD6203">
      <w:pPr>
        <w:pStyle w:val="ListBullet"/>
      </w:pPr>
      <w:r>
        <w:t>Minimum energy efficiency standards for l</w:t>
      </w:r>
      <w:r w:rsidR="00161A1A">
        <w:t xml:space="preserve">ifts </w:t>
      </w:r>
      <w:r>
        <w:t>is</w:t>
      </w:r>
      <w:r w:rsidR="00161A1A">
        <w:t xml:space="preserve"> a new requirement. The information used to demonstrate compliance </w:t>
      </w:r>
      <w:r w:rsidR="0015766D">
        <w:t>(</w:t>
      </w:r>
      <w:r w:rsidR="00161A1A">
        <w:t>using expected numbers of passengers and distances travelled to specify what energy efficiency level is required</w:t>
      </w:r>
      <w:r w:rsidR="0015766D">
        <w:t>)</w:t>
      </w:r>
      <w:r w:rsidR="00161A1A">
        <w:t xml:space="preserve"> is the same that will be used in standard lift parameters. So the additional burden is only in collating the information and presenting it to a certifie</w:t>
      </w:r>
      <w:r w:rsidR="0015766D">
        <w:t>r</w:t>
      </w:r>
      <w:r w:rsidR="00161A1A">
        <w:t xml:space="preserve">, as actual lift selection is expected to be </w:t>
      </w:r>
      <w:r w:rsidR="0015766D">
        <w:t>business</w:t>
      </w:r>
      <w:r w:rsidR="0015766D">
        <w:noBreakHyphen/>
        <w:t>as</w:t>
      </w:r>
      <w:r w:rsidR="0015766D">
        <w:noBreakHyphen/>
        <w:t>usual</w:t>
      </w:r>
      <w:r w:rsidR="00161A1A">
        <w:t>.</w:t>
      </w:r>
    </w:p>
    <w:p w:rsidR="00612FD3" w:rsidRDefault="00612FD3" w:rsidP="00612FD3">
      <w:pPr>
        <w:pStyle w:val="Heading2"/>
        <w:numPr>
          <w:ilvl w:val="1"/>
          <w:numId w:val="5"/>
        </w:numPr>
      </w:pPr>
      <w:bookmarkStart w:id="3112" w:name="_Toc529869853"/>
      <w:bookmarkStart w:id="3113" w:name="_Toc530748571"/>
      <w:r>
        <w:t>Simplification/clarification of requirements</w:t>
      </w:r>
      <w:bookmarkEnd w:id="3112"/>
      <w:bookmarkEnd w:id="3113"/>
    </w:p>
    <w:p w:rsidR="00612FD3" w:rsidRDefault="00612FD3" w:rsidP="00612FD3">
      <w:pPr>
        <w:pStyle w:val="BodyText"/>
      </w:pPr>
      <w:r>
        <w:t>A significant number of proposed changes aim to simplify the NCC and clarify the energy efficiency requirements. They include the following.</w:t>
      </w:r>
    </w:p>
    <w:p w:rsidR="00612FD3" w:rsidRDefault="00612FD3" w:rsidP="00612FD3">
      <w:pPr>
        <w:pStyle w:val="ListBullet"/>
        <w:numPr>
          <w:ilvl w:val="0"/>
          <w:numId w:val="36"/>
        </w:numPr>
      </w:pPr>
      <w:r>
        <w:t>Relatively minor wording changes that clarify requirements or move particular requirements into a more logical place. These proposed changes are likely to be worthwhile, but may not have a significant impact on outcomes.</w:t>
      </w:r>
    </w:p>
    <w:p w:rsidR="00A16755" w:rsidRDefault="00612FD3" w:rsidP="00A16755">
      <w:pPr>
        <w:pStyle w:val="ListBullet"/>
        <w:numPr>
          <w:ilvl w:val="0"/>
          <w:numId w:val="36"/>
        </w:numPr>
      </w:pPr>
      <w:r>
        <w:t>More substantive changes that provide additional guidance and/or reduce ambiguity. Changes of this nature, include the provision of nomograms relating to thermal bridging and related measures.</w:t>
      </w:r>
    </w:p>
    <w:p w:rsidR="00A16755" w:rsidRDefault="00A16755" w:rsidP="00A16755">
      <w:pPr>
        <w:pStyle w:val="BodyText"/>
      </w:pPr>
      <w:r>
        <w:t xml:space="preserve">There is some evidence that the thermal bridging requirements in the current code are frequently misapplied due to the complexity. This may be contributing to the underperformance </w:t>
      </w:r>
      <w:r w:rsidR="00922B67">
        <w:t xml:space="preserve">of some buildings, </w:t>
      </w:r>
      <w:r>
        <w:t>relative to modelled outcomes.</w:t>
      </w:r>
    </w:p>
    <w:p w:rsidR="00612FD3" w:rsidRDefault="00922B67" w:rsidP="00A16755">
      <w:pPr>
        <w:pStyle w:val="BodyText"/>
      </w:pPr>
      <w:r>
        <w:t>Clarifying and simplifying these requirements</w:t>
      </w:r>
      <w:r w:rsidR="00612FD3">
        <w:t xml:space="preserve"> </w:t>
      </w:r>
      <w:r>
        <w:t>has</w:t>
      </w:r>
      <w:r w:rsidR="00612FD3">
        <w:t xml:space="preserve"> the potential to improve energy efficiency outcomes by improving compliance.</w:t>
      </w:r>
      <w:r>
        <w:t xml:space="preserve"> That said, it is not possible to estimate the extent to which the revised code would improve compliance with the thermal bridging requirements.</w:t>
      </w:r>
    </w:p>
    <w:p w:rsidR="006C3099" w:rsidRDefault="006C3099" w:rsidP="00DD6203">
      <w:pPr>
        <w:pStyle w:val="Heading2"/>
      </w:pPr>
      <w:bookmarkStart w:id="3114" w:name="_Toc529869854"/>
      <w:bookmarkStart w:id="3115" w:name="_Toc530748572"/>
      <w:r>
        <w:t>Re</w:t>
      </w:r>
      <w:r>
        <w:noBreakHyphen/>
        <w:t>training costs</w:t>
      </w:r>
      <w:bookmarkEnd w:id="3114"/>
      <w:bookmarkEnd w:id="3115"/>
    </w:p>
    <w:p w:rsidR="006C3099" w:rsidRDefault="005D4A02" w:rsidP="00A16755">
      <w:pPr>
        <w:pStyle w:val="BodyText"/>
      </w:pPr>
      <w:r>
        <w:t xml:space="preserve">As the proposed changes to the NCC are significant, both government and industry would incur some </w:t>
      </w:r>
      <w:r w:rsidR="00E17098">
        <w:t>one</w:t>
      </w:r>
      <w:r w:rsidR="00E17098">
        <w:noBreakHyphen/>
        <w:t xml:space="preserve">off </w:t>
      </w:r>
      <w:r>
        <w:t>costs associated with raising awareness of the changes and re</w:t>
      </w:r>
      <w:r>
        <w:noBreakHyphen/>
        <w:t>training.</w:t>
      </w:r>
    </w:p>
    <w:p w:rsidR="00020137" w:rsidRDefault="00020137" w:rsidP="0032647A">
      <w:pPr>
        <w:pStyle w:val="Heading3"/>
        <w:spacing w:before="360"/>
      </w:pPr>
      <w:r>
        <w:t>Costs to government</w:t>
      </w:r>
    </w:p>
    <w:p w:rsidR="00E17098" w:rsidRDefault="00E17098" w:rsidP="00020137">
      <w:pPr>
        <w:pStyle w:val="BodyText"/>
      </w:pPr>
      <w:r>
        <w:t>Costs to the government are estimated at $355 000 (table </w:t>
      </w:r>
      <w:r w:rsidR="00B2441E">
        <w:rPr>
          <w:noProof/>
        </w:rPr>
        <w:fldChar w:fldCharType="begin"/>
      </w:r>
      <w:r w:rsidR="00B2441E">
        <w:rPr>
          <w:noProof/>
        </w:rPr>
        <w:instrText xml:space="preserve"> REF _Caption7885 </w:instrText>
      </w:r>
      <w:r w:rsidR="00B2441E">
        <w:rPr>
          <w:noProof/>
        </w:rPr>
        <w:fldChar w:fldCharType="separate"/>
      </w:r>
      <w:r w:rsidR="006B79B8">
        <w:rPr>
          <w:noProof/>
        </w:rPr>
        <w:t>7</w:t>
      </w:r>
      <w:r w:rsidR="006B79B8" w:rsidRPr="00695C93">
        <w:rPr>
          <w:noProof/>
        </w:rPr>
        <w:t>.</w:t>
      </w:r>
      <w:r w:rsidR="006B79B8">
        <w:rPr>
          <w:noProof/>
        </w:rPr>
        <w:t>2</w:t>
      </w:r>
      <w:r w:rsidR="00B2441E">
        <w:rPr>
          <w:noProof/>
        </w:rPr>
        <w:fldChar w:fldCharType="end"/>
      </w:r>
      <w:r>
        <w:t>).</w:t>
      </w:r>
    </w:p>
    <w:p w:rsidR="00020137" w:rsidRDefault="00DE2276" w:rsidP="00E17098">
      <w:pPr>
        <w:pStyle w:val="ListBullet"/>
      </w:pPr>
      <w:r>
        <w:t xml:space="preserve">To assist with the transition to the new code, ABCB </w:t>
      </w:r>
      <w:r w:rsidR="00E17098">
        <w:t>would prepare a range of guidance material (see chapter 9 for further details). The cost of preparing the guidance material is estimated at $300 000.</w:t>
      </w:r>
    </w:p>
    <w:p w:rsidR="00020137" w:rsidRDefault="00E17098" w:rsidP="00E17098">
      <w:pPr>
        <w:pStyle w:val="ListBullet"/>
      </w:pPr>
      <w:r>
        <w:t>T</w:t>
      </w:r>
      <w:r w:rsidR="00020137">
        <w:t xml:space="preserve">he Department of the Environment is </w:t>
      </w:r>
      <w:r>
        <w:t xml:space="preserve">also </w:t>
      </w:r>
      <w:r w:rsidR="00020137">
        <w:t xml:space="preserve">funding awareness raising seminars </w:t>
      </w:r>
      <w:r>
        <w:t xml:space="preserve">to be delivered by the Property Council of Australia in all </w:t>
      </w:r>
      <w:r w:rsidR="00020137">
        <w:t xml:space="preserve">capital cities </w:t>
      </w:r>
      <w:r>
        <w:t>(except Darwin).</w:t>
      </w:r>
      <w:r>
        <w:rPr>
          <w:rStyle w:val="FootnoteReference"/>
        </w:rPr>
        <w:footnoteReference w:id="64"/>
      </w:r>
      <w:r>
        <w:t xml:space="preserve"> The cost is</w:t>
      </w:r>
      <w:r w:rsidR="00020137">
        <w:t xml:space="preserve"> estimated </w:t>
      </w:r>
      <w:r>
        <w:t>at</w:t>
      </w:r>
      <w:r w:rsidR="00020137">
        <w:t xml:space="preserve"> $55 000.</w:t>
      </w:r>
    </w:p>
    <w:p w:rsidR="00E17098" w:rsidRDefault="00E17098" w:rsidP="00E17098">
      <w:pPr>
        <w:pStyle w:val="Caption"/>
      </w:pPr>
      <w:r w:rsidRPr="00695C93">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sidR="00B833F1">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sidR="00B833F1">
        <w:rPr>
          <w:noProof/>
        </w:rPr>
        <w:instrText>7</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sidR="00B833F1">
        <w:rPr>
          <w:noProof/>
        </w:rPr>
        <w:instrText>7</w:instrText>
      </w:r>
      <w:r>
        <w:rPr>
          <w:noProof/>
        </w:rPr>
        <w:fldChar w:fldCharType="end"/>
      </w:r>
      <w:r w:rsidRPr="00695C93">
        <w:instrText xml:space="preserve">." </w:instrText>
      </w:r>
      <w:r w:rsidRPr="00695C93">
        <w:fldChar w:fldCharType="separate"/>
      </w:r>
      <w:r w:rsidR="00B833F1">
        <w:rPr>
          <w:noProof/>
        </w:rPr>
        <w:instrText>7</w:instrText>
      </w:r>
      <w:r w:rsidR="00B833F1" w:rsidRPr="00695C93">
        <w:rPr>
          <w:noProof/>
        </w:rPr>
        <w:instrText>.</w:instrText>
      </w:r>
      <w:r w:rsidRPr="00695C93">
        <w:fldChar w:fldCharType="end"/>
      </w:r>
      <w:r w:rsidRPr="00695C93">
        <w:instrText>" "</w:instrText>
      </w:r>
      <w:r w:rsidR="001F6F43">
        <w:fldChar w:fldCharType="begin"/>
      </w:r>
      <w:r w:rsidR="001F6F43">
        <w:instrText xml:space="preserve"> STYLEREF "Heading 6" \l \n </w:instrText>
      </w:r>
      <w:r w:rsidR="001F6F43">
        <w:fldChar w:fldCharType="separate"/>
      </w:r>
      <w:r w:rsidRPr="00695C93">
        <w:instrText>B</w:instrText>
      </w:r>
      <w:r w:rsidR="001F6F43">
        <w:fldChar w:fldCharType="end"/>
      </w:r>
      <w:r w:rsidRPr="00695C93">
        <w:instrText xml:space="preserve">." </w:instrText>
      </w:r>
      <w:r w:rsidRPr="00695C93">
        <w:fldChar w:fldCharType="separate"/>
      </w:r>
      <w:r w:rsidR="00EA42ED">
        <w:rPr>
          <w:noProof/>
        </w:rPr>
        <w:instrText>7</w:instrText>
      </w:r>
      <w:r w:rsidR="00EA42ED"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sidR="00B833F1">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sidR="00B833F1">
        <w:rPr>
          <w:noProof/>
        </w:rPr>
        <w:instrText>7</w:instrText>
      </w:r>
      <w:r>
        <w:rPr>
          <w:noProof/>
        </w:rPr>
        <w:fldChar w:fldCharType="end"/>
      </w:r>
      <w:r w:rsidRPr="00695C93">
        <w:instrText xml:space="preserve"> = 0 "" "1" </w:instrText>
      </w:r>
      <w:r w:rsidRPr="00695C93">
        <w:fldChar w:fldCharType="separate"/>
      </w:r>
      <w:r w:rsidR="00EA42ED" w:rsidRPr="00695C93">
        <w:rPr>
          <w:noProof/>
        </w:rPr>
        <w:instrText>1</w:instrText>
      </w:r>
      <w:r w:rsidRPr="00695C93">
        <w:fldChar w:fldCharType="end"/>
      </w:r>
      <w:r w:rsidRPr="00695C93">
        <w:instrText xml:space="preserve">" "6" </w:instrText>
      </w:r>
      <w:r w:rsidRPr="00695C93">
        <w:fldChar w:fldCharType="separate"/>
      </w:r>
      <w:r w:rsidR="00EA42ED" w:rsidRPr="00695C93">
        <w:rPr>
          <w:noProof/>
        </w:rPr>
        <w:instrText>1</w:instrText>
      </w:r>
      <w:r w:rsidRPr="00695C93">
        <w:fldChar w:fldCharType="end"/>
      </w:r>
      <w:r w:rsidRPr="00695C93">
        <w:instrText xml:space="preserve"> </w:instrText>
      </w:r>
      <w:r w:rsidRPr="00695C93">
        <w:fldChar w:fldCharType="separate"/>
      </w:r>
      <w:r w:rsidR="00B833F1">
        <w:rPr>
          <w:noProof/>
        </w:rPr>
        <w:instrText>2</w:instrText>
      </w:r>
      <w:r w:rsidRPr="00695C93">
        <w:fldChar w:fldCharType="end"/>
      </w:r>
      <w:r w:rsidRPr="00695C93">
        <w:instrText xml:space="preserve">" "" </w:instrText>
      </w:r>
      <w:r w:rsidRPr="00695C93">
        <w:fldChar w:fldCharType="separate"/>
      </w:r>
      <w:bookmarkStart w:id="3116" w:name="_Caption4987"/>
      <w:bookmarkStart w:id="3117" w:name="_Caption7885"/>
      <w:bookmarkStart w:id="3118" w:name="_Caption7922"/>
      <w:bookmarkStart w:id="3119" w:name="_Caption0180"/>
      <w:bookmarkStart w:id="3120" w:name="_Caption9812"/>
      <w:bookmarkStart w:id="3121" w:name="_Caption8845"/>
      <w:bookmarkStart w:id="3122" w:name="_Caption7256"/>
      <w:bookmarkStart w:id="3123" w:name="_Caption1391"/>
      <w:bookmarkStart w:id="3124" w:name="_Caption5112"/>
      <w:bookmarkStart w:id="3125" w:name="_Caption4855"/>
      <w:bookmarkStart w:id="3126" w:name="_Caption8821"/>
      <w:bookmarkStart w:id="3127" w:name="_Toc529869935"/>
      <w:bookmarkStart w:id="3128" w:name="_Toc530748431"/>
      <w:r w:rsidR="00EA42ED">
        <w:rPr>
          <w:noProof/>
        </w:rPr>
        <w:t>7</w:t>
      </w:r>
      <w:r w:rsidR="00EA42ED" w:rsidRPr="00695C93">
        <w:rPr>
          <w:noProof/>
        </w:rPr>
        <w:t>.</w:t>
      </w:r>
      <w:r w:rsidR="00EA42ED">
        <w:rPr>
          <w:noProof/>
        </w:rPr>
        <w:t>2</w:t>
      </w:r>
      <w:bookmarkEnd w:id="3116"/>
      <w:bookmarkEnd w:id="3117"/>
      <w:bookmarkEnd w:id="3118"/>
      <w:bookmarkEnd w:id="3119"/>
      <w:bookmarkEnd w:id="3120"/>
      <w:bookmarkEnd w:id="3121"/>
      <w:bookmarkEnd w:id="3122"/>
      <w:bookmarkEnd w:id="3123"/>
      <w:bookmarkEnd w:id="3124"/>
      <w:bookmarkEnd w:id="3125"/>
      <w:bookmarkEnd w:id="3126"/>
      <w:r w:rsidRPr="00695C93">
        <w:fldChar w:fldCharType="end"/>
      </w:r>
      <w:r w:rsidRPr="00695C93">
        <w:tab/>
      </w:r>
      <w:r>
        <w:t>Transitional costs incurred by government</w:t>
      </w:r>
      <w:bookmarkEnd w:id="3127"/>
      <w:bookmarkEnd w:id="3128"/>
    </w:p>
    <w:tbl>
      <w:tblPr>
        <w:tblW w:w="0" w:type="auto"/>
        <w:tblLayout w:type="fixed"/>
        <w:tblLook w:val="0000" w:firstRow="0" w:lastRow="0" w:firstColumn="0" w:lastColumn="0" w:noHBand="0" w:noVBand="0"/>
        <w:tblCaption w:val="Tabe 7.2: Transitional costs incurred by government"/>
        <w:tblDescription w:val="This table outlines the transitional costs incurred by government as a result of implementing proposed changes to NCC 2019. This is estimated to be $355,000."/>
      </w:tblPr>
      <w:tblGrid>
        <w:gridCol w:w="5626"/>
        <w:gridCol w:w="2311"/>
      </w:tblGrid>
      <w:tr w:rsidR="00E17098" w:rsidTr="00E17098">
        <w:trPr>
          <w:trHeight w:val="230"/>
        </w:trPr>
        <w:tc>
          <w:tcPr>
            <w:tcW w:w="5626" w:type="dxa"/>
            <w:shd w:val="clear" w:color="auto" w:fill="6F6652"/>
            <w:tcMar>
              <w:left w:w="57" w:type="dxa"/>
              <w:right w:w="57" w:type="dxa"/>
            </w:tcMar>
          </w:tcPr>
          <w:p w:rsidR="00E17098" w:rsidRDefault="00E17098" w:rsidP="00E17098">
            <w:pPr>
              <w:pStyle w:val="TableDataColumnHeading"/>
              <w:jc w:val="left"/>
              <w:rPr>
                <w:lang w:val="en-GB"/>
              </w:rPr>
            </w:pPr>
          </w:p>
        </w:tc>
        <w:tc>
          <w:tcPr>
            <w:tcW w:w="2311" w:type="dxa"/>
            <w:shd w:val="clear" w:color="auto" w:fill="6F6652"/>
            <w:tcMar>
              <w:left w:w="57" w:type="dxa"/>
              <w:right w:w="57" w:type="dxa"/>
            </w:tcMar>
          </w:tcPr>
          <w:p w:rsidR="00E17098" w:rsidRDefault="00E17098" w:rsidP="00E17098">
            <w:pPr>
              <w:pStyle w:val="TableDataColumnHeading"/>
              <w:rPr>
                <w:lang w:val="en-GB"/>
              </w:rPr>
            </w:pPr>
            <w:r>
              <w:rPr>
                <w:lang w:val="en-GB"/>
              </w:rPr>
              <w:t>Estimated cost</w:t>
            </w:r>
          </w:p>
        </w:tc>
      </w:tr>
      <w:tr w:rsidR="00E17098" w:rsidTr="00E17098">
        <w:trPr>
          <w:trHeight w:val="230"/>
        </w:trPr>
        <w:tc>
          <w:tcPr>
            <w:tcW w:w="5626" w:type="dxa"/>
            <w:tcBorders>
              <w:bottom w:val="single" w:sz="8" w:space="0" w:color="FFFFFF" w:themeColor="background1"/>
            </w:tcBorders>
            <w:shd w:val="clear" w:color="auto" w:fill="auto"/>
            <w:tcMar>
              <w:left w:w="57" w:type="dxa"/>
              <w:right w:w="57" w:type="dxa"/>
            </w:tcMar>
          </w:tcPr>
          <w:p w:rsidR="00E17098" w:rsidRDefault="00E17098" w:rsidP="00E17098">
            <w:pPr>
              <w:pStyle w:val="TableUnit"/>
              <w:jc w:val="left"/>
              <w:rPr>
                <w:lang w:val="en-GB"/>
              </w:rPr>
            </w:pPr>
          </w:p>
        </w:tc>
        <w:tc>
          <w:tcPr>
            <w:tcW w:w="2311" w:type="dxa"/>
            <w:tcBorders>
              <w:bottom w:val="single" w:sz="8" w:space="0" w:color="FFFFFF" w:themeColor="background1"/>
            </w:tcBorders>
            <w:shd w:val="clear" w:color="auto" w:fill="auto"/>
            <w:tcMar>
              <w:left w:w="57" w:type="dxa"/>
              <w:right w:w="57" w:type="dxa"/>
            </w:tcMar>
          </w:tcPr>
          <w:p w:rsidR="00E17098" w:rsidRDefault="00E17098" w:rsidP="00E17098">
            <w:pPr>
              <w:pStyle w:val="TableUnit"/>
              <w:rPr>
                <w:lang w:val="en-GB"/>
              </w:rPr>
            </w:pPr>
            <w:r>
              <w:rPr>
                <w:lang w:val="en-GB"/>
              </w:rPr>
              <w:t>$</w:t>
            </w:r>
          </w:p>
        </w:tc>
      </w:tr>
      <w:tr w:rsidR="00E17098" w:rsidTr="00E17098">
        <w:trPr>
          <w:trHeight w:val="230"/>
        </w:trPr>
        <w:tc>
          <w:tcPr>
            <w:tcW w:w="562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E17098" w:rsidRDefault="00E17098" w:rsidP="00E17098">
            <w:pPr>
              <w:pStyle w:val="TableDataEntries"/>
              <w:jc w:val="left"/>
              <w:rPr>
                <w:lang w:val="en-GB"/>
              </w:rPr>
            </w:pPr>
            <w:r>
              <w:rPr>
                <w:lang w:val="en-GB"/>
              </w:rPr>
              <w:t>Funding for seminars</w:t>
            </w:r>
          </w:p>
        </w:tc>
        <w:tc>
          <w:tcPr>
            <w:tcW w:w="231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E17098" w:rsidRDefault="00E17098" w:rsidP="00E17098">
            <w:pPr>
              <w:pStyle w:val="TableDataEntries"/>
              <w:rPr>
                <w:lang w:val="en-GB"/>
              </w:rPr>
            </w:pPr>
            <w:r>
              <w:rPr>
                <w:lang w:val="en-GB"/>
              </w:rPr>
              <w:t>55 000</w:t>
            </w:r>
          </w:p>
        </w:tc>
      </w:tr>
      <w:tr w:rsidR="00E17098" w:rsidTr="00E17098">
        <w:trPr>
          <w:trHeight w:val="230"/>
        </w:trPr>
        <w:tc>
          <w:tcPr>
            <w:tcW w:w="562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E17098" w:rsidRDefault="00E17098" w:rsidP="00E17098">
            <w:pPr>
              <w:pStyle w:val="TableDataEntries"/>
              <w:jc w:val="left"/>
              <w:rPr>
                <w:lang w:val="en-GB"/>
              </w:rPr>
            </w:pPr>
            <w:r>
              <w:rPr>
                <w:lang w:val="en-GB"/>
              </w:rPr>
              <w:t>Preparation of guidance material</w:t>
            </w:r>
          </w:p>
        </w:tc>
        <w:tc>
          <w:tcPr>
            <w:tcW w:w="231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E17098" w:rsidRDefault="00E17098" w:rsidP="00E17098">
            <w:pPr>
              <w:pStyle w:val="TableDataEntries"/>
              <w:rPr>
                <w:lang w:val="en-GB"/>
              </w:rPr>
            </w:pPr>
            <w:r>
              <w:rPr>
                <w:lang w:val="en-GB"/>
              </w:rPr>
              <w:t>300 000</w:t>
            </w:r>
          </w:p>
        </w:tc>
      </w:tr>
      <w:tr w:rsidR="00E17098" w:rsidRPr="0032647A" w:rsidTr="00E17098">
        <w:trPr>
          <w:trHeight w:val="230"/>
        </w:trPr>
        <w:tc>
          <w:tcPr>
            <w:tcW w:w="5626"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rsidR="00E17098" w:rsidRPr="0032647A" w:rsidRDefault="00E17098" w:rsidP="00E17098">
            <w:pPr>
              <w:pStyle w:val="TableDataEntries"/>
              <w:jc w:val="left"/>
              <w:rPr>
                <w:rFonts w:ascii="Franklin Gothic Demi" w:hAnsi="Franklin Gothic Demi"/>
                <w:lang w:val="en-GB"/>
              </w:rPr>
            </w:pPr>
            <w:r w:rsidRPr="0032647A">
              <w:rPr>
                <w:rFonts w:ascii="Franklin Gothic Demi" w:hAnsi="Franklin Gothic Demi"/>
                <w:lang w:val="en-GB"/>
              </w:rPr>
              <w:t>Total</w:t>
            </w:r>
          </w:p>
        </w:tc>
        <w:tc>
          <w:tcPr>
            <w:tcW w:w="2311"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rsidR="00E17098" w:rsidRPr="0032647A" w:rsidRDefault="00E17098" w:rsidP="00E17098">
            <w:pPr>
              <w:pStyle w:val="TableDataEntries"/>
              <w:rPr>
                <w:rFonts w:ascii="Franklin Gothic Demi" w:hAnsi="Franklin Gothic Demi"/>
                <w:lang w:val="en-GB"/>
              </w:rPr>
            </w:pPr>
            <w:r w:rsidRPr="0032647A">
              <w:rPr>
                <w:rFonts w:ascii="Franklin Gothic Demi" w:hAnsi="Franklin Gothic Demi"/>
                <w:lang w:val="en-GB"/>
              </w:rPr>
              <w:t>355 000</w:t>
            </w:r>
          </w:p>
        </w:tc>
      </w:tr>
    </w:tbl>
    <w:p w:rsidR="00E17098" w:rsidRDefault="00E17098" w:rsidP="00E17098">
      <w:pPr>
        <w:pStyle w:val="Source"/>
      </w:pPr>
      <w:r>
        <w:rPr>
          <w:i/>
        </w:rPr>
        <w:t>Source</w:t>
      </w:r>
      <w:r w:rsidRPr="00E4232C">
        <w:rPr>
          <w:i/>
        </w:rPr>
        <w:t>:</w:t>
      </w:r>
      <w:r>
        <w:t xml:space="preserve"> Estimates provided by ABCB.</w:t>
      </w:r>
    </w:p>
    <w:p w:rsidR="006C3099" w:rsidRDefault="006C3099" w:rsidP="006C3099">
      <w:pPr>
        <w:pStyle w:val="Heading3"/>
      </w:pPr>
      <w:r>
        <w:t>Costs to industry</w:t>
      </w:r>
    </w:p>
    <w:p w:rsidR="00F81C43" w:rsidRDefault="005D4A02" w:rsidP="005D4A02">
      <w:pPr>
        <w:pStyle w:val="BodyText"/>
      </w:pPr>
      <w:r>
        <w:t xml:space="preserve">Industry stakeholders </w:t>
      </w:r>
      <w:r w:rsidR="00E17098">
        <w:t xml:space="preserve">will also incur </w:t>
      </w:r>
      <w:r w:rsidR="00F81C43">
        <w:t>one</w:t>
      </w:r>
      <w:r w:rsidR="00F81C43">
        <w:noBreakHyphen/>
        <w:t xml:space="preserve">off </w:t>
      </w:r>
      <w:r w:rsidR="00E17098">
        <w:t>costs associated with familiarising themselves with the new code requirements</w:t>
      </w:r>
      <w:r w:rsidR="00F81C43">
        <w:t>, including:</w:t>
      </w:r>
    </w:p>
    <w:p w:rsidR="00F81C43" w:rsidRDefault="00F81C43" w:rsidP="00F81C43">
      <w:pPr>
        <w:pStyle w:val="ListBullet"/>
      </w:pPr>
      <w:r>
        <w:t>the time costs associated with familiarising themselves with the relevant aspects of the new code</w:t>
      </w:r>
    </w:p>
    <w:p w:rsidR="00F81C43" w:rsidRDefault="00F81C43" w:rsidP="00F81C43">
      <w:pPr>
        <w:pStyle w:val="ListBullet"/>
      </w:pPr>
      <w:r>
        <w:t>any fees associated with attending associated professional development seminars.</w:t>
      </w:r>
    </w:p>
    <w:p w:rsidR="005D43B1" w:rsidRDefault="00F81C43" w:rsidP="005D4A02">
      <w:pPr>
        <w:pStyle w:val="BodyText"/>
      </w:pPr>
      <w:r>
        <w:t>These costs are estimated at around $</w:t>
      </w:r>
      <w:r w:rsidR="005D417E">
        <w:t>16.7</w:t>
      </w:r>
      <w:r>
        <w:t> million (table </w:t>
      </w:r>
      <w:r w:rsidR="00B2441E">
        <w:rPr>
          <w:noProof/>
        </w:rPr>
        <w:fldChar w:fldCharType="begin"/>
      </w:r>
      <w:r w:rsidR="00B2441E">
        <w:rPr>
          <w:noProof/>
        </w:rPr>
        <w:instrText xml:space="preserve"> REF _Caption7948 </w:instrText>
      </w:r>
      <w:r w:rsidR="00B2441E">
        <w:rPr>
          <w:noProof/>
        </w:rPr>
        <w:fldChar w:fldCharType="separate"/>
      </w:r>
      <w:r w:rsidR="006B79B8">
        <w:rPr>
          <w:noProof/>
        </w:rPr>
        <w:t>7</w:t>
      </w:r>
      <w:r w:rsidR="006B79B8" w:rsidRPr="00695C93">
        <w:rPr>
          <w:noProof/>
        </w:rPr>
        <w:t>.</w:t>
      </w:r>
      <w:r w:rsidR="006B79B8">
        <w:rPr>
          <w:noProof/>
        </w:rPr>
        <w:t>3</w:t>
      </w:r>
      <w:r w:rsidR="00B2441E">
        <w:rPr>
          <w:noProof/>
        </w:rPr>
        <w:fldChar w:fldCharType="end"/>
      </w:r>
      <w:r>
        <w:t>)</w:t>
      </w:r>
      <w:r w:rsidR="00E17098">
        <w:t>.</w:t>
      </w:r>
      <w:r>
        <w:t xml:space="preserve"> Details on our approach to estimating these costs are provided below.</w:t>
      </w:r>
    </w:p>
    <w:bookmarkStart w:id="3129" w:name="_Hlk529198309"/>
    <w:p w:rsidR="00F81C43" w:rsidRDefault="00F81C43" w:rsidP="00F81C43">
      <w:pPr>
        <w:pStyle w:val="Caption"/>
      </w:pPr>
      <w:r w:rsidRPr="00695C93">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sidR="00B833F1">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sidR="00B833F1">
        <w:rPr>
          <w:noProof/>
        </w:rPr>
        <w:instrText>7</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sidR="00B833F1">
        <w:rPr>
          <w:noProof/>
        </w:rPr>
        <w:instrText>7</w:instrText>
      </w:r>
      <w:r>
        <w:rPr>
          <w:noProof/>
        </w:rPr>
        <w:fldChar w:fldCharType="end"/>
      </w:r>
      <w:r w:rsidRPr="00695C93">
        <w:instrText xml:space="preserve">." </w:instrText>
      </w:r>
      <w:r w:rsidRPr="00695C93">
        <w:fldChar w:fldCharType="separate"/>
      </w:r>
      <w:r w:rsidR="00B833F1">
        <w:rPr>
          <w:noProof/>
        </w:rPr>
        <w:instrText>7</w:instrText>
      </w:r>
      <w:r w:rsidR="00B833F1" w:rsidRPr="00695C93">
        <w:rPr>
          <w:noProof/>
        </w:rPr>
        <w:instrText>.</w:instrText>
      </w:r>
      <w:r w:rsidRPr="00695C93">
        <w:fldChar w:fldCharType="end"/>
      </w:r>
      <w:r w:rsidRPr="00695C93">
        <w:instrText>" "</w:instrText>
      </w:r>
      <w:r w:rsidR="001F6F43">
        <w:fldChar w:fldCharType="begin"/>
      </w:r>
      <w:r w:rsidR="001F6F43">
        <w:instrText xml:space="preserve"> STYLEREF "Heading 6" \l \n </w:instrText>
      </w:r>
      <w:r w:rsidR="001F6F43">
        <w:fldChar w:fldCharType="separate"/>
      </w:r>
      <w:r w:rsidRPr="00695C93">
        <w:instrText>B</w:instrText>
      </w:r>
      <w:r w:rsidR="001F6F43">
        <w:fldChar w:fldCharType="end"/>
      </w:r>
      <w:r w:rsidRPr="00695C93">
        <w:instrText xml:space="preserve">." </w:instrText>
      </w:r>
      <w:r w:rsidRPr="00695C93">
        <w:fldChar w:fldCharType="separate"/>
      </w:r>
      <w:r w:rsidR="00EA42ED">
        <w:rPr>
          <w:noProof/>
        </w:rPr>
        <w:instrText>7</w:instrText>
      </w:r>
      <w:r w:rsidR="00EA42ED"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sidR="00B833F1">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sidR="00B833F1">
        <w:rPr>
          <w:noProof/>
        </w:rPr>
        <w:instrText>7</w:instrText>
      </w:r>
      <w:r>
        <w:rPr>
          <w:noProof/>
        </w:rPr>
        <w:fldChar w:fldCharType="end"/>
      </w:r>
      <w:r w:rsidRPr="00695C93">
        <w:instrText xml:space="preserve"> = 0 "" "1" </w:instrText>
      </w:r>
      <w:r w:rsidRPr="00695C93">
        <w:fldChar w:fldCharType="separate"/>
      </w:r>
      <w:r w:rsidR="00EA42ED" w:rsidRPr="00695C93">
        <w:rPr>
          <w:noProof/>
        </w:rPr>
        <w:instrText>1</w:instrText>
      </w:r>
      <w:r w:rsidRPr="00695C93">
        <w:fldChar w:fldCharType="end"/>
      </w:r>
      <w:r w:rsidRPr="00695C93">
        <w:instrText xml:space="preserve">" "6" </w:instrText>
      </w:r>
      <w:r w:rsidRPr="00695C93">
        <w:fldChar w:fldCharType="separate"/>
      </w:r>
      <w:r w:rsidR="00EA42ED" w:rsidRPr="00695C93">
        <w:rPr>
          <w:noProof/>
        </w:rPr>
        <w:instrText>1</w:instrText>
      </w:r>
      <w:r w:rsidRPr="00695C93">
        <w:fldChar w:fldCharType="end"/>
      </w:r>
      <w:r w:rsidRPr="00695C93">
        <w:instrText xml:space="preserve"> </w:instrText>
      </w:r>
      <w:r w:rsidRPr="00695C93">
        <w:fldChar w:fldCharType="separate"/>
      </w:r>
      <w:r w:rsidR="00B833F1">
        <w:rPr>
          <w:noProof/>
        </w:rPr>
        <w:instrText>3</w:instrText>
      </w:r>
      <w:r w:rsidRPr="00695C93">
        <w:fldChar w:fldCharType="end"/>
      </w:r>
      <w:r w:rsidRPr="00695C93">
        <w:instrText xml:space="preserve">" "" </w:instrText>
      </w:r>
      <w:r w:rsidRPr="00695C93">
        <w:fldChar w:fldCharType="separate"/>
      </w:r>
      <w:bookmarkStart w:id="3130" w:name="_Caption4306"/>
      <w:bookmarkStart w:id="3131" w:name="_Caption7948"/>
      <w:bookmarkStart w:id="3132" w:name="_Caption1197"/>
      <w:bookmarkStart w:id="3133" w:name="_Caption2921"/>
      <w:bookmarkStart w:id="3134" w:name="_Caption7099"/>
      <w:bookmarkStart w:id="3135" w:name="_Caption1153"/>
      <w:bookmarkStart w:id="3136" w:name="_Caption3594"/>
      <w:bookmarkStart w:id="3137" w:name="_Caption9506"/>
      <w:bookmarkStart w:id="3138" w:name="_Caption8781"/>
      <w:bookmarkStart w:id="3139" w:name="_Caption1731"/>
      <w:bookmarkStart w:id="3140" w:name="_Toc529869936"/>
      <w:bookmarkStart w:id="3141" w:name="_Toc530748432"/>
      <w:r w:rsidR="00EA42ED">
        <w:rPr>
          <w:noProof/>
        </w:rPr>
        <w:t>7</w:t>
      </w:r>
      <w:r w:rsidR="00EA42ED" w:rsidRPr="00695C93">
        <w:rPr>
          <w:noProof/>
        </w:rPr>
        <w:t>.</w:t>
      </w:r>
      <w:r w:rsidR="00EA42ED">
        <w:rPr>
          <w:noProof/>
        </w:rPr>
        <w:t>3</w:t>
      </w:r>
      <w:bookmarkEnd w:id="3130"/>
      <w:bookmarkEnd w:id="3131"/>
      <w:bookmarkEnd w:id="3132"/>
      <w:bookmarkEnd w:id="3133"/>
      <w:bookmarkEnd w:id="3134"/>
      <w:bookmarkEnd w:id="3135"/>
      <w:bookmarkEnd w:id="3136"/>
      <w:bookmarkEnd w:id="3137"/>
      <w:bookmarkEnd w:id="3138"/>
      <w:bookmarkEnd w:id="3139"/>
      <w:r w:rsidRPr="00695C93">
        <w:fldChar w:fldCharType="end"/>
      </w:r>
      <w:r w:rsidRPr="00695C93">
        <w:tab/>
      </w:r>
      <w:r>
        <w:t>Estimated training costs incurred by industry</w:t>
      </w:r>
      <w:bookmarkEnd w:id="3140"/>
      <w:bookmarkEnd w:id="3141"/>
    </w:p>
    <w:tbl>
      <w:tblPr>
        <w:tblW w:w="0" w:type="auto"/>
        <w:tblLayout w:type="fixed"/>
        <w:tblLook w:val="0000" w:firstRow="0" w:lastRow="0" w:firstColumn="0" w:lastColumn="0" w:noHBand="0" w:noVBand="0"/>
        <w:tblDescription w:val="This table outlines the training costs incurred by industry as a result of implementing proposed changes to NCC 2019. This is estimated to be $17 million."/>
      </w:tblPr>
      <w:tblGrid>
        <w:gridCol w:w="3141"/>
        <w:gridCol w:w="1290"/>
        <w:gridCol w:w="946"/>
        <w:gridCol w:w="1280"/>
        <w:gridCol w:w="1280"/>
      </w:tblGrid>
      <w:tr w:rsidR="00F81C43" w:rsidTr="00AF6242">
        <w:trPr>
          <w:trHeight w:val="691"/>
        </w:trPr>
        <w:tc>
          <w:tcPr>
            <w:tcW w:w="3141" w:type="dxa"/>
            <w:shd w:val="clear" w:color="auto" w:fill="6F6652"/>
            <w:tcMar>
              <w:left w:w="57" w:type="dxa"/>
              <w:right w:w="57" w:type="dxa"/>
            </w:tcMar>
          </w:tcPr>
          <w:p w:rsidR="00F81C43" w:rsidRDefault="00F81C43" w:rsidP="00AF6242">
            <w:pPr>
              <w:pStyle w:val="TableDataColumnHeading"/>
              <w:jc w:val="left"/>
              <w:rPr>
                <w:lang w:val="en-GB"/>
              </w:rPr>
            </w:pPr>
          </w:p>
        </w:tc>
        <w:tc>
          <w:tcPr>
            <w:tcW w:w="1290" w:type="dxa"/>
            <w:shd w:val="clear" w:color="auto" w:fill="6F6652"/>
            <w:tcMar>
              <w:left w:w="57" w:type="dxa"/>
              <w:right w:w="57" w:type="dxa"/>
            </w:tcMar>
          </w:tcPr>
          <w:p w:rsidR="00F81C43" w:rsidRDefault="00F81C43" w:rsidP="00AF6242">
            <w:pPr>
              <w:pStyle w:val="TableDataColumnHeading"/>
              <w:rPr>
                <w:lang w:val="en-GB"/>
              </w:rPr>
            </w:pPr>
            <w:r>
              <w:rPr>
                <w:lang w:val="en-GB"/>
              </w:rPr>
              <w:t>Number affected</w:t>
            </w:r>
            <w:r w:rsidR="008A350D" w:rsidRPr="008A350D">
              <w:rPr>
                <w:rStyle w:val="NoteLabel"/>
              </w:rPr>
              <w:t>a</w:t>
            </w:r>
          </w:p>
        </w:tc>
        <w:tc>
          <w:tcPr>
            <w:tcW w:w="946" w:type="dxa"/>
            <w:shd w:val="clear" w:color="auto" w:fill="6F6652"/>
            <w:tcMar>
              <w:left w:w="57" w:type="dxa"/>
              <w:right w:w="57" w:type="dxa"/>
            </w:tcMar>
          </w:tcPr>
          <w:p w:rsidR="00F81C43" w:rsidRDefault="00F81C43" w:rsidP="00AF6242">
            <w:pPr>
              <w:pStyle w:val="TableDataColumnHeading"/>
              <w:rPr>
                <w:lang w:val="en-GB"/>
              </w:rPr>
            </w:pPr>
            <w:r>
              <w:rPr>
                <w:lang w:val="en-GB"/>
              </w:rPr>
              <w:t>CPD seminar fees</w:t>
            </w:r>
            <w:r w:rsidR="008A350D" w:rsidRPr="008A350D">
              <w:rPr>
                <w:rStyle w:val="NoteLabel"/>
              </w:rPr>
              <w:t>a</w:t>
            </w:r>
          </w:p>
        </w:tc>
        <w:tc>
          <w:tcPr>
            <w:tcW w:w="1280" w:type="dxa"/>
            <w:shd w:val="clear" w:color="auto" w:fill="6F6652"/>
            <w:tcMar>
              <w:left w:w="57" w:type="dxa"/>
              <w:right w:w="57" w:type="dxa"/>
            </w:tcMar>
          </w:tcPr>
          <w:p w:rsidR="00F81C43" w:rsidRDefault="00F81C43" w:rsidP="00AF6242">
            <w:pPr>
              <w:pStyle w:val="TableDataColumnHeading"/>
              <w:rPr>
                <w:lang w:val="en-GB"/>
              </w:rPr>
            </w:pPr>
            <w:r>
              <w:rPr>
                <w:lang w:val="en-GB"/>
              </w:rPr>
              <w:t>Time costs</w:t>
            </w:r>
            <w:r w:rsidR="008A350D" w:rsidRPr="008A350D">
              <w:rPr>
                <w:rStyle w:val="NoteLabel"/>
              </w:rPr>
              <w:t>a</w:t>
            </w:r>
          </w:p>
        </w:tc>
        <w:tc>
          <w:tcPr>
            <w:tcW w:w="1280" w:type="dxa"/>
            <w:shd w:val="clear" w:color="auto" w:fill="6F6652"/>
            <w:tcMar>
              <w:left w:w="57" w:type="dxa"/>
              <w:right w:w="57" w:type="dxa"/>
            </w:tcMar>
          </w:tcPr>
          <w:p w:rsidR="00F81C43" w:rsidRDefault="00F81C43" w:rsidP="00AF6242">
            <w:pPr>
              <w:pStyle w:val="TableDataColumnHeading"/>
              <w:rPr>
                <w:lang w:val="en-GB"/>
              </w:rPr>
            </w:pPr>
            <w:r>
              <w:rPr>
                <w:lang w:val="en-GB"/>
              </w:rPr>
              <w:t>Total</w:t>
            </w:r>
          </w:p>
        </w:tc>
      </w:tr>
      <w:tr w:rsidR="00F81C43" w:rsidTr="00AF6242">
        <w:trPr>
          <w:trHeight w:val="230"/>
        </w:trPr>
        <w:tc>
          <w:tcPr>
            <w:tcW w:w="3141" w:type="dxa"/>
            <w:tcBorders>
              <w:bottom w:val="single" w:sz="8" w:space="0" w:color="FFFFFF" w:themeColor="background1"/>
            </w:tcBorders>
            <w:shd w:val="clear" w:color="auto" w:fill="auto"/>
            <w:tcMar>
              <w:left w:w="57" w:type="dxa"/>
              <w:right w:w="57" w:type="dxa"/>
            </w:tcMar>
          </w:tcPr>
          <w:p w:rsidR="00F81C43" w:rsidRDefault="00F81C43" w:rsidP="00AF6242">
            <w:pPr>
              <w:pStyle w:val="TableUnit"/>
              <w:jc w:val="left"/>
              <w:rPr>
                <w:lang w:val="en-GB"/>
              </w:rPr>
            </w:pPr>
          </w:p>
        </w:tc>
        <w:tc>
          <w:tcPr>
            <w:tcW w:w="1290" w:type="dxa"/>
            <w:tcBorders>
              <w:bottom w:val="single" w:sz="8" w:space="0" w:color="FFFFFF" w:themeColor="background1"/>
            </w:tcBorders>
            <w:shd w:val="clear" w:color="auto" w:fill="auto"/>
            <w:tcMar>
              <w:left w:w="57" w:type="dxa"/>
              <w:right w:w="57" w:type="dxa"/>
            </w:tcMar>
          </w:tcPr>
          <w:p w:rsidR="00F81C43" w:rsidRDefault="00F81C43" w:rsidP="00AF6242">
            <w:pPr>
              <w:pStyle w:val="TableUnit"/>
              <w:rPr>
                <w:lang w:val="en-GB"/>
              </w:rPr>
            </w:pPr>
            <w:r>
              <w:rPr>
                <w:lang w:val="en-GB"/>
              </w:rPr>
              <w:t>No.</w:t>
            </w:r>
          </w:p>
        </w:tc>
        <w:tc>
          <w:tcPr>
            <w:tcW w:w="946" w:type="dxa"/>
            <w:tcBorders>
              <w:bottom w:val="single" w:sz="8" w:space="0" w:color="FFFFFF" w:themeColor="background1"/>
            </w:tcBorders>
            <w:shd w:val="clear" w:color="auto" w:fill="auto"/>
            <w:tcMar>
              <w:left w:w="57" w:type="dxa"/>
              <w:right w:w="57" w:type="dxa"/>
            </w:tcMar>
          </w:tcPr>
          <w:p w:rsidR="00F81C43" w:rsidRDefault="00F81C43" w:rsidP="00AF6242">
            <w:pPr>
              <w:pStyle w:val="TableUnit"/>
              <w:rPr>
                <w:lang w:val="en-GB"/>
              </w:rPr>
            </w:pPr>
            <w:r>
              <w:rPr>
                <w:lang w:val="en-GB"/>
              </w:rPr>
              <w:t>$'000</w:t>
            </w:r>
          </w:p>
        </w:tc>
        <w:tc>
          <w:tcPr>
            <w:tcW w:w="1280" w:type="dxa"/>
            <w:tcBorders>
              <w:bottom w:val="single" w:sz="8" w:space="0" w:color="FFFFFF" w:themeColor="background1"/>
            </w:tcBorders>
            <w:shd w:val="clear" w:color="auto" w:fill="auto"/>
            <w:tcMar>
              <w:left w:w="57" w:type="dxa"/>
              <w:right w:w="57" w:type="dxa"/>
            </w:tcMar>
          </w:tcPr>
          <w:p w:rsidR="00F81C43" w:rsidRDefault="00F81C43" w:rsidP="00AF6242">
            <w:pPr>
              <w:pStyle w:val="TableUnit"/>
              <w:rPr>
                <w:lang w:val="en-GB"/>
              </w:rPr>
            </w:pPr>
            <w:r>
              <w:rPr>
                <w:lang w:val="en-GB"/>
              </w:rPr>
              <w:t>$'000</w:t>
            </w:r>
          </w:p>
        </w:tc>
        <w:tc>
          <w:tcPr>
            <w:tcW w:w="1280" w:type="dxa"/>
            <w:tcBorders>
              <w:bottom w:val="single" w:sz="8" w:space="0" w:color="FFFFFF" w:themeColor="background1"/>
            </w:tcBorders>
            <w:shd w:val="clear" w:color="auto" w:fill="auto"/>
            <w:tcMar>
              <w:left w:w="57" w:type="dxa"/>
              <w:right w:w="57" w:type="dxa"/>
            </w:tcMar>
          </w:tcPr>
          <w:p w:rsidR="00F81C43" w:rsidRDefault="00F81C43" w:rsidP="00AF6242">
            <w:pPr>
              <w:pStyle w:val="TableUnit"/>
              <w:rPr>
                <w:lang w:val="en-GB"/>
              </w:rPr>
            </w:pPr>
            <w:r>
              <w:rPr>
                <w:lang w:val="en-GB"/>
              </w:rPr>
              <w:t>$'000</w:t>
            </w:r>
          </w:p>
        </w:tc>
      </w:tr>
      <w:tr w:rsidR="005D417E" w:rsidTr="005D417E">
        <w:trPr>
          <w:trHeight w:val="230"/>
        </w:trPr>
        <w:tc>
          <w:tcPr>
            <w:tcW w:w="314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5D417E" w:rsidRDefault="005D417E" w:rsidP="005D417E">
            <w:pPr>
              <w:pStyle w:val="TableDataEntries"/>
              <w:jc w:val="left"/>
              <w:rPr>
                <w:lang w:val="en-GB"/>
              </w:rPr>
            </w:pPr>
            <w:r>
              <w:rPr>
                <w:lang w:val="en-GB"/>
              </w:rPr>
              <w:t>Certifiers/surveyors</w:t>
            </w:r>
          </w:p>
        </w:tc>
        <w:tc>
          <w:tcPr>
            <w:tcW w:w="129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D417E" w:rsidRPr="005D417E" w:rsidRDefault="005D417E" w:rsidP="005D417E">
            <w:pPr>
              <w:pStyle w:val="TableDataEntries"/>
            </w:pPr>
            <w:r w:rsidRPr="005D417E">
              <w:t xml:space="preserve"> 2 405</w:t>
            </w:r>
          </w:p>
        </w:tc>
        <w:tc>
          <w:tcPr>
            <w:tcW w:w="9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D417E" w:rsidRPr="005D417E" w:rsidRDefault="005D417E" w:rsidP="005D417E">
            <w:pPr>
              <w:pStyle w:val="TableDataEntries"/>
            </w:pPr>
            <w:r w:rsidRPr="005D417E">
              <w:t>-  120.3</w:t>
            </w:r>
          </w:p>
        </w:tc>
        <w:tc>
          <w:tcPr>
            <w:tcW w:w="128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D417E" w:rsidRPr="005D417E" w:rsidRDefault="005D417E" w:rsidP="005D417E">
            <w:pPr>
              <w:pStyle w:val="TableDataEntries"/>
            </w:pPr>
            <w:r w:rsidRPr="005D417E">
              <w:t>- 1 149.0</w:t>
            </w:r>
          </w:p>
        </w:tc>
        <w:tc>
          <w:tcPr>
            <w:tcW w:w="128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D417E" w:rsidRPr="005D417E" w:rsidRDefault="005D417E" w:rsidP="005D417E">
            <w:pPr>
              <w:pStyle w:val="TableDataEntries"/>
            </w:pPr>
            <w:r w:rsidRPr="005D417E">
              <w:t>- 1 269.2</w:t>
            </w:r>
          </w:p>
        </w:tc>
      </w:tr>
      <w:tr w:rsidR="005D417E" w:rsidTr="005D417E">
        <w:trPr>
          <w:trHeight w:val="230"/>
        </w:trPr>
        <w:tc>
          <w:tcPr>
            <w:tcW w:w="314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5D417E" w:rsidRDefault="005D417E" w:rsidP="005D417E">
            <w:pPr>
              <w:pStyle w:val="TableDataEntries"/>
              <w:jc w:val="left"/>
              <w:rPr>
                <w:lang w:val="en-GB"/>
              </w:rPr>
            </w:pPr>
            <w:r>
              <w:rPr>
                <w:lang w:val="en-GB"/>
              </w:rPr>
              <w:t>Architects/building designers</w:t>
            </w:r>
          </w:p>
        </w:tc>
        <w:tc>
          <w:tcPr>
            <w:tcW w:w="129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D417E" w:rsidRPr="005D417E" w:rsidRDefault="005D417E" w:rsidP="005D417E">
            <w:pPr>
              <w:pStyle w:val="TableDataEntries"/>
            </w:pPr>
            <w:r w:rsidRPr="005D417E">
              <w:t xml:space="preserve"> 14 067</w:t>
            </w:r>
          </w:p>
        </w:tc>
        <w:tc>
          <w:tcPr>
            <w:tcW w:w="9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D417E" w:rsidRPr="005D417E" w:rsidRDefault="005D417E" w:rsidP="005D417E">
            <w:pPr>
              <w:pStyle w:val="TableDataEntries"/>
            </w:pPr>
            <w:r w:rsidRPr="005D417E">
              <w:t>-  703.3</w:t>
            </w:r>
          </w:p>
        </w:tc>
        <w:tc>
          <w:tcPr>
            <w:tcW w:w="128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D417E" w:rsidRPr="005D417E" w:rsidRDefault="005D417E" w:rsidP="005D417E">
            <w:pPr>
              <w:pStyle w:val="TableDataEntries"/>
            </w:pPr>
            <w:r w:rsidRPr="005D417E">
              <w:t>- 9 014.3</w:t>
            </w:r>
          </w:p>
        </w:tc>
        <w:tc>
          <w:tcPr>
            <w:tcW w:w="128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D417E" w:rsidRPr="005D417E" w:rsidRDefault="005D417E" w:rsidP="005D417E">
            <w:pPr>
              <w:pStyle w:val="TableDataEntries"/>
            </w:pPr>
            <w:r w:rsidRPr="005D417E">
              <w:t>- 9 717.7</w:t>
            </w:r>
          </w:p>
        </w:tc>
      </w:tr>
      <w:tr w:rsidR="005D417E" w:rsidTr="005D417E">
        <w:trPr>
          <w:trHeight w:val="230"/>
        </w:trPr>
        <w:tc>
          <w:tcPr>
            <w:tcW w:w="314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5D417E" w:rsidRDefault="005D417E" w:rsidP="005D417E">
            <w:pPr>
              <w:pStyle w:val="TableDataEntries"/>
              <w:jc w:val="left"/>
              <w:rPr>
                <w:lang w:val="en-GB"/>
              </w:rPr>
            </w:pPr>
            <w:r>
              <w:rPr>
                <w:lang w:val="en-GB"/>
              </w:rPr>
              <w:t>Engineers</w:t>
            </w:r>
          </w:p>
        </w:tc>
        <w:tc>
          <w:tcPr>
            <w:tcW w:w="129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D417E" w:rsidRPr="005D417E" w:rsidRDefault="005D417E" w:rsidP="005D417E">
            <w:pPr>
              <w:pStyle w:val="TableDataEntries"/>
            </w:pPr>
            <w:r w:rsidRPr="005D417E">
              <w:t xml:space="preserve"> 9 701</w:t>
            </w:r>
          </w:p>
        </w:tc>
        <w:tc>
          <w:tcPr>
            <w:tcW w:w="9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D417E" w:rsidRPr="005D417E" w:rsidRDefault="005D417E" w:rsidP="005D417E">
            <w:pPr>
              <w:pStyle w:val="TableDataEntries"/>
            </w:pPr>
            <w:r w:rsidRPr="005D417E">
              <w:t>-  485.1</w:t>
            </w:r>
          </w:p>
        </w:tc>
        <w:tc>
          <w:tcPr>
            <w:tcW w:w="128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D417E" w:rsidRPr="005D417E" w:rsidRDefault="005D417E" w:rsidP="005D417E">
            <w:pPr>
              <w:pStyle w:val="TableDataEntries"/>
            </w:pPr>
            <w:r w:rsidRPr="005D417E">
              <w:t>- 5 259.5</w:t>
            </w:r>
          </w:p>
        </w:tc>
        <w:tc>
          <w:tcPr>
            <w:tcW w:w="128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D417E" w:rsidRPr="005D417E" w:rsidRDefault="005D417E" w:rsidP="005D417E">
            <w:pPr>
              <w:pStyle w:val="TableDataEntries"/>
            </w:pPr>
            <w:r w:rsidRPr="005D417E">
              <w:t>- 5 744.6</w:t>
            </w:r>
          </w:p>
        </w:tc>
      </w:tr>
      <w:tr w:rsidR="005D417E" w:rsidRPr="0032647A" w:rsidTr="005D417E">
        <w:trPr>
          <w:trHeight w:val="230"/>
        </w:trPr>
        <w:tc>
          <w:tcPr>
            <w:tcW w:w="3141"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rsidR="005D417E" w:rsidRPr="0032647A" w:rsidRDefault="005D417E" w:rsidP="005D417E">
            <w:pPr>
              <w:pStyle w:val="TableDataEntries"/>
              <w:jc w:val="left"/>
              <w:rPr>
                <w:rFonts w:ascii="Franklin Gothic Demi" w:hAnsi="Franklin Gothic Demi"/>
                <w:lang w:val="en-GB"/>
              </w:rPr>
            </w:pPr>
            <w:r w:rsidRPr="0032647A">
              <w:rPr>
                <w:rFonts w:ascii="Franklin Gothic Demi" w:hAnsi="Franklin Gothic Demi"/>
                <w:lang w:val="en-GB"/>
              </w:rPr>
              <w:t>Total</w:t>
            </w:r>
          </w:p>
        </w:tc>
        <w:tc>
          <w:tcPr>
            <w:tcW w:w="1290"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5D417E" w:rsidRPr="0032647A" w:rsidRDefault="005D417E" w:rsidP="005D417E">
            <w:pPr>
              <w:pStyle w:val="TableDataEntries"/>
              <w:rPr>
                <w:rFonts w:ascii="Franklin Gothic Demi" w:hAnsi="Franklin Gothic Demi"/>
              </w:rPr>
            </w:pPr>
            <w:r w:rsidRPr="0032647A">
              <w:rPr>
                <w:rFonts w:ascii="Franklin Gothic Demi" w:hAnsi="Franklin Gothic Demi"/>
              </w:rPr>
              <w:t xml:space="preserve"> 26 173</w:t>
            </w:r>
          </w:p>
        </w:tc>
        <w:tc>
          <w:tcPr>
            <w:tcW w:w="946"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5D417E" w:rsidRPr="0032647A" w:rsidRDefault="005D417E" w:rsidP="005D417E">
            <w:pPr>
              <w:pStyle w:val="TableDataEntries"/>
              <w:rPr>
                <w:rFonts w:ascii="Franklin Gothic Demi" w:hAnsi="Franklin Gothic Demi"/>
              </w:rPr>
            </w:pPr>
            <w:r w:rsidRPr="0032647A">
              <w:rPr>
                <w:rFonts w:ascii="Franklin Gothic Demi" w:hAnsi="Franklin Gothic Demi"/>
              </w:rPr>
              <w:t>- 1 308.7</w:t>
            </w:r>
          </w:p>
        </w:tc>
        <w:tc>
          <w:tcPr>
            <w:tcW w:w="1280"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5D417E" w:rsidRPr="0032647A" w:rsidRDefault="005D417E" w:rsidP="005D417E">
            <w:pPr>
              <w:pStyle w:val="TableDataEntries"/>
              <w:rPr>
                <w:rFonts w:ascii="Franklin Gothic Demi" w:hAnsi="Franklin Gothic Demi"/>
              </w:rPr>
            </w:pPr>
            <w:r w:rsidRPr="0032647A">
              <w:rPr>
                <w:rFonts w:ascii="Franklin Gothic Demi" w:hAnsi="Franklin Gothic Demi"/>
              </w:rPr>
              <w:t>- 15 422.8</w:t>
            </w:r>
          </w:p>
        </w:tc>
        <w:tc>
          <w:tcPr>
            <w:tcW w:w="1280"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5D417E" w:rsidRPr="0032647A" w:rsidRDefault="005D417E" w:rsidP="005D417E">
            <w:pPr>
              <w:pStyle w:val="TableDataEntries"/>
              <w:rPr>
                <w:rFonts w:ascii="Franklin Gothic Demi" w:hAnsi="Franklin Gothic Demi"/>
              </w:rPr>
            </w:pPr>
            <w:r w:rsidRPr="0032647A">
              <w:rPr>
                <w:rFonts w:ascii="Franklin Gothic Demi" w:hAnsi="Franklin Gothic Demi"/>
              </w:rPr>
              <w:t>- 16 731.4</w:t>
            </w:r>
          </w:p>
        </w:tc>
      </w:tr>
    </w:tbl>
    <w:p w:rsidR="00F81C43" w:rsidRPr="00E4232C" w:rsidRDefault="00F81C43" w:rsidP="00F81C43">
      <w:pPr>
        <w:pStyle w:val="Note"/>
      </w:pPr>
      <w:r w:rsidRPr="00E4232C">
        <w:rPr>
          <w:rStyle w:val="NoteLabel"/>
        </w:rPr>
        <w:t>a</w:t>
      </w:r>
      <w:r>
        <w:t xml:space="preserve"> </w:t>
      </w:r>
      <w:r w:rsidR="008A350D">
        <w:t xml:space="preserve">Based on the number of NCC subscribers assuming </w:t>
      </w:r>
      <w:r w:rsidR="00903F34">
        <w:t xml:space="preserve">that the proposed changes will affect </w:t>
      </w:r>
      <w:r w:rsidR="008A350D">
        <w:t xml:space="preserve">around 51 per cent </w:t>
      </w:r>
      <w:r w:rsidR="00903F34">
        <w:t>of subscribers, based on share from input</w:t>
      </w:r>
      <w:r w:rsidR="00903F34">
        <w:noBreakHyphen/>
        <w:t>output tables (see table </w:t>
      </w:r>
      <w:r w:rsidR="00A62BD3">
        <w:rPr>
          <w:noProof/>
        </w:rPr>
        <w:fldChar w:fldCharType="begin"/>
      </w:r>
      <w:r w:rsidR="00A62BD3">
        <w:rPr>
          <w:noProof/>
        </w:rPr>
        <w:instrText xml:space="preserve"> REF _Caption0605 </w:instrText>
      </w:r>
      <w:r w:rsidR="00A62BD3">
        <w:rPr>
          <w:noProof/>
        </w:rPr>
        <w:fldChar w:fldCharType="separate"/>
      </w:r>
      <w:r w:rsidR="006B79B8">
        <w:rPr>
          <w:noProof/>
        </w:rPr>
        <w:t>7</w:t>
      </w:r>
      <w:r w:rsidR="006B79B8" w:rsidRPr="00695C93">
        <w:rPr>
          <w:noProof/>
        </w:rPr>
        <w:t>.</w:t>
      </w:r>
      <w:r w:rsidR="006B79B8">
        <w:rPr>
          <w:noProof/>
        </w:rPr>
        <w:t>5</w:t>
      </w:r>
      <w:r w:rsidR="00A62BD3">
        <w:rPr>
          <w:noProof/>
        </w:rPr>
        <w:fldChar w:fldCharType="end"/>
      </w:r>
      <w:r w:rsidR="00903F34">
        <w:t xml:space="preserve"> below). </w:t>
      </w:r>
      <w:r w:rsidR="00903F34" w:rsidRPr="00903F34">
        <w:rPr>
          <w:rStyle w:val="NoteLabel"/>
        </w:rPr>
        <w:t>b</w:t>
      </w:r>
      <w:r w:rsidR="00903F34">
        <w:t xml:space="preserve"> Assumes seminar fees of $50 per subscriber. </w:t>
      </w:r>
      <w:r w:rsidR="00903F34" w:rsidRPr="00903F34">
        <w:rPr>
          <w:rStyle w:val="NoteLabel"/>
        </w:rPr>
        <w:t>c</w:t>
      </w:r>
      <w:r w:rsidR="00903F34">
        <w:t xml:space="preserve"> Assumes 9.5 hours per affected stakeholder (see below for details). Time is valued at: $67.46 per hour for architects; $57.07 per hour for engineers; and $50.28 per hour for building surveyors/certifiers (see table </w:t>
      </w:r>
      <w:r w:rsidR="00A62BD3">
        <w:rPr>
          <w:noProof/>
        </w:rPr>
        <w:fldChar w:fldCharType="begin"/>
      </w:r>
      <w:r w:rsidR="00A62BD3">
        <w:rPr>
          <w:noProof/>
        </w:rPr>
        <w:instrText xml:space="preserve"> REF _Caption0679 </w:instrText>
      </w:r>
      <w:r w:rsidR="00A62BD3">
        <w:rPr>
          <w:noProof/>
        </w:rPr>
        <w:fldChar w:fldCharType="separate"/>
      </w:r>
      <w:r w:rsidR="006B79B8">
        <w:rPr>
          <w:noProof/>
        </w:rPr>
        <w:t>7</w:t>
      </w:r>
      <w:r w:rsidR="006B79B8" w:rsidRPr="00695C93">
        <w:rPr>
          <w:noProof/>
        </w:rPr>
        <w:t>.</w:t>
      </w:r>
      <w:r w:rsidR="006B79B8">
        <w:rPr>
          <w:noProof/>
        </w:rPr>
        <w:t>6</w:t>
      </w:r>
      <w:r w:rsidR="00A62BD3">
        <w:rPr>
          <w:noProof/>
        </w:rPr>
        <w:fldChar w:fldCharType="end"/>
      </w:r>
      <w:r w:rsidR="00903F34">
        <w:t xml:space="preserve"> below).</w:t>
      </w:r>
    </w:p>
    <w:p w:rsidR="00F81C43" w:rsidRDefault="00F81C43" w:rsidP="00F81C43">
      <w:pPr>
        <w:pStyle w:val="Source"/>
      </w:pPr>
      <w:r>
        <w:rPr>
          <w:i/>
        </w:rPr>
        <w:t>Source</w:t>
      </w:r>
      <w:r w:rsidRPr="00E4232C">
        <w:rPr>
          <w:i/>
        </w:rPr>
        <w:t>:</w:t>
      </w:r>
      <w:r>
        <w:t xml:space="preserve"> CIE estimates.</w:t>
      </w:r>
    </w:p>
    <w:p w:rsidR="0050317E" w:rsidRDefault="0050317E" w:rsidP="0050317E">
      <w:pPr>
        <w:pStyle w:val="BodyText"/>
        <w:rPr>
          <w:lang w:eastAsia="en-US"/>
        </w:rPr>
      </w:pPr>
      <w:r>
        <w:rPr>
          <w:lang w:eastAsia="en-US"/>
        </w:rPr>
        <w:t>These costs are allocated across jurisdictions based on employment in the share of the relevant professions in each jurisdiction (based on 2016 Census data) (table </w:t>
      </w:r>
      <w:r>
        <w:rPr>
          <w:lang w:eastAsia="en-US"/>
        </w:rPr>
        <w:fldChar w:fldCharType="begin"/>
      </w:r>
      <w:r>
        <w:rPr>
          <w:lang w:eastAsia="en-US"/>
        </w:rPr>
        <w:instrText xml:space="preserve"> REF _Caption0632 </w:instrText>
      </w:r>
      <w:r>
        <w:rPr>
          <w:lang w:eastAsia="en-US"/>
        </w:rPr>
        <w:fldChar w:fldCharType="separate"/>
      </w:r>
      <w:r w:rsidR="006B79B8">
        <w:rPr>
          <w:noProof/>
        </w:rPr>
        <w:t>7</w:t>
      </w:r>
      <w:r w:rsidR="006B79B8" w:rsidRPr="00695C93">
        <w:rPr>
          <w:noProof/>
        </w:rPr>
        <w:t>.</w:t>
      </w:r>
      <w:r w:rsidR="006B79B8">
        <w:rPr>
          <w:noProof/>
        </w:rPr>
        <w:t>4</w:t>
      </w:r>
      <w:r>
        <w:rPr>
          <w:lang w:eastAsia="en-US"/>
        </w:rPr>
        <w:fldChar w:fldCharType="end"/>
      </w:r>
      <w:r>
        <w:rPr>
          <w:lang w:eastAsia="en-US"/>
        </w:rPr>
        <w:t>).</w:t>
      </w:r>
    </w:p>
    <w:p w:rsidR="0050317E" w:rsidRDefault="0050317E" w:rsidP="0050317E">
      <w:pPr>
        <w:pStyle w:val="Caption"/>
      </w:pPr>
      <w:r w:rsidRPr="00695C93">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sidR="00B833F1">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sidR="00B833F1">
        <w:rPr>
          <w:noProof/>
        </w:rPr>
        <w:instrText>7</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sidR="00B833F1">
        <w:rPr>
          <w:noProof/>
        </w:rPr>
        <w:instrText>7</w:instrText>
      </w:r>
      <w:r>
        <w:rPr>
          <w:noProof/>
        </w:rPr>
        <w:fldChar w:fldCharType="end"/>
      </w:r>
      <w:r w:rsidRPr="00695C93">
        <w:instrText xml:space="preserve">." </w:instrText>
      </w:r>
      <w:r w:rsidRPr="00695C93">
        <w:fldChar w:fldCharType="separate"/>
      </w:r>
      <w:r w:rsidR="00B833F1">
        <w:rPr>
          <w:noProof/>
        </w:rPr>
        <w:instrText>7</w:instrText>
      </w:r>
      <w:r w:rsidR="00B833F1" w:rsidRPr="00695C93">
        <w:rPr>
          <w:noProof/>
        </w:rPr>
        <w:instrText>.</w:instrText>
      </w:r>
      <w:r w:rsidRPr="00695C93">
        <w:fldChar w:fldCharType="end"/>
      </w:r>
      <w:r w:rsidRPr="00695C93">
        <w:instrText>" "</w:instrText>
      </w:r>
      <w:r w:rsidR="001F6F43">
        <w:fldChar w:fldCharType="begin"/>
      </w:r>
      <w:r w:rsidR="001F6F43">
        <w:instrText xml:space="preserve"> STYLEREF "Heading 6" \l \n </w:instrText>
      </w:r>
      <w:r w:rsidR="001F6F43">
        <w:fldChar w:fldCharType="separate"/>
      </w:r>
      <w:r w:rsidRPr="00695C93">
        <w:instrText>B</w:instrText>
      </w:r>
      <w:r w:rsidR="001F6F43">
        <w:fldChar w:fldCharType="end"/>
      </w:r>
      <w:r w:rsidRPr="00695C93">
        <w:instrText xml:space="preserve">." </w:instrText>
      </w:r>
      <w:r w:rsidRPr="00695C93">
        <w:fldChar w:fldCharType="separate"/>
      </w:r>
      <w:r w:rsidR="00EA42ED">
        <w:rPr>
          <w:noProof/>
        </w:rPr>
        <w:instrText>7</w:instrText>
      </w:r>
      <w:r w:rsidR="00EA42ED"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sidR="00B833F1">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sidR="00B833F1">
        <w:rPr>
          <w:noProof/>
        </w:rPr>
        <w:instrText>7</w:instrText>
      </w:r>
      <w:r>
        <w:rPr>
          <w:noProof/>
        </w:rPr>
        <w:fldChar w:fldCharType="end"/>
      </w:r>
      <w:r w:rsidRPr="00695C93">
        <w:instrText xml:space="preserve"> = 0 "" "1" </w:instrText>
      </w:r>
      <w:r w:rsidRPr="00695C93">
        <w:fldChar w:fldCharType="separate"/>
      </w:r>
      <w:r w:rsidR="00EA42ED" w:rsidRPr="00695C93">
        <w:rPr>
          <w:noProof/>
        </w:rPr>
        <w:instrText>1</w:instrText>
      </w:r>
      <w:r w:rsidRPr="00695C93">
        <w:fldChar w:fldCharType="end"/>
      </w:r>
      <w:r w:rsidRPr="00695C93">
        <w:instrText xml:space="preserve">" "6" </w:instrText>
      </w:r>
      <w:r w:rsidRPr="00695C93">
        <w:fldChar w:fldCharType="separate"/>
      </w:r>
      <w:r w:rsidR="00EA42ED" w:rsidRPr="00695C93">
        <w:rPr>
          <w:noProof/>
        </w:rPr>
        <w:instrText>1</w:instrText>
      </w:r>
      <w:r w:rsidRPr="00695C93">
        <w:fldChar w:fldCharType="end"/>
      </w:r>
      <w:r w:rsidRPr="00695C93">
        <w:instrText xml:space="preserve"> </w:instrText>
      </w:r>
      <w:r w:rsidRPr="00695C93">
        <w:fldChar w:fldCharType="separate"/>
      </w:r>
      <w:r w:rsidR="00B833F1">
        <w:rPr>
          <w:noProof/>
        </w:rPr>
        <w:instrText>4</w:instrText>
      </w:r>
      <w:r w:rsidRPr="00695C93">
        <w:fldChar w:fldCharType="end"/>
      </w:r>
      <w:r w:rsidRPr="00695C93">
        <w:instrText xml:space="preserve">" "" </w:instrText>
      </w:r>
      <w:r w:rsidRPr="00695C93">
        <w:fldChar w:fldCharType="separate"/>
      </w:r>
      <w:bookmarkStart w:id="3142" w:name="_Caption0632"/>
      <w:bookmarkStart w:id="3143" w:name="_Caption8906"/>
      <w:bookmarkStart w:id="3144" w:name="_Caption8453"/>
      <w:bookmarkStart w:id="3145" w:name="_Caption2482"/>
      <w:bookmarkStart w:id="3146" w:name="_Toc529869937"/>
      <w:bookmarkStart w:id="3147" w:name="_Toc530748433"/>
      <w:r w:rsidR="00EA42ED">
        <w:rPr>
          <w:noProof/>
        </w:rPr>
        <w:t>7</w:t>
      </w:r>
      <w:r w:rsidR="00EA42ED" w:rsidRPr="00695C93">
        <w:rPr>
          <w:noProof/>
        </w:rPr>
        <w:t>.</w:t>
      </w:r>
      <w:r w:rsidR="00EA42ED">
        <w:rPr>
          <w:noProof/>
        </w:rPr>
        <w:t>4</w:t>
      </w:r>
      <w:bookmarkEnd w:id="3142"/>
      <w:bookmarkEnd w:id="3143"/>
      <w:bookmarkEnd w:id="3144"/>
      <w:bookmarkEnd w:id="3145"/>
      <w:r w:rsidRPr="00695C93">
        <w:fldChar w:fldCharType="end"/>
      </w:r>
      <w:r w:rsidRPr="00695C93">
        <w:tab/>
      </w:r>
      <w:r>
        <w:t>Allocation of training costs across jurisdictions</w:t>
      </w:r>
      <w:bookmarkEnd w:id="3146"/>
      <w:bookmarkEnd w:id="3147"/>
    </w:p>
    <w:tbl>
      <w:tblPr>
        <w:tblW w:w="7936" w:type="dxa"/>
        <w:tblLayout w:type="fixed"/>
        <w:tblLook w:val="0000" w:firstRow="0" w:lastRow="0" w:firstColumn="0" w:lastColumn="0" w:noHBand="0" w:noVBand="0"/>
        <w:tblCaption w:val="Table 7.4: Allocation of training costs across jurisdictions"/>
        <w:tblDescription w:val="This table outlines the allocation of training costs across jurisdictions based on census data of population and housing from ABS. "/>
      </w:tblPr>
      <w:tblGrid>
        <w:gridCol w:w="2731"/>
        <w:gridCol w:w="1302"/>
        <w:gridCol w:w="1301"/>
        <w:gridCol w:w="1301"/>
        <w:gridCol w:w="1301"/>
      </w:tblGrid>
      <w:tr w:rsidR="0050317E" w:rsidTr="0050317E">
        <w:trPr>
          <w:trHeight w:val="461"/>
        </w:trPr>
        <w:tc>
          <w:tcPr>
            <w:tcW w:w="2731" w:type="dxa"/>
            <w:shd w:val="clear" w:color="auto" w:fill="6F6652"/>
            <w:tcMar>
              <w:left w:w="57" w:type="dxa"/>
              <w:right w:w="57" w:type="dxa"/>
            </w:tcMar>
          </w:tcPr>
          <w:p w:rsidR="0050317E" w:rsidRDefault="0050317E" w:rsidP="0050317E">
            <w:pPr>
              <w:pStyle w:val="TableDataColumnHeading"/>
              <w:jc w:val="left"/>
              <w:rPr>
                <w:lang w:val="en-GB"/>
              </w:rPr>
            </w:pPr>
          </w:p>
        </w:tc>
        <w:tc>
          <w:tcPr>
            <w:tcW w:w="1302" w:type="dxa"/>
            <w:shd w:val="clear" w:color="auto" w:fill="6F6652"/>
            <w:tcMar>
              <w:left w:w="57" w:type="dxa"/>
              <w:right w:w="57" w:type="dxa"/>
            </w:tcMar>
          </w:tcPr>
          <w:p w:rsidR="0050317E" w:rsidRDefault="0050317E" w:rsidP="0050317E">
            <w:pPr>
              <w:pStyle w:val="TableDataColumnHeading"/>
              <w:rPr>
                <w:lang w:val="en-GB"/>
              </w:rPr>
            </w:pPr>
            <w:r>
              <w:rPr>
                <w:lang w:val="en-GB"/>
              </w:rPr>
              <w:t>Certifiers/ surveyors</w:t>
            </w:r>
          </w:p>
        </w:tc>
        <w:tc>
          <w:tcPr>
            <w:tcW w:w="1301" w:type="dxa"/>
            <w:shd w:val="clear" w:color="auto" w:fill="6F6652"/>
            <w:tcMar>
              <w:left w:w="57" w:type="dxa"/>
              <w:right w:w="57" w:type="dxa"/>
            </w:tcMar>
          </w:tcPr>
          <w:p w:rsidR="0050317E" w:rsidRDefault="0050317E" w:rsidP="0050317E">
            <w:pPr>
              <w:pStyle w:val="TableDataColumnHeading"/>
              <w:rPr>
                <w:lang w:val="en-GB"/>
              </w:rPr>
            </w:pPr>
            <w:r>
              <w:rPr>
                <w:lang w:val="en-GB"/>
              </w:rPr>
              <w:t>Architects</w:t>
            </w:r>
          </w:p>
        </w:tc>
        <w:tc>
          <w:tcPr>
            <w:tcW w:w="1301" w:type="dxa"/>
            <w:shd w:val="clear" w:color="auto" w:fill="6F6652"/>
            <w:tcMar>
              <w:left w:w="57" w:type="dxa"/>
              <w:right w:w="57" w:type="dxa"/>
            </w:tcMar>
          </w:tcPr>
          <w:p w:rsidR="0050317E" w:rsidRDefault="0050317E" w:rsidP="0050317E">
            <w:pPr>
              <w:pStyle w:val="TableDataColumnHeading"/>
              <w:rPr>
                <w:lang w:val="en-GB"/>
              </w:rPr>
            </w:pPr>
            <w:r>
              <w:rPr>
                <w:lang w:val="en-GB"/>
              </w:rPr>
              <w:t>Engineers</w:t>
            </w:r>
          </w:p>
        </w:tc>
        <w:tc>
          <w:tcPr>
            <w:tcW w:w="1301" w:type="dxa"/>
            <w:shd w:val="clear" w:color="auto" w:fill="6F6652"/>
            <w:tcMar>
              <w:left w:w="57" w:type="dxa"/>
              <w:right w:w="57" w:type="dxa"/>
            </w:tcMar>
          </w:tcPr>
          <w:p w:rsidR="0050317E" w:rsidRDefault="0050317E" w:rsidP="0050317E">
            <w:pPr>
              <w:pStyle w:val="TableDataColumnHeading"/>
              <w:rPr>
                <w:lang w:val="en-GB"/>
              </w:rPr>
            </w:pPr>
            <w:r>
              <w:rPr>
                <w:lang w:val="en-GB"/>
              </w:rPr>
              <w:t>Total</w:t>
            </w:r>
          </w:p>
        </w:tc>
      </w:tr>
      <w:tr w:rsidR="0050317E" w:rsidTr="0050317E">
        <w:trPr>
          <w:trHeight w:val="230"/>
        </w:trPr>
        <w:tc>
          <w:tcPr>
            <w:tcW w:w="2731" w:type="dxa"/>
            <w:tcBorders>
              <w:bottom w:val="single" w:sz="8" w:space="0" w:color="FFFFFF" w:themeColor="background1"/>
            </w:tcBorders>
            <w:shd w:val="clear" w:color="auto" w:fill="auto"/>
            <w:tcMar>
              <w:left w:w="57" w:type="dxa"/>
              <w:right w:w="57" w:type="dxa"/>
            </w:tcMar>
          </w:tcPr>
          <w:p w:rsidR="0050317E" w:rsidRDefault="0050317E" w:rsidP="0050317E">
            <w:pPr>
              <w:pStyle w:val="TableUnit"/>
              <w:jc w:val="left"/>
              <w:rPr>
                <w:lang w:val="en-GB"/>
              </w:rPr>
            </w:pPr>
          </w:p>
        </w:tc>
        <w:tc>
          <w:tcPr>
            <w:tcW w:w="1302" w:type="dxa"/>
            <w:tcBorders>
              <w:bottom w:val="single" w:sz="8" w:space="0" w:color="FFFFFF" w:themeColor="background1"/>
            </w:tcBorders>
            <w:shd w:val="clear" w:color="auto" w:fill="auto"/>
            <w:tcMar>
              <w:left w:w="57" w:type="dxa"/>
              <w:right w:w="57" w:type="dxa"/>
            </w:tcMar>
          </w:tcPr>
          <w:p w:rsidR="0050317E" w:rsidRDefault="0050317E" w:rsidP="0050317E">
            <w:pPr>
              <w:pStyle w:val="TableUnit"/>
              <w:rPr>
                <w:lang w:val="en-GB"/>
              </w:rPr>
            </w:pPr>
            <w:r>
              <w:rPr>
                <w:lang w:val="en-GB"/>
              </w:rPr>
              <w:t>$ million</w:t>
            </w:r>
          </w:p>
        </w:tc>
        <w:tc>
          <w:tcPr>
            <w:tcW w:w="1301" w:type="dxa"/>
            <w:tcBorders>
              <w:bottom w:val="single" w:sz="8" w:space="0" w:color="FFFFFF" w:themeColor="background1"/>
            </w:tcBorders>
            <w:shd w:val="clear" w:color="auto" w:fill="auto"/>
            <w:tcMar>
              <w:left w:w="57" w:type="dxa"/>
              <w:right w:w="57" w:type="dxa"/>
            </w:tcMar>
          </w:tcPr>
          <w:p w:rsidR="0050317E" w:rsidRDefault="0050317E" w:rsidP="0050317E">
            <w:pPr>
              <w:pStyle w:val="TableUnit"/>
              <w:rPr>
                <w:lang w:val="en-GB"/>
              </w:rPr>
            </w:pPr>
            <w:r>
              <w:rPr>
                <w:lang w:val="en-GB"/>
              </w:rPr>
              <w:t>$million</w:t>
            </w:r>
          </w:p>
        </w:tc>
        <w:tc>
          <w:tcPr>
            <w:tcW w:w="1301" w:type="dxa"/>
            <w:tcBorders>
              <w:bottom w:val="single" w:sz="8" w:space="0" w:color="FFFFFF" w:themeColor="background1"/>
            </w:tcBorders>
            <w:shd w:val="clear" w:color="auto" w:fill="auto"/>
            <w:tcMar>
              <w:left w:w="57" w:type="dxa"/>
              <w:right w:w="57" w:type="dxa"/>
            </w:tcMar>
          </w:tcPr>
          <w:p w:rsidR="0050317E" w:rsidRDefault="0050317E" w:rsidP="0050317E">
            <w:pPr>
              <w:pStyle w:val="TableUnit"/>
              <w:rPr>
                <w:lang w:val="en-GB"/>
              </w:rPr>
            </w:pPr>
            <w:r>
              <w:rPr>
                <w:lang w:val="en-GB"/>
              </w:rPr>
              <w:t>$ million</w:t>
            </w:r>
          </w:p>
        </w:tc>
        <w:tc>
          <w:tcPr>
            <w:tcW w:w="1301" w:type="dxa"/>
            <w:tcBorders>
              <w:bottom w:val="single" w:sz="8" w:space="0" w:color="FFFFFF" w:themeColor="background1"/>
            </w:tcBorders>
            <w:shd w:val="clear" w:color="auto" w:fill="auto"/>
            <w:tcMar>
              <w:left w:w="57" w:type="dxa"/>
              <w:right w:w="57" w:type="dxa"/>
            </w:tcMar>
          </w:tcPr>
          <w:p w:rsidR="0050317E" w:rsidRDefault="0050317E" w:rsidP="0050317E">
            <w:pPr>
              <w:pStyle w:val="TableUnit"/>
              <w:rPr>
                <w:lang w:val="en-GB"/>
              </w:rPr>
            </w:pPr>
            <w:r>
              <w:rPr>
                <w:lang w:val="en-GB"/>
              </w:rPr>
              <w:t>$ million</w:t>
            </w:r>
          </w:p>
        </w:tc>
      </w:tr>
      <w:tr w:rsidR="005D417E" w:rsidTr="005D417E">
        <w:trPr>
          <w:trHeight w:val="230"/>
        </w:trPr>
        <w:tc>
          <w:tcPr>
            <w:tcW w:w="273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5D417E" w:rsidRDefault="005D417E" w:rsidP="005D417E">
            <w:pPr>
              <w:pStyle w:val="TableDataEntries"/>
              <w:jc w:val="left"/>
              <w:rPr>
                <w:lang w:val="en-GB"/>
              </w:rPr>
            </w:pPr>
            <w:r>
              <w:rPr>
                <w:lang w:val="en-GB"/>
              </w:rPr>
              <w:t>New South Wales</w:t>
            </w:r>
          </w:p>
        </w:tc>
        <w:tc>
          <w:tcPr>
            <w:tcW w:w="130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D417E" w:rsidRPr="005D417E" w:rsidRDefault="005D417E" w:rsidP="005D417E">
            <w:pPr>
              <w:pStyle w:val="TableDataEntries"/>
            </w:pPr>
            <w:r w:rsidRPr="005D417E">
              <w:t>- 0.39</w:t>
            </w:r>
          </w:p>
        </w:tc>
        <w:tc>
          <w:tcPr>
            <w:tcW w:w="130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D417E" w:rsidRPr="005D417E" w:rsidRDefault="005D417E" w:rsidP="005D417E">
            <w:pPr>
              <w:pStyle w:val="TableDataEntries"/>
            </w:pPr>
            <w:r w:rsidRPr="005D417E">
              <w:t>- 3.45</w:t>
            </w:r>
          </w:p>
        </w:tc>
        <w:tc>
          <w:tcPr>
            <w:tcW w:w="130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D417E" w:rsidRPr="005D417E" w:rsidRDefault="005D417E" w:rsidP="005D417E">
            <w:pPr>
              <w:pStyle w:val="TableDataEntries"/>
            </w:pPr>
            <w:r w:rsidRPr="005D417E">
              <w:t>- 1.76</w:t>
            </w:r>
          </w:p>
        </w:tc>
        <w:tc>
          <w:tcPr>
            <w:tcW w:w="130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D417E" w:rsidRPr="005D417E" w:rsidRDefault="005D417E" w:rsidP="005D417E">
            <w:pPr>
              <w:pStyle w:val="TableDataEntries"/>
            </w:pPr>
            <w:r w:rsidRPr="005D417E">
              <w:t>- 5.60</w:t>
            </w:r>
          </w:p>
        </w:tc>
      </w:tr>
      <w:tr w:rsidR="005D417E" w:rsidTr="005D417E">
        <w:trPr>
          <w:trHeight w:val="230"/>
        </w:trPr>
        <w:tc>
          <w:tcPr>
            <w:tcW w:w="273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5D417E" w:rsidRDefault="005D417E" w:rsidP="005D417E">
            <w:pPr>
              <w:pStyle w:val="TableDataEntries"/>
              <w:jc w:val="left"/>
              <w:rPr>
                <w:lang w:val="en-GB"/>
              </w:rPr>
            </w:pPr>
            <w:r>
              <w:rPr>
                <w:lang w:val="en-GB"/>
              </w:rPr>
              <w:t>Victoria</w:t>
            </w:r>
          </w:p>
        </w:tc>
        <w:tc>
          <w:tcPr>
            <w:tcW w:w="130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D417E" w:rsidRPr="005D417E" w:rsidRDefault="005D417E" w:rsidP="005D417E">
            <w:pPr>
              <w:pStyle w:val="TableDataEntries"/>
            </w:pPr>
            <w:r w:rsidRPr="005D417E">
              <w:t>- 0.32</w:t>
            </w:r>
          </w:p>
        </w:tc>
        <w:tc>
          <w:tcPr>
            <w:tcW w:w="130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D417E" w:rsidRPr="005D417E" w:rsidRDefault="005D417E" w:rsidP="005D417E">
            <w:pPr>
              <w:pStyle w:val="TableDataEntries"/>
            </w:pPr>
            <w:r w:rsidRPr="005D417E">
              <w:t>- 3.06</w:t>
            </w:r>
          </w:p>
        </w:tc>
        <w:tc>
          <w:tcPr>
            <w:tcW w:w="130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D417E" w:rsidRPr="005D417E" w:rsidRDefault="005D417E" w:rsidP="005D417E">
            <w:pPr>
              <w:pStyle w:val="TableDataEntries"/>
            </w:pPr>
            <w:r w:rsidRPr="005D417E">
              <w:t>- 1.49</w:t>
            </w:r>
          </w:p>
        </w:tc>
        <w:tc>
          <w:tcPr>
            <w:tcW w:w="130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D417E" w:rsidRPr="005D417E" w:rsidRDefault="005D417E" w:rsidP="005D417E">
            <w:pPr>
              <w:pStyle w:val="TableDataEntries"/>
            </w:pPr>
            <w:r w:rsidRPr="005D417E">
              <w:t>- 4.87</w:t>
            </w:r>
          </w:p>
        </w:tc>
      </w:tr>
      <w:tr w:rsidR="005D417E" w:rsidTr="005D417E">
        <w:trPr>
          <w:trHeight w:val="230"/>
        </w:trPr>
        <w:tc>
          <w:tcPr>
            <w:tcW w:w="273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5D417E" w:rsidRDefault="005D417E" w:rsidP="005D417E">
            <w:pPr>
              <w:pStyle w:val="TableDataEntries"/>
              <w:jc w:val="left"/>
              <w:rPr>
                <w:lang w:val="en-GB"/>
              </w:rPr>
            </w:pPr>
            <w:r>
              <w:rPr>
                <w:lang w:val="en-GB"/>
              </w:rPr>
              <w:t>Queensland</w:t>
            </w:r>
          </w:p>
        </w:tc>
        <w:tc>
          <w:tcPr>
            <w:tcW w:w="130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D417E" w:rsidRPr="005D417E" w:rsidRDefault="005D417E" w:rsidP="005D417E">
            <w:pPr>
              <w:pStyle w:val="TableDataEntries"/>
            </w:pPr>
            <w:r w:rsidRPr="005D417E">
              <w:t>- 0.26</w:t>
            </w:r>
          </w:p>
        </w:tc>
        <w:tc>
          <w:tcPr>
            <w:tcW w:w="130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D417E" w:rsidRPr="005D417E" w:rsidRDefault="005D417E" w:rsidP="005D417E">
            <w:pPr>
              <w:pStyle w:val="TableDataEntries"/>
            </w:pPr>
            <w:r w:rsidRPr="005D417E">
              <w:t>- 1.47</w:t>
            </w:r>
          </w:p>
        </w:tc>
        <w:tc>
          <w:tcPr>
            <w:tcW w:w="130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D417E" w:rsidRPr="005D417E" w:rsidRDefault="005D417E" w:rsidP="005D417E">
            <w:pPr>
              <w:pStyle w:val="TableDataEntries"/>
            </w:pPr>
            <w:r w:rsidRPr="005D417E">
              <w:t>- 1.15</w:t>
            </w:r>
          </w:p>
        </w:tc>
        <w:tc>
          <w:tcPr>
            <w:tcW w:w="130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D417E" w:rsidRPr="005D417E" w:rsidRDefault="005D417E" w:rsidP="005D417E">
            <w:pPr>
              <w:pStyle w:val="TableDataEntries"/>
            </w:pPr>
            <w:r w:rsidRPr="005D417E">
              <w:t>- 2.89</w:t>
            </w:r>
          </w:p>
        </w:tc>
      </w:tr>
      <w:tr w:rsidR="005D417E" w:rsidTr="005D417E">
        <w:trPr>
          <w:trHeight w:val="230"/>
        </w:trPr>
        <w:tc>
          <w:tcPr>
            <w:tcW w:w="273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5D417E" w:rsidRDefault="005D417E" w:rsidP="005D417E">
            <w:pPr>
              <w:pStyle w:val="TableDataEntries"/>
              <w:jc w:val="left"/>
              <w:rPr>
                <w:lang w:val="en-GB"/>
              </w:rPr>
            </w:pPr>
            <w:r>
              <w:rPr>
                <w:lang w:val="en-GB"/>
              </w:rPr>
              <w:t>South Australia</w:t>
            </w:r>
          </w:p>
        </w:tc>
        <w:tc>
          <w:tcPr>
            <w:tcW w:w="130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D417E" w:rsidRPr="005D417E" w:rsidRDefault="005D417E" w:rsidP="005D417E">
            <w:pPr>
              <w:pStyle w:val="TableDataEntries"/>
            </w:pPr>
            <w:r w:rsidRPr="005D417E">
              <w:t>- 0.07</w:t>
            </w:r>
          </w:p>
        </w:tc>
        <w:tc>
          <w:tcPr>
            <w:tcW w:w="130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D417E" w:rsidRPr="005D417E" w:rsidRDefault="005D417E" w:rsidP="005D417E">
            <w:pPr>
              <w:pStyle w:val="TableDataEntries"/>
            </w:pPr>
            <w:r w:rsidRPr="005D417E">
              <w:t>- 0.50</w:t>
            </w:r>
          </w:p>
        </w:tc>
        <w:tc>
          <w:tcPr>
            <w:tcW w:w="130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D417E" w:rsidRPr="005D417E" w:rsidRDefault="005D417E" w:rsidP="005D417E">
            <w:pPr>
              <w:pStyle w:val="TableDataEntries"/>
            </w:pPr>
            <w:r w:rsidRPr="005D417E">
              <w:t>- 0.32</w:t>
            </w:r>
          </w:p>
        </w:tc>
        <w:tc>
          <w:tcPr>
            <w:tcW w:w="130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D417E" w:rsidRPr="005D417E" w:rsidRDefault="005D417E" w:rsidP="005D417E">
            <w:pPr>
              <w:pStyle w:val="TableDataEntries"/>
            </w:pPr>
            <w:r w:rsidRPr="005D417E">
              <w:t>- 0.89</w:t>
            </w:r>
          </w:p>
        </w:tc>
      </w:tr>
      <w:tr w:rsidR="005D417E" w:rsidTr="005D417E">
        <w:trPr>
          <w:trHeight w:val="230"/>
        </w:trPr>
        <w:tc>
          <w:tcPr>
            <w:tcW w:w="273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5D417E" w:rsidRDefault="005D417E" w:rsidP="005D417E">
            <w:pPr>
              <w:pStyle w:val="TableDataEntries"/>
              <w:jc w:val="left"/>
              <w:rPr>
                <w:lang w:val="en-GB"/>
              </w:rPr>
            </w:pPr>
            <w:r>
              <w:rPr>
                <w:lang w:val="en-GB"/>
              </w:rPr>
              <w:t>Western Australia</w:t>
            </w:r>
          </w:p>
        </w:tc>
        <w:tc>
          <w:tcPr>
            <w:tcW w:w="130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D417E" w:rsidRPr="005D417E" w:rsidRDefault="005D417E" w:rsidP="005D417E">
            <w:pPr>
              <w:pStyle w:val="TableDataEntries"/>
            </w:pPr>
            <w:r w:rsidRPr="005D417E">
              <w:t>- 0.17</w:t>
            </w:r>
          </w:p>
        </w:tc>
        <w:tc>
          <w:tcPr>
            <w:tcW w:w="130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D417E" w:rsidRPr="005D417E" w:rsidRDefault="005D417E" w:rsidP="005D417E">
            <w:pPr>
              <w:pStyle w:val="TableDataEntries"/>
            </w:pPr>
            <w:r w:rsidRPr="005D417E">
              <w:t>- 0.87</w:t>
            </w:r>
          </w:p>
        </w:tc>
        <w:tc>
          <w:tcPr>
            <w:tcW w:w="130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D417E" w:rsidRPr="005D417E" w:rsidRDefault="005D417E" w:rsidP="005D417E">
            <w:pPr>
              <w:pStyle w:val="TableDataEntries"/>
            </w:pPr>
            <w:r w:rsidRPr="005D417E">
              <w:t>- 0.82</w:t>
            </w:r>
          </w:p>
        </w:tc>
        <w:tc>
          <w:tcPr>
            <w:tcW w:w="130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D417E" w:rsidRPr="005D417E" w:rsidRDefault="005D417E" w:rsidP="005D417E">
            <w:pPr>
              <w:pStyle w:val="TableDataEntries"/>
            </w:pPr>
            <w:r w:rsidRPr="005D417E">
              <w:t>- 1.86</w:t>
            </w:r>
          </w:p>
        </w:tc>
      </w:tr>
      <w:tr w:rsidR="005D417E" w:rsidTr="005D417E">
        <w:trPr>
          <w:trHeight w:val="230"/>
        </w:trPr>
        <w:tc>
          <w:tcPr>
            <w:tcW w:w="273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5D417E" w:rsidRDefault="005D417E" w:rsidP="005D417E">
            <w:pPr>
              <w:pStyle w:val="TableDataEntries"/>
              <w:jc w:val="left"/>
              <w:rPr>
                <w:lang w:val="en-GB"/>
              </w:rPr>
            </w:pPr>
            <w:r>
              <w:rPr>
                <w:lang w:val="en-GB"/>
              </w:rPr>
              <w:t>Tasmania</w:t>
            </w:r>
          </w:p>
        </w:tc>
        <w:tc>
          <w:tcPr>
            <w:tcW w:w="130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D417E" w:rsidRPr="005D417E" w:rsidRDefault="005D417E" w:rsidP="005D417E">
            <w:pPr>
              <w:pStyle w:val="TableDataEntries"/>
            </w:pPr>
            <w:r w:rsidRPr="005D417E">
              <w:t>- 0.02</w:t>
            </w:r>
          </w:p>
        </w:tc>
        <w:tc>
          <w:tcPr>
            <w:tcW w:w="130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D417E" w:rsidRPr="005D417E" w:rsidRDefault="005D417E" w:rsidP="005D417E">
            <w:pPr>
              <w:pStyle w:val="TableDataEntries"/>
            </w:pPr>
            <w:r w:rsidRPr="005D417E">
              <w:t>- 0.14</w:t>
            </w:r>
          </w:p>
        </w:tc>
        <w:tc>
          <w:tcPr>
            <w:tcW w:w="130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D417E" w:rsidRPr="005D417E" w:rsidRDefault="005D417E" w:rsidP="005D417E">
            <w:pPr>
              <w:pStyle w:val="TableDataEntries"/>
            </w:pPr>
            <w:r w:rsidRPr="005D417E">
              <w:t>- 0.07</w:t>
            </w:r>
          </w:p>
        </w:tc>
        <w:tc>
          <w:tcPr>
            <w:tcW w:w="130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D417E" w:rsidRPr="005D417E" w:rsidRDefault="005D417E" w:rsidP="005D417E">
            <w:pPr>
              <w:pStyle w:val="TableDataEntries"/>
            </w:pPr>
            <w:r w:rsidRPr="005D417E">
              <w:t>- 0.23</w:t>
            </w:r>
          </w:p>
        </w:tc>
      </w:tr>
      <w:tr w:rsidR="005D417E" w:rsidTr="005D417E">
        <w:trPr>
          <w:trHeight w:val="230"/>
        </w:trPr>
        <w:tc>
          <w:tcPr>
            <w:tcW w:w="273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5D417E" w:rsidRDefault="005D417E" w:rsidP="005D417E">
            <w:pPr>
              <w:pStyle w:val="TableDataEntries"/>
              <w:jc w:val="left"/>
              <w:rPr>
                <w:lang w:val="en-GB"/>
              </w:rPr>
            </w:pPr>
            <w:r>
              <w:rPr>
                <w:lang w:val="en-GB"/>
              </w:rPr>
              <w:t>ACT</w:t>
            </w:r>
          </w:p>
        </w:tc>
        <w:tc>
          <w:tcPr>
            <w:tcW w:w="130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D417E" w:rsidRPr="005D417E" w:rsidRDefault="005D417E" w:rsidP="005D417E">
            <w:pPr>
              <w:pStyle w:val="TableDataEntries"/>
            </w:pPr>
            <w:r w:rsidRPr="005D417E">
              <w:t>- 0.02</w:t>
            </w:r>
          </w:p>
        </w:tc>
        <w:tc>
          <w:tcPr>
            <w:tcW w:w="130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D417E" w:rsidRPr="005D417E" w:rsidRDefault="005D417E" w:rsidP="005D417E">
            <w:pPr>
              <w:pStyle w:val="TableDataEntries"/>
            </w:pPr>
            <w:r w:rsidRPr="005D417E">
              <w:t>- 0.19</w:t>
            </w:r>
          </w:p>
        </w:tc>
        <w:tc>
          <w:tcPr>
            <w:tcW w:w="130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D417E" w:rsidRPr="005D417E" w:rsidRDefault="005D417E" w:rsidP="005D417E">
            <w:pPr>
              <w:pStyle w:val="TableDataEntries"/>
            </w:pPr>
            <w:r w:rsidRPr="005D417E">
              <w:t>- 0.07</w:t>
            </w:r>
          </w:p>
        </w:tc>
        <w:tc>
          <w:tcPr>
            <w:tcW w:w="130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D417E" w:rsidRPr="005D417E" w:rsidRDefault="005D417E" w:rsidP="005D417E">
            <w:pPr>
              <w:pStyle w:val="TableDataEntries"/>
            </w:pPr>
            <w:r w:rsidRPr="005D417E">
              <w:t>- 0.28</w:t>
            </w:r>
          </w:p>
        </w:tc>
      </w:tr>
      <w:tr w:rsidR="005D417E" w:rsidTr="005D417E">
        <w:trPr>
          <w:trHeight w:val="230"/>
        </w:trPr>
        <w:tc>
          <w:tcPr>
            <w:tcW w:w="273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5D417E" w:rsidRDefault="005D417E" w:rsidP="005D417E">
            <w:pPr>
              <w:pStyle w:val="TableDataEntries"/>
              <w:jc w:val="left"/>
              <w:rPr>
                <w:lang w:val="en-GB"/>
              </w:rPr>
            </w:pPr>
            <w:r>
              <w:rPr>
                <w:lang w:val="en-GB"/>
              </w:rPr>
              <w:t>Northern Territory</w:t>
            </w:r>
          </w:p>
        </w:tc>
        <w:tc>
          <w:tcPr>
            <w:tcW w:w="130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D417E" w:rsidRPr="005D417E" w:rsidRDefault="005D417E" w:rsidP="005D417E">
            <w:pPr>
              <w:pStyle w:val="TableDataEntries"/>
            </w:pPr>
            <w:r w:rsidRPr="005D417E">
              <w:t>- 0.02</w:t>
            </w:r>
          </w:p>
        </w:tc>
        <w:tc>
          <w:tcPr>
            <w:tcW w:w="130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D417E" w:rsidRPr="005D417E" w:rsidRDefault="005D417E" w:rsidP="005D417E">
            <w:pPr>
              <w:pStyle w:val="TableDataEntries"/>
            </w:pPr>
            <w:r w:rsidRPr="005D417E">
              <w:t>- 0.03</w:t>
            </w:r>
          </w:p>
        </w:tc>
        <w:tc>
          <w:tcPr>
            <w:tcW w:w="130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D417E" w:rsidRPr="005D417E" w:rsidRDefault="005D417E" w:rsidP="005D417E">
            <w:pPr>
              <w:pStyle w:val="TableDataEntries"/>
            </w:pPr>
            <w:r w:rsidRPr="005D417E">
              <w:t>- 0.07</w:t>
            </w:r>
          </w:p>
        </w:tc>
        <w:tc>
          <w:tcPr>
            <w:tcW w:w="130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D417E" w:rsidRPr="005D417E" w:rsidRDefault="005D417E" w:rsidP="005D417E">
            <w:pPr>
              <w:pStyle w:val="TableDataEntries"/>
            </w:pPr>
            <w:r w:rsidRPr="005D417E">
              <w:t>- 0.12</w:t>
            </w:r>
          </w:p>
        </w:tc>
      </w:tr>
      <w:tr w:rsidR="005D417E" w:rsidRPr="0032647A" w:rsidTr="005D417E">
        <w:trPr>
          <w:trHeight w:val="230"/>
        </w:trPr>
        <w:tc>
          <w:tcPr>
            <w:tcW w:w="2731"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rsidR="005D417E" w:rsidRPr="0032647A" w:rsidRDefault="005D417E" w:rsidP="005D417E">
            <w:pPr>
              <w:pStyle w:val="TableDataEntries"/>
              <w:jc w:val="left"/>
              <w:rPr>
                <w:rFonts w:ascii="Franklin Gothic Demi" w:hAnsi="Franklin Gothic Demi"/>
                <w:lang w:val="en-GB"/>
              </w:rPr>
            </w:pPr>
            <w:r w:rsidRPr="0032647A">
              <w:rPr>
                <w:rFonts w:ascii="Franklin Gothic Demi" w:hAnsi="Franklin Gothic Demi"/>
                <w:lang w:val="en-GB"/>
              </w:rPr>
              <w:t>Total</w:t>
            </w:r>
          </w:p>
        </w:tc>
        <w:tc>
          <w:tcPr>
            <w:tcW w:w="1302"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5D417E" w:rsidRPr="0032647A" w:rsidRDefault="005D417E" w:rsidP="005D417E">
            <w:pPr>
              <w:pStyle w:val="TableDataEntries"/>
              <w:rPr>
                <w:rFonts w:ascii="Franklin Gothic Demi" w:hAnsi="Franklin Gothic Demi"/>
              </w:rPr>
            </w:pPr>
            <w:r w:rsidRPr="0032647A">
              <w:rPr>
                <w:rFonts w:ascii="Franklin Gothic Demi" w:hAnsi="Franklin Gothic Demi"/>
              </w:rPr>
              <w:t>- 1.27</w:t>
            </w:r>
          </w:p>
        </w:tc>
        <w:tc>
          <w:tcPr>
            <w:tcW w:w="1301"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5D417E" w:rsidRPr="0032647A" w:rsidRDefault="005D417E" w:rsidP="005D417E">
            <w:pPr>
              <w:pStyle w:val="TableDataEntries"/>
              <w:rPr>
                <w:rFonts w:ascii="Franklin Gothic Demi" w:hAnsi="Franklin Gothic Demi"/>
              </w:rPr>
            </w:pPr>
            <w:r w:rsidRPr="0032647A">
              <w:rPr>
                <w:rFonts w:ascii="Franklin Gothic Demi" w:hAnsi="Franklin Gothic Demi"/>
              </w:rPr>
              <w:t>- 9.71</w:t>
            </w:r>
          </w:p>
        </w:tc>
        <w:tc>
          <w:tcPr>
            <w:tcW w:w="1301"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5D417E" w:rsidRPr="0032647A" w:rsidRDefault="005D417E" w:rsidP="005D417E">
            <w:pPr>
              <w:pStyle w:val="TableDataEntries"/>
              <w:rPr>
                <w:rFonts w:ascii="Franklin Gothic Demi" w:hAnsi="Franklin Gothic Demi"/>
              </w:rPr>
            </w:pPr>
            <w:r w:rsidRPr="0032647A">
              <w:rPr>
                <w:rFonts w:ascii="Franklin Gothic Demi" w:hAnsi="Franklin Gothic Demi"/>
              </w:rPr>
              <w:t>- 5.74</w:t>
            </w:r>
          </w:p>
        </w:tc>
        <w:tc>
          <w:tcPr>
            <w:tcW w:w="1301"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5D417E" w:rsidRPr="0032647A" w:rsidRDefault="005D417E" w:rsidP="005D417E">
            <w:pPr>
              <w:pStyle w:val="TableDataEntries"/>
              <w:rPr>
                <w:rFonts w:ascii="Franklin Gothic Demi" w:hAnsi="Franklin Gothic Demi"/>
              </w:rPr>
            </w:pPr>
            <w:r w:rsidRPr="0032647A">
              <w:rPr>
                <w:rFonts w:ascii="Franklin Gothic Demi" w:hAnsi="Franklin Gothic Demi"/>
              </w:rPr>
              <w:t>- 16.73</w:t>
            </w:r>
          </w:p>
        </w:tc>
      </w:tr>
    </w:tbl>
    <w:p w:rsidR="0050317E" w:rsidRDefault="0050317E" w:rsidP="0050317E">
      <w:pPr>
        <w:pStyle w:val="Source"/>
      </w:pPr>
      <w:r>
        <w:rPr>
          <w:i/>
        </w:rPr>
        <w:t>Source</w:t>
      </w:r>
      <w:r w:rsidRPr="00E4232C">
        <w:rPr>
          <w:i/>
        </w:rPr>
        <w:t>:</w:t>
      </w:r>
      <w:r>
        <w:t xml:space="preserve"> ABS 2016 Census of Population and Housing, CIE.</w:t>
      </w:r>
    </w:p>
    <w:bookmarkEnd w:id="3129"/>
    <w:p w:rsidR="005D43B1" w:rsidRDefault="005D43B1" w:rsidP="00DD6203">
      <w:pPr>
        <w:pStyle w:val="Heading4"/>
      </w:pPr>
      <w:r>
        <w:t>Industry stakeholder directly affected by the proposed changes</w:t>
      </w:r>
    </w:p>
    <w:p w:rsidR="005D4A02" w:rsidRDefault="00E17098" w:rsidP="005D4A02">
      <w:pPr>
        <w:pStyle w:val="BodyText"/>
      </w:pPr>
      <w:r>
        <w:t xml:space="preserve">Stakeholders </w:t>
      </w:r>
      <w:r w:rsidR="005D4A02">
        <w:t xml:space="preserve">that will be directly affected by the proposed changes to the code (i.e. those that will need to be familiar with </w:t>
      </w:r>
      <w:r>
        <w:t xml:space="preserve">some or all of the detail of </w:t>
      </w:r>
      <w:r w:rsidR="005D4A02">
        <w:t>the changes) include:</w:t>
      </w:r>
    </w:p>
    <w:p w:rsidR="005D4A02" w:rsidRDefault="009F6046" w:rsidP="00DD6203">
      <w:pPr>
        <w:pStyle w:val="ListBullet"/>
      </w:pPr>
      <w:r>
        <w:t>c</w:t>
      </w:r>
      <w:r w:rsidR="005D4A02">
        <w:t>ertifiers/surveyors</w:t>
      </w:r>
    </w:p>
    <w:p w:rsidR="005D4A02" w:rsidRDefault="009F6046" w:rsidP="00DD6203">
      <w:pPr>
        <w:pStyle w:val="ListBullet"/>
      </w:pPr>
      <w:r>
        <w:t>a</w:t>
      </w:r>
      <w:r w:rsidR="005D4A02">
        <w:t>rchitects and building designers</w:t>
      </w:r>
    </w:p>
    <w:p w:rsidR="005D4A02" w:rsidRDefault="009F6046" w:rsidP="00DD6203">
      <w:pPr>
        <w:pStyle w:val="ListBullet"/>
      </w:pPr>
      <w:r>
        <w:t>e</w:t>
      </w:r>
      <w:r w:rsidR="005D4A02">
        <w:t>ngineers</w:t>
      </w:r>
      <w:r>
        <w:t>.</w:t>
      </w:r>
    </w:p>
    <w:p w:rsidR="00461C05" w:rsidRDefault="005D4A02" w:rsidP="00A16755">
      <w:pPr>
        <w:pStyle w:val="BodyText"/>
      </w:pPr>
      <w:r>
        <w:t>The NCC subscriber base is around 194 000 in total, which suggests that</w:t>
      </w:r>
      <w:r w:rsidR="009F6046">
        <w:t xml:space="preserve"> registered users are a reasonable reflection of the total size of the market. This includes more than 51 000 subscribers in those professions that will be directly affected by the proposed changes. However, not all registered users in the relevant professions are involved with the construction of commercial buildings (i.e. some focus on residential construction).</w:t>
      </w:r>
      <w:r w:rsidR="00461C05">
        <w:t xml:space="preserve"> In particular, those in the relevant professions that specialise in the residential construction sector would not need to familiarise themselves with the proposed changes to the energy efficiency requirements for commercial buildings.</w:t>
      </w:r>
    </w:p>
    <w:p w:rsidR="00461C05" w:rsidRDefault="00461C05" w:rsidP="00A16755">
      <w:pPr>
        <w:pStyle w:val="BodyText"/>
      </w:pPr>
      <w:r>
        <w:t>Input</w:t>
      </w:r>
      <w:r>
        <w:noBreakHyphen/>
        <w:t xml:space="preserve">output tables published by the ABS provides and estimate of the production of each industry that is used as an input to </w:t>
      </w:r>
      <w:r w:rsidR="0050317E">
        <w:t xml:space="preserve">the production of other industries. </w:t>
      </w:r>
      <w:r w:rsidR="005D43B1">
        <w:t>To allocate the number of NCC subscribers between non</w:t>
      </w:r>
      <w:r w:rsidR="005D43B1">
        <w:noBreakHyphen/>
        <w:t>residential and residential buildings, w</w:t>
      </w:r>
      <w:r>
        <w:t xml:space="preserve">e use the share of </w:t>
      </w:r>
      <w:r w:rsidR="005D43B1">
        <w:t xml:space="preserve">the relevant sectors (architectural services and engineering, design and consulting services) </w:t>
      </w:r>
      <w:r>
        <w:t>used in non</w:t>
      </w:r>
      <w:r>
        <w:noBreakHyphen/>
        <w:t>residential building construction sector</w:t>
      </w:r>
      <w:r w:rsidR="005D43B1">
        <w:t xml:space="preserve"> as share</w:t>
      </w:r>
      <w:r w:rsidR="0015766D">
        <w:t xml:space="preserve"> of total building construction (table </w:t>
      </w:r>
      <w:r w:rsidR="00B2441E">
        <w:rPr>
          <w:noProof/>
        </w:rPr>
        <w:fldChar w:fldCharType="begin"/>
      </w:r>
      <w:r w:rsidR="00B2441E">
        <w:rPr>
          <w:noProof/>
        </w:rPr>
        <w:instrText xml:space="preserve"> REF _Caption0883 </w:instrText>
      </w:r>
      <w:r w:rsidR="00B2441E">
        <w:rPr>
          <w:noProof/>
        </w:rPr>
        <w:fldChar w:fldCharType="separate"/>
      </w:r>
      <w:r w:rsidR="006B79B8">
        <w:rPr>
          <w:noProof/>
        </w:rPr>
        <w:t>7</w:t>
      </w:r>
      <w:r w:rsidR="006B79B8" w:rsidRPr="00695C93">
        <w:rPr>
          <w:noProof/>
        </w:rPr>
        <w:t>.</w:t>
      </w:r>
      <w:r w:rsidR="006B79B8">
        <w:rPr>
          <w:noProof/>
        </w:rPr>
        <w:t>5</w:t>
      </w:r>
      <w:r w:rsidR="00B2441E">
        <w:rPr>
          <w:noProof/>
        </w:rPr>
        <w:fldChar w:fldCharType="end"/>
      </w:r>
      <w:r w:rsidR="0015766D">
        <w:t>). This is around 51 per cent of NCC subscribers.</w:t>
      </w:r>
    </w:p>
    <w:p w:rsidR="005D43B1" w:rsidRDefault="005D43B1" w:rsidP="005D43B1">
      <w:pPr>
        <w:pStyle w:val="Caption"/>
      </w:pPr>
      <w:r w:rsidRPr="00695C93">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sidR="00B833F1">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sidR="00B833F1">
        <w:rPr>
          <w:noProof/>
        </w:rPr>
        <w:instrText>7</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sidR="00B833F1">
        <w:rPr>
          <w:noProof/>
        </w:rPr>
        <w:instrText>7</w:instrText>
      </w:r>
      <w:r>
        <w:rPr>
          <w:noProof/>
        </w:rPr>
        <w:fldChar w:fldCharType="end"/>
      </w:r>
      <w:r w:rsidRPr="00695C93">
        <w:instrText xml:space="preserve">." </w:instrText>
      </w:r>
      <w:r w:rsidRPr="00695C93">
        <w:fldChar w:fldCharType="separate"/>
      </w:r>
      <w:r w:rsidR="00B833F1">
        <w:rPr>
          <w:noProof/>
        </w:rPr>
        <w:instrText>7</w:instrText>
      </w:r>
      <w:r w:rsidR="00B833F1" w:rsidRPr="00695C93">
        <w:rPr>
          <w:noProof/>
        </w:rPr>
        <w:instrText>.</w:instrText>
      </w:r>
      <w:r w:rsidRPr="00695C93">
        <w:fldChar w:fldCharType="end"/>
      </w:r>
      <w:r w:rsidRPr="00695C93">
        <w:instrText>" "</w:instrText>
      </w:r>
      <w:r w:rsidR="001F6F43">
        <w:fldChar w:fldCharType="begin"/>
      </w:r>
      <w:r w:rsidR="001F6F43">
        <w:instrText xml:space="preserve"> STYLEREF "Heading 6" \l \n </w:instrText>
      </w:r>
      <w:r w:rsidR="001F6F43">
        <w:fldChar w:fldCharType="separate"/>
      </w:r>
      <w:r w:rsidRPr="00695C93">
        <w:instrText>B</w:instrText>
      </w:r>
      <w:r w:rsidR="001F6F43">
        <w:fldChar w:fldCharType="end"/>
      </w:r>
      <w:r w:rsidRPr="00695C93">
        <w:instrText xml:space="preserve">." </w:instrText>
      </w:r>
      <w:r w:rsidRPr="00695C93">
        <w:fldChar w:fldCharType="separate"/>
      </w:r>
      <w:r w:rsidR="00EA42ED">
        <w:rPr>
          <w:noProof/>
        </w:rPr>
        <w:instrText>7</w:instrText>
      </w:r>
      <w:r w:rsidR="00EA42ED"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sidR="00B833F1">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sidR="00B833F1">
        <w:rPr>
          <w:noProof/>
        </w:rPr>
        <w:instrText>7</w:instrText>
      </w:r>
      <w:r>
        <w:rPr>
          <w:noProof/>
        </w:rPr>
        <w:fldChar w:fldCharType="end"/>
      </w:r>
      <w:r w:rsidRPr="00695C93">
        <w:instrText xml:space="preserve"> = 0 "" "1" </w:instrText>
      </w:r>
      <w:r w:rsidRPr="00695C93">
        <w:fldChar w:fldCharType="separate"/>
      </w:r>
      <w:r w:rsidR="00EA42ED" w:rsidRPr="00695C93">
        <w:rPr>
          <w:noProof/>
        </w:rPr>
        <w:instrText>1</w:instrText>
      </w:r>
      <w:r w:rsidRPr="00695C93">
        <w:fldChar w:fldCharType="end"/>
      </w:r>
      <w:r w:rsidRPr="00695C93">
        <w:instrText xml:space="preserve">" "6" </w:instrText>
      </w:r>
      <w:r w:rsidRPr="00695C93">
        <w:fldChar w:fldCharType="separate"/>
      </w:r>
      <w:r w:rsidR="00EA42ED" w:rsidRPr="00695C93">
        <w:rPr>
          <w:noProof/>
        </w:rPr>
        <w:instrText>1</w:instrText>
      </w:r>
      <w:r w:rsidRPr="00695C93">
        <w:fldChar w:fldCharType="end"/>
      </w:r>
      <w:r w:rsidRPr="00695C93">
        <w:instrText xml:space="preserve"> </w:instrText>
      </w:r>
      <w:r w:rsidRPr="00695C93">
        <w:fldChar w:fldCharType="separate"/>
      </w:r>
      <w:r w:rsidR="00B833F1">
        <w:rPr>
          <w:noProof/>
        </w:rPr>
        <w:instrText>5</w:instrText>
      </w:r>
      <w:r w:rsidRPr="00695C93">
        <w:fldChar w:fldCharType="end"/>
      </w:r>
      <w:r w:rsidRPr="00695C93">
        <w:instrText xml:space="preserve">" "" </w:instrText>
      </w:r>
      <w:r w:rsidRPr="00695C93">
        <w:fldChar w:fldCharType="separate"/>
      </w:r>
      <w:bookmarkStart w:id="3148" w:name="_Caption3495"/>
      <w:bookmarkStart w:id="3149" w:name="_Caption7123"/>
      <w:bookmarkStart w:id="3150" w:name="_Caption2715"/>
      <w:bookmarkStart w:id="3151" w:name="_Caption0605"/>
      <w:bookmarkStart w:id="3152" w:name="_Caption9515"/>
      <w:bookmarkStart w:id="3153" w:name="_Caption3043"/>
      <w:bookmarkStart w:id="3154" w:name="_Caption4792"/>
      <w:bookmarkStart w:id="3155" w:name="_Caption0883"/>
      <w:bookmarkStart w:id="3156" w:name="_Caption1414"/>
      <w:bookmarkStart w:id="3157" w:name="_Caption0334"/>
      <w:bookmarkStart w:id="3158" w:name="_Toc529869938"/>
      <w:bookmarkStart w:id="3159" w:name="_Toc530748434"/>
      <w:r w:rsidR="00EA42ED">
        <w:rPr>
          <w:noProof/>
        </w:rPr>
        <w:t>7</w:t>
      </w:r>
      <w:r w:rsidR="00EA42ED" w:rsidRPr="00695C93">
        <w:rPr>
          <w:noProof/>
        </w:rPr>
        <w:t>.</w:t>
      </w:r>
      <w:r w:rsidR="00EA42ED">
        <w:rPr>
          <w:noProof/>
        </w:rPr>
        <w:t>5</w:t>
      </w:r>
      <w:bookmarkEnd w:id="3148"/>
      <w:bookmarkEnd w:id="3149"/>
      <w:bookmarkEnd w:id="3150"/>
      <w:bookmarkEnd w:id="3151"/>
      <w:bookmarkEnd w:id="3152"/>
      <w:bookmarkEnd w:id="3153"/>
      <w:bookmarkEnd w:id="3154"/>
      <w:bookmarkEnd w:id="3155"/>
      <w:bookmarkEnd w:id="3156"/>
      <w:bookmarkEnd w:id="3157"/>
      <w:r w:rsidRPr="00695C93">
        <w:fldChar w:fldCharType="end"/>
      </w:r>
      <w:r w:rsidRPr="00695C93">
        <w:tab/>
      </w:r>
      <w:r>
        <w:t>Estimated number of stakeholders directly affected by proposed changes</w:t>
      </w:r>
      <w:bookmarkEnd w:id="3158"/>
      <w:bookmarkEnd w:id="3159"/>
    </w:p>
    <w:tbl>
      <w:tblPr>
        <w:tblW w:w="0" w:type="auto"/>
        <w:tblLayout w:type="fixed"/>
        <w:tblLook w:val="0000" w:firstRow="0" w:lastRow="0" w:firstColumn="0" w:lastColumn="0" w:noHBand="0" w:noVBand="0"/>
        <w:tblCaption w:val="Table 7.5: Estimated number of stakeholders directly affected by proposed changes"/>
        <w:tblDescription w:val="This table outlines the estimated number of stakeholders directly affected by the proposed changes to the NCC. It is estiamted that 26,000 stakeholders will be impacted predominantly achitects/building designers. "/>
      </w:tblPr>
      <w:tblGrid>
        <w:gridCol w:w="3745"/>
        <w:gridCol w:w="1538"/>
        <w:gridCol w:w="1128"/>
        <w:gridCol w:w="1526"/>
      </w:tblGrid>
      <w:tr w:rsidR="005D43B1" w:rsidTr="005D43B1">
        <w:trPr>
          <w:trHeight w:val="922"/>
        </w:trPr>
        <w:tc>
          <w:tcPr>
            <w:tcW w:w="3745" w:type="dxa"/>
            <w:shd w:val="clear" w:color="auto" w:fill="6F6652"/>
            <w:tcMar>
              <w:left w:w="57" w:type="dxa"/>
              <w:right w:w="57" w:type="dxa"/>
            </w:tcMar>
          </w:tcPr>
          <w:p w:rsidR="005D43B1" w:rsidRDefault="005D43B1" w:rsidP="005D43B1">
            <w:pPr>
              <w:pStyle w:val="TableDataColumnHeading"/>
              <w:jc w:val="left"/>
              <w:rPr>
                <w:lang w:val="en-GB"/>
              </w:rPr>
            </w:pPr>
          </w:p>
        </w:tc>
        <w:tc>
          <w:tcPr>
            <w:tcW w:w="1538" w:type="dxa"/>
            <w:shd w:val="clear" w:color="auto" w:fill="6F6652"/>
            <w:tcMar>
              <w:left w:w="57" w:type="dxa"/>
              <w:right w:w="57" w:type="dxa"/>
            </w:tcMar>
          </w:tcPr>
          <w:p w:rsidR="005D43B1" w:rsidRDefault="005D43B1" w:rsidP="005D43B1">
            <w:pPr>
              <w:pStyle w:val="TableDataColumnHeading"/>
              <w:rPr>
                <w:lang w:val="en-GB"/>
              </w:rPr>
            </w:pPr>
            <w:r>
              <w:rPr>
                <w:lang w:val="en-GB"/>
              </w:rPr>
              <w:t>Number of NCC subscribers</w:t>
            </w:r>
          </w:p>
        </w:tc>
        <w:tc>
          <w:tcPr>
            <w:tcW w:w="1128" w:type="dxa"/>
            <w:shd w:val="clear" w:color="auto" w:fill="6F6652"/>
            <w:tcMar>
              <w:left w:w="57" w:type="dxa"/>
              <w:right w:w="57" w:type="dxa"/>
            </w:tcMar>
          </w:tcPr>
          <w:p w:rsidR="005D43B1" w:rsidRDefault="005D43B1" w:rsidP="005D43B1">
            <w:pPr>
              <w:pStyle w:val="TableDataColumnHeading"/>
              <w:rPr>
                <w:lang w:val="en-GB"/>
              </w:rPr>
            </w:pPr>
            <w:r>
              <w:rPr>
                <w:lang w:val="en-GB"/>
              </w:rPr>
              <w:t>Non-residential building share</w:t>
            </w:r>
          </w:p>
        </w:tc>
        <w:tc>
          <w:tcPr>
            <w:tcW w:w="1526" w:type="dxa"/>
            <w:shd w:val="clear" w:color="auto" w:fill="6F6652"/>
            <w:tcMar>
              <w:left w:w="57" w:type="dxa"/>
              <w:right w:w="57" w:type="dxa"/>
            </w:tcMar>
          </w:tcPr>
          <w:p w:rsidR="005D43B1" w:rsidRDefault="005D43B1" w:rsidP="005D43B1">
            <w:pPr>
              <w:pStyle w:val="TableDataColumnHeading"/>
              <w:rPr>
                <w:lang w:val="en-GB"/>
              </w:rPr>
            </w:pPr>
            <w:r>
              <w:rPr>
                <w:lang w:val="en-GB"/>
              </w:rPr>
              <w:t>Estimated number of affected stakeholders</w:t>
            </w:r>
          </w:p>
        </w:tc>
      </w:tr>
      <w:tr w:rsidR="005D43B1" w:rsidTr="005D43B1">
        <w:trPr>
          <w:trHeight w:val="230"/>
        </w:trPr>
        <w:tc>
          <w:tcPr>
            <w:tcW w:w="3745" w:type="dxa"/>
            <w:tcBorders>
              <w:bottom w:val="single" w:sz="8" w:space="0" w:color="FFFFFF" w:themeColor="background1"/>
            </w:tcBorders>
            <w:shd w:val="clear" w:color="auto" w:fill="auto"/>
            <w:tcMar>
              <w:left w:w="57" w:type="dxa"/>
              <w:right w:w="57" w:type="dxa"/>
            </w:tcMar>
          </w:tcPr>
          <w:p w:rsidR="005D43B1" w:rsidRDefault="005D43B1" w:rsidP="005D43B1">
            <w:pPr>
              <w:pStyle w:val="TableUnit"/>
              <w:jc w:val="left"/>
              <w:rPr>
                <w:lang w:val="en-GB"/>
              </w:rPr>
            </w:pPr>
          </w:p>
        </w:tc>
        <w:tc>
          <w:tcPr>
            <w:tcW w:w="1538" w:type="dxa"/>
            <w:tcBorders>
              <w:bottom w:val="single" w:sz="8" w:space="0" w:color="FFFFFF" w:themeColor="background1"/>
            </w:tcBorders>
            <w:shd w:val="clear" w:color="auto" w:fill="auto"/>
            <w:tcMar>
              <w:left w:w="57" w:type="dxa"/>
              <w:right w:w="57" w:type="dxa"/>
            </w:tcMar>
          </w:tcPr>
          <w:p w:rsidR="005D43B1" w:rsidRDefault="005D43B1" w:rsidP="005D43B1">
            <w:pPr>
              <w:pStyle w:val="TableUnit"/>
              <w:rPr>
                <w:lang w:val="en-GB"/>
              </w:rPr>
            </w:pPr>
            <w:r>
              <w:rPr>
                <w:lang w:val="en-GB"/>
              </w:rPr>
              <w:t>No.</w:t>
            </w:r>
          </w:p>
        </w:tc>
        <w:tc>
          <w:tcPr>
            <w:tcW w:w="1128" w:type="dxa"/>
            <w:tcBorders>
              <w:bottom w:val="single" w:sz="8" w:space="0" w:color="FFFFFF" w:themeColor="background1"/>
            </w:tcBorders>
            <w:shd w:val="clear" w:color="auto" w:fill="auto"/>
            <w:tcMar>
              <w:left w:w="57" w:type="dxa"/>
              <w:right w:w="57" w:type="dxa"/>
            </w:tcMar>
          </w:tcPr>
          <w:p w:rsidR="005D43B1" w:rsidRDefault="005D43B1" w:rsidP="005D43B1">
            <w:pPr>
              <w:pStyle w:val="TableUnit"/>
              <w:rPr>
                <w:lang w:val="en-GB"/>
              </w:rPr>
            </w:pPr>
            <w:r>
              <w:rPr>
                <w:lang w:val="en-GB"/>
              </w:rPr>
              <w:t>Per cent</w:t>
            </w:r>
          </w:p>
        </w:tc>
        <w:tc>
          <w:tcPr>
            <w:tcW w:w="1526" w:type="dxa"/>
            <w:tcBorders>
              <w:bottom w:val="single" w:sz="8" w:space="0" w:color="FFFFFF" w:themeColor="background1"/>
            </w:tcBorders>
            <w:shd w:val="clear" w:color="auto" w:fill="auto"/>
            <w:tcMar>
              <w:left w:w="57" w:type="dxa"/>
              <w:right w:w="57" w:type="dxa"/>
            </w:tcMar>
          </w:tcPr>
          <w:p w:rsidR="005D43B1" w:rsidRDefault="005D43B1" w:rsidP="005D43B1">
            <w:pPr>
              <w:pStyle w:val="TableUnit"/>
              <w:rPr>
                <w:lang w:val="en-GB"/>
              </w:rPr>
            </w:pPr>
            <w:r>
              <w:rPr>
                <w:lang w:val="en-GB"/>
              </w:rPr>
              <w:t>No.</w:t>
            </w:r>
          </w:p>
        </w:tc>
      </w:tr>
      <w:tr w:rsidR="005D43B1" w:rsidTr="005D43B1">
        <w:trPr>
          <w:trHeight w:val="230"/>
        </w:trPr>
        <w:tc>
          <w:tcPr>
            <w:tcW w:w="374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5D43B1" w:rsidRDefault="005D43B1" w:rsidP="005D43B1">
            <w:pPr>
              <w:pStyle w:val="TableDataEntries"/>
              <w:jc w:val="left"/>
              <w:rPr>
                <w:lang w:val="en-GB"/>
              </w:rPr>
            </w:pPr>
            <w:r>
              <w:rPr>
                <w:lang w:val="en-GB"/>
              </w:rPr>
              <w:t>Certifiers/surveyors</w:t>
            </w:r>
          </w:p>
        </w:tc>
        <w:tc>
          <w:tcPr>
            <w:tcW w:w="153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5D43B1" w:rsidRDefault="005D43B1" w:rsidP="005D43B1">
            <w:pPr>
              <w:pStyle w:val="TableDataEntries"/>
              <w:rPr>
                <w:lang w:val="en-GB"/>
              </w:rPr>
            </w:pPr>
            <w:r>
              <w:rPr>
                <w:lang w:val="en-GB"/>
              </w:rPr>
              <w:t>4 689</w:t>
            </w:r>
          </w:p>
        </w:tc>
        <w:tc>
          <w:tcPr>
            <w:tcW w:w="112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5D43B1" w:rsidRDefault="005D43B1" w:rsidP="005D43B1">
            <w:pPr>
              <w:pStyle w:val="TableDataEntries"/>
              <w:rPr>
                <w:lang w:val="en-GB"/>
              </w:rPr>
            </w:pPr>
            <w:r>
              <w:rPr>
                <w:lang w:val="en-GB"/>
              </w:rPr>
              <w:t xml:space="preserve"> 51.3</w:t>
            </w:r>
          </w:p>
        </w:tc>
        <w:tc>
          <w:tcPr>
            <w:tcW w:w="152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5D43B1" w:rsidRDefault="005D43B1" w:rsidP="005D43B1">
            <w:pPr>
              <w:pStyle w:val="TableDataEntries"/>
              <w:rPr>
                <w:lang w:val="en-GB"/>
              </w:rPr>
            </w:pPr>
            <w:r>
              <w:rPr>
                <w:lang w:val="en-GB"/>
              </w:rPr>
              <w:t>2 405</w:t>
            </w:r>
          </w:p>
        </w:tc>
      </w:tr>
      <w:tr w:rsidR="005D43B1" w:rsidTr="005D43B1">
        <w:trPr>
          <w:trHeight w:val="230"/>
        </w:trPr>
        <w:tc>
          <w:tcPr>
            <w:tcW w:w="374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5D43B1" w:rsidRDefault="005D43B1" w:rsidP="005D43B1">
            <w:pPr>
              <w:pStyle w:val="TableDataEntries"/>
              <w:jc w:val="left"/>
              <w:rPr>
                <w:lang w:val="en-GB"/>
              </w:rPr>
            </w:pPr>
            <w:r>
              <w:rPr>
                <w:lang w:val="en-GB"/>
              </w:rPr>
              <w:t>Architects/building designers</w:t>
            </w:r>
          </w:p>
        </w:tc>
        <w:tc>
          <w:tcPr>
            <w:tcW w:w="153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5D43B1" w:rsidRDefault="005D43B1" w:rsidP="005D43B1">
            <w:pPr>
              <w:pStyle w:val="TableDataEntries"/>
              <w:rPr>
                <w:lang w:val="en-GB"/>
              </w:rPr>
            </w:pPr>
            <w:r>
              <w:rPr>
                <w:lang w:val="en-GB"/>
              </w:rPr>
              <w:t>27 474</w:t>
            </w:r>
          </w:p>
        </w:tc>
        <w:tc>
          <w:tcPr>
            <w:tcW w:w="112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5D43B1" w:rsidRDefault="005D43B1" w:rsidP="005D43B1">
            <w:pPr>
              <w:pStyle w:val="TableDataEntries"/>
              <w:rPr>
                <w:lang w:val="en-GB"/>
              </w:rPr>
            </w:pPr>
            <w:r>
              <w:rPr>
                <w:lang w:val="en-GB"/>
              </w:rPr>
              <w:t xml:space="preserve"> 51.2</w:t>
            </w:r>
          </w:p>
        </w:tc>
        <w:tc>
          <w:tcPr>
            <w:tcW w:w="152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5D43B1" w:rsidRDefault="005D43B1" w:rsidP="005D43B1">
            <w:pPr>
              <w:pStyle w:val="TableDataEntries"/>
              <w:rPr>
                <w:lang w:val="en-GB"/>
              </w:rPr>
            </w:pPr>
            <w:r>
              <w:rPr>
                <w:lang w:val="en-GB"/>
              </w:rPr>
              <w:t>14 067</w:t>
            </w:r>
          </w:p>
        </w:tc>
      </w:tr>
      <w:tr w:rsidR="005D43B1" w:rsidTr="005D43B1">
        <w:trPr>
          <w:trHeight w:val="230"/>
        </w:trPr>
        <w:tc>
          <w:tcPr>
            <w:tcW w:w="374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5D43B1" w:rsidRDefault="005D43B1" w:rsidP="005D43B1">
            <w:pPr>
              <w:pStyle w:val="TableDataEntries"/>
              <w:jc w:val="left"/>
              <w:rPr>
                <w:lang w:val="en-GB"/>
              </w:rPr>
            </w:pPr>
            <w:r>
              <w:rPr>
                <w:lang w:val="en-GB"/>
              </w:rPr>
              <w:t>Engineers</w:t>
            </w:r>
          </w:p>
        </w:tc>
        <w:tc>
          <w:tcPr>
            <w:tcW w:w="153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5D43B1" w:rsidRDefault="005D43B1" w:rsidP="005D43B1">
            <w:pPr>
              <w:pStyle w:val="TableDataEntries"/>
              <w:rPr>
                <w:lang w:val="en-GB"/>
              </w:rPr>
            </w:pPr>
            <w:r>
              <w:rPr>
                <w:lang w:val="en-GB"/>
              </w:rPr>
              <w:t>18 911</w:t>
            </w:r>
          </w:p>
        </w:tc>
        <w:tc>
          <w:tcPr>
            <w:tcW w:w="112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5D43B1" w:rsidRDefault="005D43B1" w:rsidP="005D43B1">
            <w:pPr>
              <w:pStyle w:val="TableDataEntries"/>
              <w:rPr>
                <w:lang w:val="en-GB"/>
              </w:rPr>
            </w:pPr>
            <w:r>
              <w:rPr>
                <w:lang w:val="en-GB"/>
              </w:rPr>
              <w:t xml:space="preserve"> 51.3</w:t>
            </w:r>
          </w:p>
        </w:tc>
        <w:tc>
          <w:tcPr>
            <w:tcW w:w="152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5D43B1" w:rsidRDefault="005D43B1" w:rsidP="005D43B1">
            <w:pPr>
              <w:pStyle w:val="TableDataEntries"/>
              <w:rPr>
                <w:lang w:val="en-GB"/>
              </w:rPr>
            </w:pPr>
            <w:r>
              <w:rPr>
                <w:lang w:val="en-GB"/>
              </w:rPr>
              <w:t>9 701</w:t>
            </w:r>
          </w:p>
        </w:tc>
      </w:tr>
      <w:tr w:rsidR="005D43B1" w:rsidRPr="0032647A" w:rsidTr="005D43B1">
        <w:trPr>
          <w:trHeight w:val="230"/>
        </w:trPr>
        <w:tc>
          <w:tcPr>
            <w:tcW w:w="3745"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rsidR="005D43B1" w:rsidRPr="0032647A" w:rsidRDefault="005D43B1" w:rsidP="005D43B1">
            <w:pPr>
              <w:pStyle w:val="TableDataEntries"/>
              <w:jc w:val="left"/>
              <w:rPr>
                <w:rFonts w:ascii="Franklin Gothic Demi" w:hAnsi="Franklin Gothic Demi"/>
                <w:lang w:val="en-GB"/>
              </w:rPr>
            </w:pPr>
            <w:r w:rsidRPr="0032647A">
              <w:rPr>
                <w:rFonts w:ascii="Franklin Gothic Demi" w:hAnsi="Franklin Gothic Demi"/>
                <w:lang w:val="en-GB"/>
              </w:rPr>
              <w:t>Total</w:t>
            </w:r>
          </w:p>
        </w:tc>
        <w:tc>
          <w:tcPr>
            <w:tcW w:w="1538"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rsidR="005D43B1" w:rsidRPr="0032647A" w:rsidRDefault="005D43B1" w:rsidP="005D43B1">
            <w:pPr>
              <w:pStyle w:val="TableDataEntries"/>
              <w:rPr>
                <w:rFonts w:ascii="Franklin Gothic Demi" w:hAnsi="Franklin Gothic Demi"/>
                <w:lang w:val="en-GB"/>
              </w:rPr>
            </w:pPr>
            <w:r w:rsidRPr="0032647A">
              <w:rPr>
                <w:rFonts w:ascii="Franklin Gothic Demi" w:hAnsi="Franklin Gothic Demi"/>
                <w:lang w:val="en-GB"/>
              </w:rPr>
              <w:t>51 074</w:t>
            </w:r>
          </w:p>
        </w:tc>
        <w:tc>
          <w:tcPr>
            <w:tcW w:w="1128"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rsidR="005D43B1" w:rsidRPr="0032647A" w:rsidRDefault="005D43B1" w:rsidP="005D43B1">
            <w:pPr>
              <w:pStyle w:val="TableDataEntries"/>
              <w:rPr>
                <w:rFonts w:ascii="Franklin Gothic Demi" w:hAnsi="Franklin Gothic Demi"/>
                <w:lang w:val="en-GB"/>
              </w:rPr>
            </w:pPr>
          </w:p>
        </w:tc>
        <w:tc>
          <w:tcPr>
            <w:tcW w:w="1526"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rsidR="005D43B1" w:rsidRPr="0032647A" w:rsidRDefault="005D43B1" w:rsidP="005D43B1">
            <w:pPr>
              <w:pStyle w:val="TableDataEntries"/>
              <w:rPr>
                <w:rFonts w:ascii="Franklin Gothic Demi" w:hAnsi="Franklin Gothic Demi"/>
                <w:lang w:val="en-GB"/>
              </w:rPr>
            </w:pPr>
            <w:r w:rsidRPr="0032647A">
              <w:rPr>
                <w:rFonts w:ascii="Franklin Gothic Demi" w:hAnsi="Franklin Gothic Demi"/>
                <w:lang w:val="en-GB"/>
              </w:rPr>
              <w:t>26 173</w:t>
            </w:r>
          </w:p>
        </w:tc>
      </w:tr>
    </w:tbl>
    <w:p w:rsidR="005D43B1" w:rsidRDefault="005D43B1" w:rsidP="005D43B1">
      <w:pPr>
        <w:pStyle w:val="Source"/>
      </w:pPr>
      <w:r>
        <w:rPr>
          <w:i/>
        </w:rPr>
        <w:t>Source</w:t>
      </w:r>
      <w:r w:rsidRPr="00E4232C">
        <w:rPr>
          <w:i/>
        </w:rPr>
        <w:t>:</w:t>
      </w:r>
      <w:r>
        <w:t xml:space="preserve"> </w:t>
      </w:r>
      <w:r w:rsidR="00F81C43">
        <w:t>ABCB, ABS, CIE.</w:t>
      </w:r>
    </w:p>
    <w:p w:rsidR="005D43B1" w:rsidRDefault="005D43B1" w:rsidP="00DD6203">
      <w:pPr>
        <w:pStyle w:val="Heading4"/>
      </w:pPr>
      <w:r>
        <w:t>Estimated costs incurred by each stakeholder</w:t>
      </w:r>
    </w:p>
    <w:p w:rsidR="00F81C43" w:rsidRDefault="00F81C43" w:rsidP="00A16755">
      <w:pPr>
        <w:pStyle w:val="BodyText"/>
      </w:pPr>
      <w:r>
        <w:t xml:space="preserve">We estimate that each stakeholder directly affected would </w:t>
      </w:r>
      <w:r w:rsidR="00AF6242">
        <w:t>require around 9 hours to familiarise themselves with the relevant changes to the NCC (note that not every stakeholder would need to be familiar with every element of the code).</w:t>
      </w:r>
    </w:p>
    <w:p w:rsidR="006C3099" w:rsidRDefault="00E17098" w:rsidP="00DD6203">
      <w:pPr>
        <w:pStyle w:val="ListBullet"/>
      </w:pPr>
      <w:r>
        <w:t>As noted above, t</w:t>
      </w:r>
      <w:r w:rsidR="005D4A02">
        <w:t xml:space="preserve">he Property Council of Australia will </w:t>
      </w:r>
      <w:r>
        <w:t>provide</w:t>
      </w:r>
      <w:r w:rsidR="005D4A02">
        <w:t xml:space="preserve"> seminars (funded by the Department of the Environment) in all capital cities (except Darwin) to </w:t>
      </w:r>
      <w:r w:rsidR="00D41CE8">
        <w:t>raise awareness and to assist</w:t>
      </w:r>
      <w:r w:rsidR="005D4A02">
        <w:t xml:space="preserve"> industry stakeholders to familiarise themselves wi</w:t>
      </w:r>
      <w:r w:rsidR="00D41CE8">
        <w:t>th the proposed changes. Each seminar will run for 2 hours.</w:t>
      </w:r>
      <w:r w:rsidR="00F81C43">
        <w:t xml:space="preserve"> </w:t>
      </w:r>
    </w:p>
    <w:p w:rsidR="009F6046" w:rsidRDefault="00F81C43" w:rsidP="00AF6242">
      <w:pPr>
        <w:pStyle w:val="ListBullet"/>
      </w:pPr>
      <w:r>
        <w:t xml:space="preserve">In addition, the </w:t>
      </w:r>
      <w:r w:rsidR="00D41CE8">
        <w:t>awareness raising seminars</w:t>
      </w:r>
      <w:r>
        <w:t>, industry stakeholders may</w:t>
      </w:r>
      <w:r w:rsidR="00D41CE8">
        <w:t xml:space="preserve"> </w:t>
      </w:r>
      <w:r>
        <w:t xml:space="preserve">require more detailed training. The professions that will be directly affected by the proposed changes generally </w:t>
      </w:r>
      <w:r w:rsidR="00BE65C3">
        <w:t>have mandatory of voluntary</w:t>
      </w:r>
      <w:r>
        <w:t xml:space="preserve"> continuing professional development (CPD) </w:t>
      </w:r>
      <w:r w:rsidR="00BE65C3">
        <w:t>arrangements</w:t>
      </w:r>
      <w:r>
        <w:t xml:space="preserve">. </w:t>
      </w:r>
      <w:r w:rsidR="000B09A4">
        <w:t xml:space="preserve">As such, relevant bodies are likely to include a seminar on the code as a CPD topic. Where CPD is mandatory, </w:t>
      </w:r>
      <w:r w:rsidR="00BE65C3">
        <w:t xml:space="preserve">it is therefore likely that a seminar on changes to the NCC would displace an alternative topic (i.e. the total time spent on CPD would not increase). That said, the alternative topic would presumably have some value; we therefore include the cost of attending the CPD seminar. </w:t>
      </w:r>
      <w:r w:rsidR="00AF6242">
        <w:t>As a conservative estimate (i.e. an estimate that is more likely to overstate than understate the true costs), ABCB has suggested that each stakeholder may require:</w:t>
      </w:r>
    </w:p>
    <w:p w:rsidR="00AF6242" w:rsidRDefault="00AF6242" w:rsidP="00AF6242">
      <w:pPr>
        <w:pStyle w:val="ListBullet2"/>
      </w:pPr>
      <w:r>
        <w:t>a half-day (3.75 hours) CPD seminar; and</w:t>
      </w:r>
    </w:p>
    <w:p w:rsidR="00AF6242" w:rsidRDefault="00AF6242" w:rsidP="00DD6203">
      <w:pPr>
        <w:pStyle w:val="ListBullet2"/>
      </w:pPr>
      <w:r>
        <w:t>an additional half day of self</w:t>
      </w:r>
      <w:r>
        <w:noBreakHyphen/>
        <w:t>paced learning.</w:t>
      </w:r>
    </w:p>
    <w:p w:rsidR="000B09A4" w:rsidRDefault="000B09A4" w:rsidP="00A16755">
      <w:pPr>
        <w:pStyle w:val="BodyText"/>
      </w:pPr>
      <w:r>
        <w:t>Note that not every affected stakeholder will attend semin</w:t>
      </w:r>
      <w:r w:rsidR="00BE65C3">
        <w:t>ars. However, we assume that stakeholders would need to spend the equivalent time independently familiarising themselves with the new code.</w:t>
      </w:r>
    </w:p>
    <w:p w:rsidR="00461C05" w:rsidRDefault="00AF6242" w:rsidP="00A16755">
      <w:pPr>
        <w:pStyle w:val="BodyText"/>
      </w:pPr>
      <w:r>
        <w:t>Time costs are valued based on indicative hourly costs for the relevant professions (table </w:t>
      </w:r>
      <w:r w:rsidR="00B2441E">
        <w:rPr>
          <w:noProof/>
        </w:rPr>
        <w:fldChar w:fldCharType="begin"/>
      </w:r>
      <w:r w:rsidR="00B2441E">
        <w:rPr>
          <w:noProof/>
        </w:rPr>
        <w:instrText xml:space="preserve"> REF _Caption9392 </w:instrText>
      </w:r>
      <w:r w:rsidR="00B2441E">
        <w:rPr>
          <w:noProof/>
        </w:rPr>
        <w:fldChar w:fldCharType="separate"/>
      </w:r>
      <w:r w:rsidR="006B79B8">
        <w:rPr>
          <w:noProof/>
        </w:rPr>
        <w:t>7</w:t>
      </w:r>
      <w:r w:rsidR="006B79B8" w:rsidRPr="00695C93">
        <w:rPr>
          <w:noProof/>
        </w:rPr>
        <w:t>.</w:t>
      </w:r>
      <w:r w:rsidR="006B79B8">
        <w:rPr>
          <w:noProof/>
        </w:rPr>
        <w:t>6</w:t>
      </w:r>
      <w:r w:rsidR="00B2441E">
        <w:rPr>
          <w:noProof/>
        </w:rPr>
        <w:fldChar w:fldCharType="end"/>
      </w:r>
      <w:r>
        <w:t>).</w:t>
      </w:r>
    </w:p>
    <w:p w:rsidR="00AF6242" w:rsidRDefault="00AF6242" w:rsidP="00AF6242">
      <w:pPr>
        <w:pStyle w:val="ListBullet"/>
      </w:pPr>
      <w:r>
        <w:t>a 25 per cent loading for on-costs (such as payroll tax, superannuation etc.)</w:t>
      </w:r>
      <w:r w:rsidR="00BB30D0">
        <w:t xml:space="preserve"> is added </w:t>
      </w:r>
      <w:r w:rsidR="000B09A4">
        <w:t>to annual salary estimates</w:t>
      </w:r>
    </w:p>
    <w:p w:rsidR="000B09A4" w:rsidRDefault="000B09A4" w:rsidP="00AF6242">
      <w:pPr>
        <w:pStyle w:val="ListBullet"/>
      </w:pPr>
      <w:r>
        <w:t>annual salary estimates are converted to hourly rates assuming:</w:t>
      </w:r>
    </w:p>
    <w:p w:rsidR="000B09A4" w:rsidRDefault="000B09A4" w:rsidP="000B09A4">
      <w:pPr>
        <w:pStyle w:val="ListBullet2"/>
      </w:pPr>
      <w:r>
        <w:t>230 working days per year</w:t>
      </w:r>
    </w:p>
    <w:p w:rsidR="000B09A4" w:rsidRDefault="000B09A4" w:rsidP="00DD6203">
      <w:pPr>
        <w:pStyle w:val="ListBullet2"/>
      </w:pPr>
      <w:r>
        <w:t>7.5 hours per working day.</w:t>
      </w:r>
    </w:p>
    <w:p w:rsidR="00AF6242" w:rsidRDefault="00AF6242" w:rsidP="00AF6242">
      <w:pPr>
        <w:pStyle w:val="Caption"/>
      </w:pPr>
      <w:r w:rsidRPr="00695C93">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sidR="00B833F1">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sidR="00B833F1">
        <w:rPr>
          <w:noProof/>
        </w:rPr>
        <w:instrText>7</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sidR="00B833F1">
        <w:rPr>
          <w:noProof/>
        </w:rPr>
        <w:instrText>7</w:instrText>
      </w:r>
      <w:r>
        <w:rPr>
          <w:noProof/>
        </w:rPr>
        <w:fldChar w:fldCharType="end"/>
      </w:r>
      <w:r w:rsidRPr="00695C93">
        <w:instrText xml:space="preserve">." </w:instrText>
      </w:r>
      <w:r w:rsidRPr="00695C93">
        <w:fldChar w:fldCharType="separate"/>
      </w:r>
      <w:r w:rsidR="00B833F1">
        <w:rPr>
          <w:noProof/>
        </w:rPr>
        <w:instrText>7</w:instrText>
      </w:r>
      <w:r w:rsidR="00B833F1" w:rsidRPr="00695C93">
        <w:rPr>
          <w:noProof/>
        </w:rPr>
        <w:instrText>.</w:instrText>
      </w:r>
      <w:r w:rsidRPr="00695C93">
        <w:fldChar w:fldCharType="end"/>
      </w:r>
      <w:r w:rsidRPr="00695C93">
        <w:instrText>" "</w:instrText>
      </w:r>
      <w:r w:rsidR="001F6F43">
        <w:fldChar w:fldCharType="begin"/>
      </w:r>
      <w:r w:rsidR="001F6F43">
        <w:instrText xml:space="preserve"> STYLEREF "Heading 6" \l \n </w:instrText>
      </w:r>
      <w:r w:rsidR="001F6F43">
        <w:fldChar w:fldCharType="separate"/>
      </w:r>
      <w:r w:rsidRPr="00695C93">
        <w:instrText>B</w:instrText>
      </w:r>
      <w:r w:rsidR="001F6F43">
        <w:fldChar w:fldCharType="end"/>
      </w:r>
      <w:r w:rsidRPr="00695C93">
        <w:instrText xml:space="preserve">." </w:instrText>
      </w:r>
      <w:r w:rsidRPr="00695C93">
        <w:fldChar w:fldCharType="separate"/>
      </w:r>
      <w:r w:rsidR="00EA42ED">
        <w:rPr>
          <w:noProof/>
        </w:rPr>
        <w:instrText>7</w:instrText>
      </w:r>
      <w:r w:rsidR="00EA42ED"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sidR="00B833F1">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sidR="00B833F1">
        <w:rPr>
          <w:noProof/>
        </w:rPr>
        <w:instrText>7</w:instrText>
      </w:r>
      <w:r>
        <w:rPr>
          <w:noProof/>
        </w:rPr>
        <w:fldChar w:fldCharType="end"/>
      </w:r>
      <w:r w:rsidRPr="00695C93">
        <w:instrText xml:space="preserve"> = 0 "" "1" </w:instrText>
      </w:r>
      <w:r w:rsidRPr="00695C93">
        <w:fldChar w:fldCharType="separate"/>
      </w:r>
      <w:r w:rsidR="00EA42ED" w:rsidRPr="00695C93">
        <w:rPr>
          <w:noProof/>
        </w:rPr>
        <w:instrText>1</w:instrText>
      </w:r>
      <w:r w:rsidRPr="00695C93">
        <w:fldChar w:fldCharType="end"/>
      </w:r>
      <w:r w:rsidRPr="00695C93">
        <w:instrText xml:space="preserve">" "6" </w:instrText>
      </w:r>
      <w:r w:rsidRPr="00695C93">
        <w:fldChar w:fldCharType="separate"/>
      </w:r>
      <w:r w:rsidR="00EA42ED" w:rsidRPr="00695C93">
        <w:rPr>
          <w:noProof/>
        </w:rPr>
        <w:instrText>1</w:instrText>
      </w:r>
      <w:r w:rsidRPr="00695C93">
        <w:fldChar w:fldCharType="end"/>
      </w:r>
      <w:r w:rsidRPr="00695C93">
        <w:instrText xml:space="preserve"> </w:instrText>
      </w:r>
      <w:r w:rsidRPr="00695C93">
        <w:fldChar w:fldCharType="separate"/>
      </w:r>
      <w:r w:rsidR="00B833F1">
        <w:rPr>
          <w:noProof/>
        </w:rPr>
        <w:instrText>6</w:instrText>
      </w:r>
      <w:r w:rsidRPr="00695C93">
        <w:fldChar w:fldCharType="end"/>
      </w:r>
      <w:r w:rsidRPr="00695C93">
        <w:instrText xml:space="preserve">" "" </w:instrText>
      </w:r>
      <w:r w:rsidRPr="00695C93">
        <w:fldChar w:fldCharType="separate"/>
      </w:r>
      <w:bookmarkStart w:id="3160" w:name="_Caption4136"/>
      <w:bookmarkStart w:id="3161" w:name="_Caption9392"/>
      <w:bookmarkStart w:id="3162" w:name="_Caption6697"/>
      <w:bookmarkStart w:id="3163" w:name="_Caption8787"/>
      <w:bookmarkStart w:id="3164" w:name="_Caption0679"/>
      <w:bookmarkStart w:id="3165" w:name="_Caption9841"/>
      <w:bookmarkStart w:id="3166" w:name="_Caption4168"/>
      <w:bookmarkStart w:id="3167" w:name="_Caption1848"/>
      <w:bookmarkStart w:id="3168" w:name="_Caption9881"/>
      <w:bookmarkStart w:id="3169" w:name="_Toc529869939"/>
      <w:bookmarkStart w:id="3170" w:name="_Toc530748435"/>
      <w:r w:rsidR="00EA42ED">
        <w:rPr>
          <w:noProof/>
        </w:rPr>
        <w:t>7</w:t>
      </w:r>
      <w:r w:rsidR="00EA42ED" w:rsidRPr="00695C93">
        <w:rPr>
          <w:noProof/>
        </w:rPr>
        <w:t>.</w:t>
      </w:r>
      <w:r w:rsidR="00EA42ED">
        <w:rPr>
          <w:noProof/>
        </w:rPr>
        <w:t>6</w:t>
      </w:r>
      <w:bookmarkEnd w:id="3160"/>
      <w:bookmarkEnd w:id="3161"/>
      <w:bookmarkEnd w:id="3162"/>
      <w:bookmarkEnd w:id="3163"/>
      <w:bookmarkEnd w:id="3164"/>
      <w:bookmarkEnd w:id="3165"/>
      <w:bookmarkEnd w:id="3166"/>
      <w:bookmarkEnd w:id="3167"/>
      <w:bookmarkEnd w:id="3168"/>
      <w:r w:rsidRPr="00695C93">
        <w:fldChar w:fldCharType="end"/>
      </w:r>
      <w:r w:rsidRPr="00695C93">
        <w:tab/>
      </w:r>
      <w:r>
        <w:t>Indicative salaries for relevant professions</w:t>
      </w:r>
      <w:bookmarkEnd w:id="3169"/>
      <w:bookmarkEnd w:id="3170"/>
    </w:p>
    <w:tbl>
      <w:tblPr>
        <w:tblW w:w="7936" w:type="dxa"/>
        <w:tblLook w:val="04A0" w:firstRow="1" w:lastRow="0" w:firstColumn="1" w:lastColumn="0" w:noHBand="0" w:noVBand="1"/>
        <w:tblCaption w:val="Table 7.6: Indicative salaries for relevant professions"/>
        <w:tblDescription w:val="This table shows the average wages of professionals impacted by the proposed changes in order to calculate the regulatory burden associated with the proposed chages. "/>
      </w:tblPr>
      <w:tblGrid>
        <w:gridCol w:w="3468"/>
        <w:gridCol w:w="1117"/>
        <w:gridCol w:w="1117"/>
        <w:gridCol w:w="1117"/>
        <w:gridCol w:w="1117"/>
      </w:tblGrid>
      <w:tr w:rsidR="00AF6242" w:rsidRPr="00AF6242" w:rsidTr="00AF6242">
        <w:trPr>
          <w:trHeight w:val="1000"/>
        </w:trPr>
        <w:tc>
          <w:tcPr>
            <w:tcW w:w="3468" w:type="dxa"/>
            <w:shd w:val="clear" w:color="auto" w:fill="6F6652"/>
            <w:tcMar>
              <w:left w:w="57" w:type="dxa"/>
              <w:right w:w="57" w:type="dxa"/>
            </w:tcMar>
            <w:hideMark/>
          </w:tcPr>
          <w:p w:rsidR="00AF6242" w:rsidRPr="00AF6242" w:rsidRDefault="00AF6242" w:rsidP="00AF6242">
            <w:pPr>
              <w:pStyle w:val="TableDataColumnHeading"/>
              <w:jc w:val="left"/>
              <w:rPr>
                <w:lang w:val="en-GB"/>
              </w:rPr>
            </w:pPr>
          </w:p>
        </w:tc>
        <w:tc>
          <w:tcPr>
            <w:tcW w:w="1117" w:type="dxa"/>
            <w:shd w:val="clear" w:color="auto" w:fill="6F6652"/>
            <w:tcMar>
              <w:left w:w="57" w:type="dxa"/>
              <w:right w:w="57" w:type="dxa"/>
            </w:tcMar>
            <w:hideMark/>
          </w:tcPr>
          <w:p w:rsidR="00AF6242" w:rsidRPr="00AF6242" w:rsidRDefault="00AF6242" w:rsidP="00AF6242">
            <w:pPr>
              <w:pStyle w:val="TableDataColumnHeading"/>
              <w:rPr>
                <w:rFonts w:ascii="Franklin Gothic Book" w:hAnsi="Franklin Gothic Book"/>
                <w:sz w:val="18"/>
                <w:lang w:val="en-GB"/>
              </w:rPr>
            </w:pPr>
            <w:r w:rsidRPr="00AF6242">
              <w:rPr>
                <w:rFonts w:ascii="Franklin Gothic Book" w:hAnsi="Franklin Gothic Book"/>
                <w:sz w:val="18"/>
                <w:lang w:val="en-GB"/>
              </w:rPr>
              <w:t>Annual salary</w:t>
            </w:r>
          </w:p>
        </w:tc>
        <w:tc>
          <w:tcPr>
            <w:tcW w:w="1117" w:type="dxa"/>
            <w:shd w:val="clear" w:color="auto" w:fill="6F6652"/>
            <w:tcMar>
              <w:left w:w="57" w:type="dxa"/>
              <w:right w:w="57" w:type="dxa"/>
            </w:tcMar>
            <w:hideMark/>
          </w:tcPr>
          <w:p w:rsidR="00AF6242" w:rsidRPr="00AF6242" w:rsidRDefault="00AF6242" w:rsidP="00AF6242">
            <w:pPr>
              <w:pStyle w:val="TableDataColumnHeading"/>
              <w:rPr>
                <w:rFonts w:ascii="Franklin Gothic Book" w:hAnsi="Franklin Gothic Book"/>
                <w:sz w:val="18"/>
                <w:lang w:val="en-GB"/>
              </w:rPr>
            </w:pPr>
            <w:r w:rsidRPr="00AF6242">
              <w:rPr>
                <w:rFonts w:ascii="Franklin Gothic Book" w:hAnsi="Franklin Gothic Book"/>
                <w:sz w:val="18"/>
                <w:lang w:val="en-GB"/>
              </w:rPr>
              <w:t>Annual salary including on-costs</w:t>
            </w:r>
            <w:r w:rsidR="00BE65C3">
              <w:rPr>
                <w:rStyle w:val="NoteLabel"/>
              </w:rPr>
              <w:t>d</w:t>
            </w:r>
          </w:p>
        </w:tc>
        <w:tc>
          <w:tcPr>
            <w:tcW w:w="1117" w:type="dxa"/>
            <w:shd w:val="clear" w:color="auto" w:fill="6F6652"/>
            <w:tcMar>
              <w:left w:w="57" w:type="dxa"/>
              <w:right w:w="57" w:type="dxa"/>
            </w:tcMar>
            <w:hideMark/>
          </w:tcPr>
          <w:p w:rsidR="00AF6242" w:rsidRPr="00AF6242" w:rsidRDefault="00AF6242" w:rsidP="00AF6242">
            <w:pPr>
              <w:pStyle w:val="TableDataColumnHeading"/>
              <w:rPr>
                <w:rFonts w:ascii="Franklin Gothic Book" w:hAnsi="Franklin Gothic Book"/>
                <w:sz w:val="18"/>
                <w:lang w:val="en-GB"/>
              </w:rPr>
            </w:pPr>
            <w:r w:rsidRPr="00AF6242">
              <w:rPr>
                <w:rFonts w:ascii="Franklin Gothic Book" w:hAnsi="Franklin Gothic Book"/>
                <w:sz w:val="18"/>
                <w:lang w:val="en-GB"/>
              </w:rPr>
              <w:t>Daily salary (including on-costs)</w:t>
            </w:r>
            <w:r w:rsidR="00BE65C3">
              <w:rPr>
                <w:rStyle w:val="NoteLabel"/>
              </w:rPr>
              <w:t>e</w:t>
            </w:r>
          </w:p>
        </w:tc>
        <w:tc>
          <w:tcPr>
            <w:tcW w:w="1117" w:type="dxa"/>
            <w:shd w:val="clear" w:color="auto" w:fill="6F6652"/>
            <w:tcMar>
              <w:left w:w="57" w:type="dxa"/>
              <w:right w:w="57" w:type="dxa"/>
            </w:tcMar>
            <w:hideMark/>
          </w:tcPr>
          <w:p w:rsidR="00AF6242" w:rsidRPr="00AF6242" w:rsidRDefault="00AF6242" w:rsidP="00AF6242">
            <w:pPr>
              <w:pStyle w:val="TableDataColumnHeading"/>
              <w:rPr>
                <w:rFonts w:ascii="Franklin Gothic Book" w:hAnsi="Franklin Gothic Book"/>
                <w:sz w:val="18"/>
                <w:lang w:val="en-GB"/>
              </w:rPr>
            </w:pPr>
            <w:r w:rsidRPr="00AF6242">
              <w:rPr>
                <w:rFonts w:ascii="Franklin Gothic Book" w:hAnsi="Franklin Gothic Book"/>
                <w:sz w:val="18"/>
                <w:lang w:val="en-GB"/>
              </w:rPr>
              <w:t>Hourly salary (including on-costs)</w:t>
            </w:r>
            <w:r w:rsidR="00BE65C3">
              <w:rPr>
                <w:rStyle w:val="NoteLabel"/>
              </w:rPr>
              <w:t>f</w:t>
            </w:r>
          </w:p>
        </w:tc>
      </w:tr>
      <w:tr w:rsidR="00AF6242" w:rsidRPr="00AF6242" w:rsidTr="00AF6242">
        <w:trPr>
          <w:trHeight w:val="250"/>
        </w:trPr>
        <w:tc>
          <w:tcPr>
            <w:tcW w:w="3468" w:type="dxa"/>
            <w:tcBorders>
              <w:bottom w:val="single" w:sz="8" w:space="0" w:color="FFFFFF" w:themeColor="background1"/>
            </w:tcBorders>
            <w:shd w:val="clear" w:color="auto" w:fill="auto"/>
            <w:noWrap/>
            <w:tcMar>
              <w:left w:w="57" w:type="dxa"/>
              <w:right w:w="57" w:type="dxa"/>
            </w:tcMar>
            <w:hideMark/>
          </w:tcPr>
          <w:p w:rsidR="00AF6242" w:rsidRPr="00AF6242" w:rsidRDefault="00AF6242" w:rsidP="00AF6242">
            <w:pPr>
              <w:pStyle w:val="TableUnit"/>
              <w:jc w:val="left"/>
              <w:rPr>
                <w:lang w:val="en-GB"/>
              </w:rPr>
            </w:pPr>
          </w:p>
        </w:tc>
        <w:tc>
          <w:tcPr>
            <w:tcW w:w="1117" w:type="dxa"/>
            <w:tcBorders>
              <w:bottom w:val="single" w:sz="8" w:space="0" w:color="FFFFFF" w:themeColor="background1"/>
            </w:tcBorders>
            <w:shd w:val="clear" w:color="auto" w:fill="auto"/>
            <w:noWrap/>
            <w:tcMar>
              <w:left w:w="57" w:type="dxa"/>
              <w:right w:w="57" w:type="dxa"/>
            </w:tcMar>
            <w:hideMark/>
          </w:tcPr>
          <w:p w:rsidR="00AF6242" w:rsidRPr="00AF6242" w:rsidRDefault="00AF6242" w:rsidP="00AF6242">
            <w:pPr>
              <w:pStyle w:val="TableUnit"/>
              <w:rPr>
                <w:lang w:val="en-GB"/>
              </w:rPr>
            </w:pPr>
            <w:r w:rsidRPr="00AF6242">
              <w:rPr>
                <w:lang w:val="en-GB"/>
              </w:rPr>
              <w:t>$</w:t>
            </w:r>
          </w:p>
        </w:tc>
        <w:tc>
          <w:tcPr>
            <w:tcW w:w="1117" w:type="dxa"/>
            <w:tcBorders>
              <w:bottom w:val="single" w:sz="8" w:space="0" w:color="FFFFFF" w:themeColor="background1"/>
            </w:tcBorders>
            <w:shd w:val="clear" w:color="auto" w:fill="auto"/>
            <w:noWrap/>
            <w:tcMar>
              <w:left w:w="57" w:type="dxa"/>
              <w:right w:w="57" w:type="dxa"/>
            </w:tcMar>
            <w:hideMark/>
          </w:tcPr>
          <w:p w:rsidR="00AF6242" w:rsidRPr="00AF6242" w:rsidRDefault="00AF6242" w:rsidP="00AF6242">
            <w:pPr>
              <w:pStyle w:val="TableUnit"/>
              <w:rPr>
                <w:lang w:val="en-GB"/>
              </w:rPr>
            </w:pPr>
            <w:r w:rsidRPr="00AF6242">
              <w:rPr>
                <w:lang w:val="en-GB"/>
              </w:rPr>
              <w:t>$</w:t>
            </w:r>
          </w:p>
        </w:tc>
        <w:tc>
          <w:tcPr>
            <w:tcW w:w="1117" w:type="dxa"/>
            <w:tcBorders>
              <w:bottom w:val="single" w:sz="8" w:space="0" w:color="FFFFFF" w:themeColor="background1"/>
            </w:tcBorders>
            <w:shd w:val="clear" w:color="auto" w:fill="auto"/>
            <w:noWrap/>
            <w:tcMar>
              <w:left w:w="57" w:type="dxa"/>
              <w:right w:w="57" w:type="dxa"/>
            </w:tcMar>
            <w:hideMark/>
          </w:tcPr>
          <w:p w:rsidR="00AF6242" w:rsidRPr="00AF6242" w:rsidRDefault="00AF6242" w:rsidP="00AF6242">
            <w:pPr>
              <w:pStyle w:val="TableUnit"/>
              <w:rPr>
                <w:lang w:val="en-GB"/>
              </w:rPr>
            </w:pPr>
            <w:r w:rsidRPr="00AF6242">
              <w:rPr>
                <w:lang w:val="en-GB"/>
              </w:rPr>
              <w:t>$</w:t>
            </w:r>
          </w:p>
        </w:tc>
        <w:tc>
          <w:tcPr>
            <w:tcW w:w="1117" w:type="dxa"/>
            <w:tcBorders>
              <w:bottom w:val="single" w:sz="8" w:space="0" w:color="FFFFFF" w:themeColor="background1"/>
            </w:tcBorders>
            <w:shd w:val="clear" w:color="auto" w:fill="auto"/>
            <w:noWrap/>
            <w:tcMar>
              <w:left w:w="57" w:type="dxa"/>
              <w:right w:w="57" w:type="dxa"/>
            </w:tcMar>
            <w:hideMark/>
          </w:tcPr>
          <w:p w:rsidR="00AF6242" w:rsidRPr="00AF6242" w:rsidRDefault="00AF6242" w:rsidP="00AF6242">
            <w:pPr>
              <w:pStyle w:val="TableUnit"/>
              <w:rPr>
                <w:lang w:val="en-GB"/>
              </w:rPr>
            </w:pPr>
            <w:r w:rsidRPr="00AF6242">
              <w:rPr>
                <w:lang w:val="en-GB"/>
              </w:rPr>
              <w:t>$</w:t>
            </w:r>
          </w:p>
        </w:tc>
      </w:tr>
      <w:tr w:rsidR="00AF6242" w:rsidRPr="00AF6242" w:rsidTr="00AF6242">
        <w:trPr>
          <w:trHeight w:val="250"/>
        </w:trPr>
        <w:tc>
          <w:tcPr>
            <w:tcW w:w="346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AF6242" w:rsidRPr="00AF6242" w:rsidRDefault="00AF6242" w:rsidP="00AF6242">
            <w:pPr>
              <w:pStyle w:val="TableDataEntries"/>
              <w:jc w:val="left"/>
              <w:rPr>
                <w:lang w:val="en-GB"/>
              </w:rPr>
            </w:pPr>
            <w:r w:rsidRPr="00AF6242">
              <w:rPr>
                <w:lang w:val="en-GB"/>
              </w:rPr>
              <w:t>Architect</w:t>
            </w:r>
          </w:p>
        </w:tc>
        <w:tc>
          <w:tcPr>
            <w:tcW w:w="111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AF6242" w:rsidRPr="00AF6242" w:rsidRDefault="00AF6242" w:rsidP="00AF6242">
            <w:pPr>
              <w:pStyle w:val="TableDataEntries"/>
              <w:rPr>
                <w:lang w:val="en-GB"/>
              </w:rPr>
            </w:pPr>
            <w:r w:rsidRPr="00AF6242">
              <w:rPr>
                <w:lang w:val="en-GB"/>
              </w:rPr>
              <w:t>93 089</w:t>
            </w:r>
            <w:r w:rsidR="00BE65C3" w:rsidRPr="00BE65C3">
              <w:rPr>
                <w:rStyle w:val="NoteLabel"/>
              </w:rPr>
              <w:t>a</w:t>
            </w:r>
          </w:p>
        </w:tc>
        <w:tc>
          <w:tcPr>
            <w:tcW w:w="111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AF6242" w:rsidRPr="00AF6242" w:rsidRDefault="00AF6242" w:rsidP="00AF6242">
            <w:pPr>
              <w:pStyle w:val="TableDataEntries"/>
              <w:rPr>
                <w:lang w:val="en-GB"/>
              </w:rPr>
            </w:pPr>
            <w:r w:rsidRPr="00AF6242">
              <w:rPr>
                <w:lang w:val="en-GB"/>
              </w:rPr>
              <w:t>116 361</w:t>
            </w:r>
          </w:p>
        </w:tc>
        <w:tc>
          <w:tcPr>
            <w:tcW w:w="111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AF6242" w:rsidRPr="00AF6242" w:rsidRDefault="00AF6242" w:rsidP="00AF6242">
            <w:pPr>
              <w:pStyle w:val="TableDataEntries"/>
              <w:rPr>
                <w:lang w:val="en-GB"/>
              </w:rPr>
            </w:pPr>
            <w:r w:rsidRPr="00AF6242">
              <w:rPr>
                <w:lang w:val="en-GB"/>
              </w:rPr>
              <w:t xml:space="preserve"> 505.92</w:t>
            </w:r>
          </w:p>
        </w:tc>
        <w:tc>
          <w:tcPr>
            <w:tcW w:w="111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AF6242" w:rsidRPr="00AF6242" w:rsidRDefault="00AF6242" w:rsidP="00AF6242">
            <w:pPr>
              <w:pStyle w:val="TableDataEntries"/>
              <w:rPr>
                <w:lang w:val="en-GB"/>
              </w:rPr>
            </w:pPr>
            <w:r w:rsidRPr="00AF6242">
              <w:rPr>
                <w:lang w:val="en-GB"/>
              </w:rPr>
              <w:t xml:space="preserve"> 67.46</w:t>
            </w:r>
          </w:p>
        </w:tc>
      </w:tr>
      <w:tr w:rsidR="00AF6242" w:rsidRPr="00AF6242" w:rsidTr="00AF6242">
        <w:trPr>
          <w:trHeight w:val="250"/>
        </w:trPr>
        <w:tc>
          <w:tcPr>
            <w:tcW w:w="346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AF6242" w:rsidRPr="00AF6242" w:rsidRDefault="00AF6242" w:rsidP="00AF6242">
            <w:pPr>
              <w:pStyle w:val="TableDataEntries"/>
              <w:jc w:val="left"/>
              <w:rPr>
                <w:lang w:val="en-GB"/>
              </w:rPr>
            </w:pPr>
            <w:r w:rsidRPr="00AF6242">
              <w:rPr>
                <w:lang w:val="en-GB"/>
              </w:rPr>
              <w:t>Service engineer</w:t>
            </w:r>
          </w:p>
        </w:tc>
        <w:tc>
          <w:tcPr>
            <w:tcW w:w="111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AF6242" w:rsidRPr="00AF6242" w:rsidRDefault="00AF6242" w:rsidP="00AF6242">
            <w:pPr>
              <w:pStyle w:val="TableDataEntries"/>
              <w:rPr>
                <w:lang w:val="en-GB"/>
              </w:rPr>
            </w:pPr>
            <w:r w:rsidRPr="00AF6242">
              <w:rPr>
                <w:lang w:val="en-GB"/>
              </w:rPr>
              <w:t>78 753</w:t>
            </w:r>
            <w:r w:rsidR="00BE65C3">
              <w:rPr>
                <w:rStyle w:val="NoteLabel"/>
              </w:rPr>
              <w:t>b</w:t>
            </w:r>
          </w:p>
        </w:tc>
        <w:tc>
          <w:tcPr>
            <w:tcW w:w="111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AF6242" w:rsidRPr="00AF6242" w:rsidRDefault="00AF6242" w:rsidP="00AF6242">
            <w:pPr>
              <w:pStyle w:val="TableDataEntries"/>
              <w:rPr>
                <w:lang w:val="en-GB"/>
              </w:rPr>
            </w:pPr>
            <w:r w:rsidRPr="00AF6242">
              <w:rPr>
                <w:lang w:val="en-GB"/>
              </w:rPr>
              <w:t>98 441</w:t>
            </w:r>
          </w:p>
        </w:tc>
        <w:tc>
          <w:tcPr>
            <w:tcW w:w="111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AF6242" w:rsidRPr="00AF6242" w:rsidRDefault="00AF6242" w:rsidP="00AF6242">
            <w:pPr>
              <w:pStyle w:val="TableDataEntries"/>
              <w:rPr>
                <w:lang w:val="en-GB"/>
              </w:rPr>
            </w:pPr>
            <w:r w:rsidRPr="00AF6242">
              <w:rPr>
                <w:lang w:val="en-GB"/>
              </w:rPr>
              <w:t xml:space="preserve"> 428.01</w:t>
            </w:r>
          </w:p>
        </w:tc>
        <w:tc>
          <w:tcPr>
            <w:tcW w:w="111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AF6242" w:rsidRPr="00AF6242" w:rsidRDefault="00AF6242" w:rsidP="00AF6242">
            <w:pPr>
              <w:pStyle w:val="TableDataEntries"/>
              <w:rPr>
                <w:lang w:val="en-GB"/>
              </w:rPr>
            </w:pPr>
            <w:r w:rsidRPr="00AF6242">
              <w:rPr>
                <w:lang w:val="en-GB"/>
              </w:rPr>
              <w:t xml:space="preserve"> 57.07</w:t>
            </w:r>
          </w:p>
        </w:tc>
      </w:tr>
      <w:tr w:rsidR="00AF6242" w:rsidRPr="00AF6242" w:rsidTr="00AF6242">
        <w:trPr>
          <w:trHeight w:val="250"/>
        </w:trPr>
        <w:tc>
          <w:tcPr>
            <w:tcW w:w="3468"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rsidR="00AF6242" w:rsidRPr="00AF6242" w:rsidRDefault="00AF6242" w:rsidP="00AF6242">
            <w:pPr>
              <w:pStyle w:val="TableDataEntries"/>
              <w:jc w:val="left"/>
              <w:rPr>
                <w:lang w:val="en-GB"/>
              </w:rPr>
            </w:pPr>
            <w:r w:rsidRPr="00AF6242">
              <w:rPr>
                <w:lang w:val="en-GB"/>
              </w:rPr>
              <w:t>Building surveyor</w:t>
            </w:r>
          </w:p>
        </w:tc>
        <w:tc>
          <w:tcPr>
            <w:tcW w:w="1117"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rsidR="00AF6242" w:rsidRPr="00AF6242" w:rsidRDefault="00AF6242" w:rsidP="00AF6242">
            <w:pPr>
              <w:pStyle w:val="TableDataEntries"/>
              <w:rPr>
                <w:lang w:val="en-GB"/>
              </w:rPr>
            </w:pPr>
            <w:r w:rsidRPr="00AF6242">
              <w:rPr>
                <w:lang w:val="en-GB"/>
              </w:rPr>
              <w:t>69 384</w:t>
            </w:r>
            <w:r w:rsidR="00BE65C3">
              <w:rPr>
                <w:rStyle w:val="NoteLabel"/>
              </w:rPr>
              <w:t>c</w:t>
            </w:r>
          </w:p>
        </w:tc>
        <w:tc>
          <w:tcPr>
            <w:tcW w:w="1117"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rsidR="00AF6242" w:rsidRPr="00AF6242" w:rsidRDefault="00AF6242" w:rsidP="00AF6242">
            <w:pPr>
              <w:pStyle w:val="TableDataEntries"/>
              <w:rPr>
                <w:lang w:val="en-GB"/>
              </w:rPr>
            </w:pPr>
            <w:r w:rsidRPr="00AF6242">
              <w:rPr>
                <w:lang w:val="en-GB"/>
              </w:rPr>
              <w:t>86 730</w:t>
            </w:r>
          </w:p>
        </w:tc>
        <w:tc>
          <w:tcPr>
            <w:tcW w:w="1117"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rsidR="00AF6242" w:rsidRPr="00AF6242" w:rsidRDefault="00AF6242" w:rsidP="00AF6242">
            <w:pPr>
              <w:pStyle w:val="TableDataEntries"/>
              <w:rPr>
                <w:lang w:val="en-GB"/>
              </w:rPr>
            </w:pPr>
            <w:r w:rsidRPr="00AF6242">
              <w:rPr>
                <w:lang w:val="en-GB"/>
              </w:rPr>
              <w:t xml:space="preserve"> 377.09</w:t>
            </w:r>
          </w:p>
        </w:tc>
        <w:tc>
          <w:tcPr>
            <w:tcW w:w="1117"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rsidR="00AF6242" w:rsidRPr="00AF6242" w:rsidRDefault="00AF6242" w:rsidP="00AF6242">
            <w:pPr>
              <w:pStyle w:val="TableDataEntries"/>
              <w:rPr>
                <w:lang w:val="en-GB"/>
              </w:rPr>
            </w:pPr>
            <w:r w:rsidRPr="00AF6242">
              <w:rPr>
                <w:lang w:val="en-GB"/>
              </w:rPr>
              <w:t xml:space="preserve"> 50.28</w:t>
            </w:r>
          </w:p>
        </w:tc>
      </w:tr>
    </w:tbl>
    <w:p w:rsidR="00AF6242" w:rsidRPr="00E4232C" w:rsidRDefault="00AF6242" w:rsidP="00AF6242">
      <w:pPr>
        <w:pStyle w:val="Note"/>
      </w:pPr>
      <w:r w:rsidRPr="00E4232C">
        <w:rPr>
          <w:rStyle w:val="NoteLabel"/>
        </w:rPr>
        <w:t>a</w:t>
      </w:r>
      <w:r>
        <w:t xml:space="preserve"> </w:t>
      </w:r>
      <w:r w:rsidR="00BE65C3">
        <w:t>Estimated based on the weighted average (across experience levels) from a salary survey undertaken by the Association of Consulting Architects Australia (</w:t>
      </w:r>
      <w:hyperlink r:id="rId48" w:history="1">
        <w:r w:rsidR="00BE65C3" w:rsidRPr="00B5533A">
          <w:rPr>
            <w:rStyle w:val="Hyperlink"/>
          </w:rPr>
          <w:t>https://aca.org.au/article/2017-salary-survey-findings</w:t>
        </w:r>
      </w:hyperlink>
      <w:r w:rsidR="00BE65C3">
        <w:t xml:space="preserve">). </w:t>
      </w:r>
      <w:r w:rsidR="00BE65C3" w:rsidRPr="00BE65C3">
        <w:rPr>
          <w:rStyle w:val="NoteLabel"/>
        </w:rPr>
        <w:t>b</w:t>
      </w:r>
      <w:r w:rsidR="00BE65C3">
        <w:t xml:space="preserve"> Estimate based on the average salary (including bonuses, profit-sharing and commission) of a Services Engineer (</w:t>
      </w:r>
      <w:hyperlink r:id="rId49" w:history="1">
        <w:r w:rsidR="00BE65C3" w:rsidRPr="00B5533A">
          <w:rPr>
            <w:rStyle w:val="Hyperlink"/>
          </w:rPr>
          <w:t>https://www.payscale.com/research/AU/Job=Service_Engineer/Salary</w:t>
        </w:r>
      </w:hyperlink>
      <w:r w:rsidR="00BE65C3">
        <w:t xml:space="preserve">). </w:t>
      </w:r>
      <w:r w:rsidR="00BE65C3" w:rsidRPr="008A350D">
        <w:rPr>
          <w:rStyle w:val="NoteLabel"/>
        </w:rPr>
        <w:t>c</w:t>
      </w:r>
      <w:r w:rsidR="00BE65C3">
        <w:t xml:space="preserve"> </w:t>
      </w:r>
      <w:r w:rsidR="008A350D">
        <w:t>Estimate based on the average salary (including bonuses, and profit-sharing) of a Building Surveyor (</w:t>
      </w:r>
      <w:hyperlink r:id="rId50" w:history="1">
        <w:r w:rsidR="008A350D" w:rsidRPr="00B5533A">
          <w:rPr>
            <w:rStyle w:val="Hyperlink"/>
          </w:rPr>
          <w:t>https://www.payscale.com/research/AU/Job=Building_Surveyor/Salary</w:t>
        </w:r>
      </w:hyperlink>
      <w:r w:rsidR="008A350D">
        <w:t xml:space="preserve">). </w:t>
      </w:r>
      <w:r w:rsidR="008A350D" w:rsidRPr="008A350D">
        <w:rPr>
          <w:rStyle w:val="NoteLabel"/>
        </w:rPr>
        <w:t>d</w:t>
      </w:r>
      <w:r w:rsidR="008A350D">
        <w:t xml:space="preserve"> Assumes an on-cost loading of 25 per cent. </w:t>
      </w:r>
      <w:r w:rsidR="008A350D" w:rsidRPr="008A350D">
        <w:rPr>
          <w:rStyle w:val="NoteLabel"/>
        </w:rPr>
        <w:t>e</w:t>
      </w:r>
      <w:r w:rsidR="008A350D">
        <w:t xml:space="preserve"> Assumes 230 working days per year. </w:t>
      </w:r>
      <w:r w:rsidR="008A350D" w:rsidRPr="008A350D">
        <w:rPr>
          <w:rStyle w:val="NoteLabel"/>
        </w:rPr>
        <w:t>f</w:t>
      </w:r>
      <w:r w:rsidR="008A350D">
        <w:t xml:space="preserve"> Assumes 7.5 hours per working day.</w:t>
      </w:r>
    </w:p>
    <w:p w:rsidR="00AF6242" w:rsidRDefault="00AF6242" w:rsidP="00AF6242">
      <w:pPr>
        <w:pStyle w:val="Source"/>
      </w:pPr>
      <w:r>
        <w:rPr>
          <w:i/>
        </w:rPr>
        <w:t>Source</w:t>
      </w:r>
      <w:r w:rsidRPr="00E4232C">
        <w:rPr>
          <w:i/>
        </w:rPr>
        <w:t>:</w:t>
      </w:r>
      <w:r>
        <w:t xml:space="preserve"> </w:t>
      </w:r>
      <w:r w:rsidR="008A350D">
        <w:t xml:space="preserve">Association of Consulting Architects website, </w:t>
      </w:r>
      <w:hyperlink r:id="rId51" w:history="1">
        <w:r w:rsidR="008A350D" w:rsidRPr="00B5533A">
          <w:rPr>
            <w:rStyle w:val="Hyperlink"/>
          </w:rPr>
          <w:t>https://aca.org.au/article/2017-salary-survey-findings</w:t>
        </w:r>
      </w:hyperlink>
      <w:r w:rsidR="008A350D">
        <w:t xml:space="preserve">, accessed 5 November 2018; Payscale website, </w:t>
      </w:r>
      <w:hyperlink r:id="rId52" w:history="1">
        <w:r w:rsidR="008A350D" w:rsidRPr="00B5533A">
          <w:rPr>
            <w:rStyle w:val="Hyperlink"/>
          </w:rPr>
          <w:t>https://www.payscale.com/</w:t>
        </w:r>
      </w:hyperlink>
      <w:r w:rsidR="008A350D">
        <w:t>, accessed 5 November 2018, CIE.</w:t>
      </w:r>
    </w:p>
    <w:p w:rsidR="00F81C43" w:rsidRDefault="00F81C43" w:rsidP="00A16755">
      <w:pPr>
        <w:pStyle w:val="BodyText"/>
      </w:pPr>
      <w:r>
        <w:t>In addition to the time costs</w:t>
      </w:r>
      <w:r w:rsidR="000B09A4">
        <w:t xml:space="preserve">, some stakeholders </w:t>
      </w:r>
      <w:r w:rsidR="008A350D">
        <w:t>will bear some seminar fees.</w:t>
      </w:r>
    </w:p>
    <w:p w:rsidR="00F81C43" w:rsidRDefault="00F81C43" w:rsidP="00DD6203">
      <w:pPr>
        <w:pStyle w:val="ListBullet"/>
      </w:pPr>
      <w:r>
        <w:t>As the costs of the seminar are being funded by the Department of the Environment, there would be associated fees for industry participants.</w:t>
      </w:r>
    </w:p>
    <w:p w:rsidR="008A350D" w:rsidRDefault="008A350D" w:rsidP="00DD6203">
      <w:pPr>
        <w:pStyle w:val="ListBullet"/>
      </w:pPr>
      <w:r>
        <w:t>The cost of attending CPD seminars run be the relevant professional bodies can vary. We assume a cost of $50 to attend a half day seminar.</w:t>
      </w:r>
    </w:p>
    <w:p w:rsidR="00612FD3" w:rsidRPr="00ED7012" w:rsidRDefault="00612FD3" w:rsidP="00612FD3">
      <w:pPr>
        <w:pStyle w:val="Heading2"/>
        <w:numPr>
          <w:ilvl w:val="1"/>
          <w:numId w:val="5"/>
        </w:numPr>
      </w:pPr>
      <w:bookmarkStart w:id="3171" w:name="_Toc529869855"/>
      <w:bookmarkStart w:id="3172" w:name="_Toc530748573"/>
      <w:r w:rsidRPr="00ED7012">
        <w:t>Impact on competition</w:t>
      </w:r>
      <w:bookmarkEnd w:id="3171"/>
      <w:bookmarkEnd w:id="3172"/>
    </w:p>
    <w:p w:rsidR="00612FD3" w:rsidRDefault="00612FD3" w:rsidP="00612FD3">
      <w:pPr>
        <w:pStyle w:val="BodyText"/>
        <w:rPr>
          <w:lang w:bidi="fa-IR"/>
        </w:rPr>
      </w:pPr>
      <w:r>
        <w:rPr>
          <w:lang w:bidi="fa-IR"/>
        </w:rPr>
        <w:t xml:space="preserve">An inevitable downside of minimum standards is the </w:t>
      </w:r>
      <w:r w:rsidR="0061153D">
        <w:rPr>
          <w:lang w:bidi="fa-IR"/>
        </w:rPr>
        <w:t xml:space="preserve">potential for </w:t>
      </w:r>
      <w:r>
        <w:rPr>
          <w:lang w:bidi="fa-IR"/>
        </w:rPr>
        <w:t>negative impact on competition. The COAG Guidelines require that, in accordance with the Competition Principles Agreement, legislation should not restrict competi</w:t>
      </w:r>
      <w:r w:rsidR="00CA2A37">
        <w:rPr>
          <w:lang w:bidi="fa-IR"/>
        </w:rPr>
        <w:t>ti</w:t>
      </w:r>
      <w:r>
        <w:rPr>
          <w:lang w:bidi="fa-IR"/>
        </w:rPr>
        <w:t>on unless it can be demonstrated that:</w:t>
      </w:r>
    </w:p>
    <w:p w:rsidR="00612FD3" w:rsidRDefault="00612FD3" w:rsidP="00612FD3">
      <w:pPr>
        <w:pStyle w:val="ListBullet"/>
        <w:numPr>
          <w:ilvl w:val="0"/>
          <w:numId w:val="36"/>
        </w:numPr>
        <w:rPr>
          <w:lang w:bidi="fa-IR"/>
        </w:rPr>
      </w:pPr>
      <w:r>
        <w:rPr>
          <w:lang w:bidi="fa-IR"/>
        </w:rPr>
        <w:t>the benefits of the restriction to the community as a whole outweigh the costs; and</w:t>
      </w:r>
    </w:p>
    <w:p w:rsidR="00612FD3" w:rsidRDefault="00612FD3" w:rsidP="00612FD3">
      <w:pPr>
        <w:pStyle w:val="ListBullet"/>
        <w:numPr>
          <w:ilvl w:val="0"/>
          <w:numId w:val="36"/>
        </w:numPr>
        <w:rPr>
          <w:lang w:bidi="fa-IR"/>
        </w:rPr>
      </w:pPr>
      <w:r>
        <w:rPr>
          <w:lang w:bidi="fa-IR"/>
        </w:rPr>
        <w:t>the objectives of the regulation can only be achieved by restricting competition.</w:t>
      </w:r>
    </w:p>
    <w:p w:rsidR="00612FD3" w:rsidRDefault="00612FD3" w:rsidP="00612FD3">
      <w:pPr>
        <w:pStyle w:val="BodyText"/>
        <w:rPr>
          <w:lang w:bidi="fa-IR"/>
        </w:rPr>
      </w:pPr>
      <w:r>
        <w:rPr>
          <w:lang w:bidi="fa-IR"/>
        </w:rPr>
        <w:t>Minimum energy efficiency standards for commercial buildings in the NCC could reduce competition by</w:t>
      </w:r>
      <w:r w:rsidR="005954D6">
        <w:rPr>
          <w:lang w:bidi="fa-IR"/>
        </w:rPr>
        <w:t xml:space="preserve"> restricting choice, such as</w:t>
      </w:r>
      <w:r>
        <w:rPr>
          <w:lang w:bidi="fa-IR"/>
        </w:rPr>
        <w:t>:</w:t>
      </w:r>
    </w:p>
    <w:p w:rsidR="00612FD3" w:rsidRDefault="00612FD3" w:rsidP="00612FD3">
      <w:pPr>
        <w:pStyle w:val="ListBullet"/>
        <w:numPr>
          <w:ilvl w:val="0"/>
          <w:numId w:val="36"/>
        </w:numPr>
        <w:rPr>
          <w:lang w:bidi="fa-IR"/>
        </w:rPr>
      </w:pPr>
      <w:r>
        <w:rPr>
          <w:lang w:bidi="fa-IR"/>
        </w:rPr>
        <w:t>Restricting the choice of buildings available — minimum energy efficiency standards could restrict choices in relation to the buildings that are available and the associated design choices.</w:t>
      </w:r>
    </w:p>
    <w:p w:rsidR="00612FD3" w:rsidRDefault="00612FD3" w:rsidP="00612FD3">
      <w:pPr>
        <w:pStyle w:val="ListBullet2"/>
        <w:numPr>
          <w:ilvl w:val="1"/>
          <w:numId w:val="36"/>
        </w:numPr>
        <w:ind w:left="568" w:hanging="284"/>
        <w:rPr>
          <w:lang w:bidi="fa-IR"/>
        </w:rPr>
      </w:pPr>
      <w:r>
        <w:rPr>
          <w:lang w:bidi="fa-IR"/>
        </w:rPr>
        <w:t xml:space="preserve">As pointed out in the Master Builders Australia submission, some building owners (or tenant) could rationally choose cheaper </w:t>
      </w:r>
      <w:r w:rsidR="003E4E5C">
        <w:rPr>
          <w:lang w:bidi="fa-IR"/>
        </w:rPr>
        <w:t xml:space="preserve">or </w:t>
      </w:r>
      <w:r>
        <w:rPr>
          <w:lang w:bidi="fa-IR"/>
        </w:rPr>
        <w:t>less energy efficient premises. For example, some small businesses may leave their office frequently unoccupied and may therefore prefer a cheaper less energy efficient office.</w:t>
      </w:r>
    </w:p>
    <w:p w:rsidR="00612FD3" w:rsidRDefault="00612FD3" w:rsidP="00612FD3">
      <w:pPr>
        <w:pStyle w:val="ListBullet2"/>
        <w:numPr>
          <w:ilvl w:val="1"/>
          <w:numId w:val="36"/>
        </w:numPr>
        <w:ind w:left="568" w:hanging="284"/>
        <w:rPr>
          <w:lang w:bidi="fa-IR"/>
        </w:rPr>
      </w:pPr>
      <w:r>
        <w:rPr>
          <w:lang w:bidi="fa-IR"/>
        </w:rPr>
        <w:t>Minimum energy efficiency standards could effectively preclude some design features that some owners or tenants value more highly than energy savings.</w:t>
      </w:r>
    </w:p>
    <w:p w:rsidR="00612FD3" w:rsidRDefault="00612FD3" w:rsidP="00E372D7">
      <w:pPr>
        <w:pStyle w:val="ListBullet"/>
        <w:numPr>
          <w:ilvl w:val="0"/>
          <w:numId w:val="36"/>
        </w:numPr>
        <w:rPr>
          <w:lang w:bidi="fa-IR"/>
        </w:rPr>
      </w:pPr>
      <w:r>
        <w:rPr>
          <w:lang w:bidi="fa-IR"/>
        </w:rPr>
        <w:t>Restricting the choice of building products and services — minimum energy efficiency requirements will restrict the choice of glazing, boilers, fans and other services that can be used in construction through the DTS pathway The submission from Rheem Australia provided a tangible example of the proposed tightening of the minimum standards effectively preventing some suppliers from participating in the market (at least temporarily).</w:t>
      </w:r>
    </w:p>
    <w:p w:rsidR="00612FD3" w:rsidRDefault="00612FD3" w:rsidP="00612FD3">
      <w:pPr>
        <w:pStyle w:val="ListBullet"/>
        <w:numPr>
          <w:ilvl w:val="0"/>
          <w:numId w:val="36"/>
        </w:numPr>
        <w:rPr>
          <w:lang w:bidi="fa-IR"/>
        </w:rPr>
      </w:pPr>
      <w:r>
        <w:rPr>
          <w:lang w:bidi="fa-IR"/>
        </w:rPr>
        <w:t>An increase in the minimum efficiency for “Type A” appliances (under 500 MJ/h) to 86 per cent, as proposed by ABCB, would prevent Rheem from selling some types of boilers produced at its Moorabbin factory.</w:t>
      </w:r>
    </w:p>
    <w:p w:rsidR="00612FD3" w:rsidRDefault="00612FD3" w:rsidP="00612FD3">
      <w:pPr>
        <w:pStyle w:val="ListBullet"/>
        <w:numPr>
          <w:ilvl w:val="0"/>
          <w:numId w:val="36"/>
        </w:numPr>
        <w:rPr>
          <w:lang w:bidi="fa-IR"/>
        </w:rPr>
      </w:pPr>
      <w:r>
        <w:rPr>
          <w:lang w:bidi="fa-IR"/>
        </w:rPr>
        <w:t>ABCB also proposed to increase the minimum efficiency for “Type B” (over 500 MJ/h) boilers from 80 per cent to 90 per cent. Over several year, Rheem has been developing a new product with 86</w:t>
      </w:r>
      <w:r>
        <w:rPr>
          <w:lang w:bidi="fa-IR"/>
        </w:rPr>
        <w:noBreakHyphen/>
        <w:t>88 per cent efficiency. Were the minimum standards to be increased to 90 per cent, Rheem would be unable to launch the new product, which has apparently been the result of many years of development and many hundreds of thousands of dollars in expenditure.</w:t>
      </w:r>
    </w:p>
    <w:p w:rsidR="00C473C6" w:rsidRDefault="00C473C6" w:rsidP="00612FD3">
      <w:pPr>
        <w:pStyle w:val="BodyText"/>
        <w:rPr>
          <w:lang w:bidi="fa-IR"/>
        </w:rPr>
      </w:pPr>
      <w:r>
        <w:rPr>
          <w:lang w:bidi="fa-IR"/>
        </w:rPr>
        <w:t>Rheem proposed staggering the increase to 90 per cent efficiency over time as follows.</w:t>
      </w:r>
    </w:p>
    <w:p w:rsidR="00C473C6" w:rsidRDefault="00C473C6" w:rsidP="00C473C6">
      <w:pPr>
        <w:pStyle w:val="ListBullet"/>
        <w:rPr>
          <w:lang w:bidi="fa-IR"/>
        </w:rPr>
      </w:pPr>
      <w:r>
        <w:rPr>
          <w:lang w:bidi="fa-IR"/>
        </w:rPr>
        <w:t>The minimum efficiency of Type B boilers would be increased to 85 per cent from 2019.</w:t>
      </w:r>
    </w:p>
    <w:p w:rsidR="00C473C6" w:rsidRDefault="00C473C6" w:rsidP="00C473C6">
      <w:pPr>
        <w:pStyle w:val="ListBullet"/>
        <w:rPr>
          <w:lang w:bidi="fa-IR"/>
        </w:rPr>
      </w:pPr>
      <w:r>
        <w:rPr>
          <w:lang w:bidi="fa-IR"/>
        </w:rPr>
        <w:t>This would be increased to 90 per cent from 2022.</w:t>
      </w:r>
    </w:p>
    <w:p w:rsidR="008D25E9" w:rsidRDefault="00612FD3" w:rsidP="00612FD3">
      <w:pPr>
        <w:pStyle w:val="BodyText"/>
        <w:rPr>
          <w:lang w:bidi="fa-IR"/>
        </w:rPr>
      </w:pPr>
      <w:r>
        <w:rPr>
          <w:lang w:bidi="fa-IR"/>
        </w:rPr>
        <w:t xml:space="preserve">The modelling presented above is based on products that are currently available in the market. </w:t>
      </w:r>
      <w:r w:rsidR="00CA2A37">
        <w:rPr>
          <w:lang w:bidi="fa-IR"/>
        </w:rPr>
        <w:t xml:space="preserve">According to </w:t>
      </w:r>
      <w:r w:rsidR="003F28DD">
        <w:rPr>
          <w:lang w:bidi="fa-IR"/>
        </w:rPr>
        <w:t>EA</w:t>
      </w:r>
      <w:r w:rsidR="00CA2A37">
        <w:rPr>
          <w:lang w:bidi="fa-IR"/>
        </w:rPr>
        <w:t>,</w:t>
      </w:r>
      <w:r>
        <w:rPr>
          <w:lang w:bidi="fa-IR"/>
        </w:rPr>
        <w:t xml:space="preserve"> increasing the minimum energy efficiency standard above 80 per cent would largely preclude the use of most non</w:t>
      </w:r>
      <w:r>
        <w:rPr>
          <w:lang w:bidi="fa-IR"/>
        </w:rPr>
        <w:noBreakHyphen/>
        <w:t>condensing boilers currently available and require the use of condensing boilers, which mostly operate at around 90 per cent efficiency. Therefore, based on products currently available, the impact of the revised proposal would be largely unchanged from the initial proposal.</w:t>
      </w:r>
    </w:p>
    <w:p w:rsidR="00612FD3" w:rsidRDefault="008D25E9" w:rsidP="00612FD3">
      <w:pPr>
        <w:pStyle w:val="BodyText"/>
        <w:rPr>
          <w:lang w:bidi="fa-IR"/>
        </w:rPr>
      </w:pPr>
      <w:r>
        <w:rPr>
          <w:lang w:bidi="fa-IR"/>
        </w:rPr>
        <w:t xml:space="preserve">ABCB notes that products that comply with the 90 per cent minimum standard are currently available in the market and </w:t>
      </w:r>
      <w:r w:rsidR="00E6622A">
        <w:rPr>
          <w:lang w:bidi="fa-IR"/>
        </w:rPr>
        <w:t xml:space="preserve">the concern for </w:t>
      </w:r>
      <w:r>
        <w:rPr>
          <w:lang w:bidi="fa-IR"/>
        </w:rPr>
        <w:t xml:space="preserve">less efficient products </w:t>
      </w:r>
      <w:r w:rsidR="00E6622A">
        <w:rPr>
          <w:lang w:bidi="fa-IR"/>
        </w:rPr>
        <w:t>was related to those yet to reach market, no economic impact could be estimated</w:t>
      </w:r>
      <w:r>
        <w:rPr>
          <w:lang w:bidi="fa-IR"/>
        </w:rPr>
        <w:t>.</w:t>
      </w:r>
    </w:p>
    <w:p w:rsidR="00612FD3" w:rsidRDefault="00612FD3" w:rsidP="00612FD3">
      <w:pPr>
        <w:pStyle w:val="BodyText"/>
        <w:rPr>
          <w:lang w:bidi="fa-IR"/>
        </w:rPr>
      </w:pPr>
      <w:r>
        <w:rPr>
          <w:lang w:bidi="fa-IR"/>
        </w:rPr>
        <w:t xml:space="preserve">More generally, Rheem argues that </w:t>
      </w:r>
      <w:r w:rsidR="00E6517C">
        <w:rPr>
          <w:lang w:bidi="fa-IR"/>
        </w:rPr>
        <w:t>t</w:t>
      </w:r>
      <w:r>
        <w:rPr>
          <w:lang w:bidi="fa-IR"/>
        </w:rPr>
        <w:t>his would result in less local manufacturing and more imported products</w:t>
      </w:r>
      <w:r w:rsidR="00E6517C">
        <w:rPr>
          <w:lang w:bidi="fa-IR"/>
        </w:rPr>
        <w:t xml:space="preserve"> and this should somehow be taken into account</w:t>
      </w:r>
      <w:r>
        <w:rPr>
          <w:lang w:bidi="fa-IR"/>
        </w:rPr>
        <w:t>.</w:t>
      </w:r>
    </w:p>
    <w:p w:rsidR="00612FD3" w:rsidRDefault="00612FD3" w:rsidP="00612FD3">
      <w:pPr>
        <w:pStyle w:val="BodyText"/>
        <w:rPr>
          <w:lang w:bidi="fa-IR"/>
        </w:rPr>
      </w:pPr>
      <w:r>
        <w:rPr>
          <w:lang w:bidi="fa-IR"/>
        </w:rPr>
        <w:t>However, as is generally the case, the CBA is based on a ‘partial equilibrium’ framework, focusing on the construction and operation of commercial buildings. As such, it does not consider the ‘general equilibrium’ effects on the supply chain. Under this framework, the impacts on the supply chain are only relevant to the extent that compliant products are available from either domestically produced or imported sources.</w:t>
      </w:r>
    </w:p>
    <w:p w:rsidR="005674F7" w:rsidRDefault="00612FD3" w:rsidP="005674F7">
      <w:pPr>
        <w:pStyle w:val="BodyText"/>
        <w:rPr>
          <w:lang w:eastAsia="en-US"/>
        </w:rPr>
      </w:pPr>
      <w:r>
        <w:rPr>
          <w:lang w:bidi="fa-IR"/>
        </w:rPr>
        <w:t>From a competition perspective, it is important that the same standards apply, whether products are produced locally or imported. An increase in minimum standards should be assessed on its merits, rather than whether it disadvantages local manufacturers relative to imports.</w:t>
      </w:r>
      <w:r w:rsidR="00D7191E">
        <w:rPr>
          <w:lang w:bidi="fa-IR"/>
        </w:rPr>
        <w:t xml:space="preserve"> Further</w:t>
      </w:r>
      <w:r w:rsidR="00F03986">
        <w:rPr>
          <w:lang w:bidi="fa-IR"/>
        </w:rPr>
        <w:t>more,</w:t>
      </w:r>
      <w:r w:rsidR="00D7191E">
        <w:rPr>
          <w:lang w:bidi="fa-IR"/>
        </w:rPr>
        <w:t xml:space="preserve"> the NCC is </w:t>
      </w:r>
      <w:r w:rsidR="00F03986">
        <w:rPr>
          <w:lang w:bidi="fa-IR"/>
        </w:rPr>
        <w:t>a p</w:t>
      </w:r>
      <w:r w:rsidR="00D7191E">
        <w:rPr>
          <w:lang w:bidi="fa-IR"/>
        </w:rPr>
        <w:t>erformance</w:t>
      </w:r>
      <w:r w:rsidR="00F03986">
        <w:rPr>
          <w:lang w:bidi="fa-IR"/>
        </w:rPr>
        <w:noBreakHyphen/>
      </w:r>
      <w:r w:rsidR="00D7191E">
        <w:rPr>
          <w:lang w:bidi="fa-IR"/>
        </w:rPr>
        <w:t>based</w:t>
      </w:r>
      <w:r w:rsidR="00F03986">
        <w:rPr>
          <w:lang w:bidi="fa-IR"/>
        </w:rPr>
        <w:t xml:space="preserve"> code</w:t>
      </w:r>
      <w:r w:rsidR="00D7191E">
        <w:rPr>
          <w:lang w:bidi="fa-IR"/>
        </w:rPr>
        <w:t xml:space="preserve"> </w:t>
      </w:r>
      <w:r w:rsidR="005674F7">
        <w:rPr>
          <w:lang w:bidi="fa-IR"/>
        </w:rPr>
        <w:t>with</w:t>
      </w:r>
      <w:r w:rsidR="005674F7">
        <w:rPr>
          <w:lang w:eastAsia="en-US"/>
        </w:rPr>
        <w:t xml:space="preserve"> Verification Methods </w:t>
      </w:r>
      <w:r w:rsidR="00A33BC8">
        <w:rPr>
          <w:lang w:eastAsia="en-US"/>
        </w:rPr>
        <w:t xml:space="preserve">and other </w:t>
      </w:r>
      <w:r w:rsidR="00370F15">
        <w:rPr>
          <w:lang w:eastAsia="en-US"/>
        </w:rPr>
        <w:t>pathways</w:t>
      </w:r>
      <w:r w:rsidR="005674F7">
        <w:rPr>
          <w:lang w:eastAsia="en-US"/>
        </w:rPr>
        <w:t xml:space="preserve"> that allow for trading between the performance of elements in order to achieve compliance against the </w:t>
      </w:r>
      <w:r w:rsidR="00370F15">
        <w:rPr>
          <w:lang w:eastAsia="en-US"/>
        </w:rPr>
        <w:t>overarching</w:t>
      </w:r>
      <w:r w:rsidR="005674F7">
        <w:rPr>
          <w:lang w:eastAsia="en-US"/>
        </w:rPr>
        <w:t xml:space="preserve"> </w:t>
      </w:r>
      <w:r w:rsidR="00370F15">
        <w:rPr>
          <w:lang w:eastAsia="en-US"/>
        </w:rPr>
        <w:t>P</w:t>
      </w:r>
      <w:r w:rsidR="005674F7">
        <w:rPr>
          <w:lang w:eastAsia="en-US"/>
        </w:rPr>
        <w:t xml:space="preserve">erformance </w:t>
      </w:r>
      <w:r w:rsidR="00370F15">
        <w:rPr>
          <w:lang w:eastAsia="en-US"/>
        </w:rPr>
        <w:t>Requirement</w:t>
      </w:r>
      <w:r w:rsidR="005674F7">
        <w:rPr>
          <w:lang w:eastAsia="en-US"/>
        </w:rPr>
        <w:t xml:space="preserve">. Augmenting this flexibility is commercial building performance quantification in NCC 2019, which </w:t>
      </w:r>
      <w:r w:rsidR="00BB30D0">
        <w:rPr>
          <w:lang w:eastAsia="en-US"/>
        </w:rPr>
        <w:t>although</w:t>
      </w:r>
      <w:r w:rsidR="005674F7">
        <w:rPr>
          <w:lang w:eastAsia="en-US"/>
        </w:rPr>
        <w:t xml:space="preserve"> less </w:t>
      </w:r>
      <w:r w:rsidR="00BB30D0">
        <w:rPr>
          <w:lang w:eastAsia="en-US"/>
        </w:rPr>
        <w:t>likely</w:t>
      </w:r>
      <w:r w:rsidR="005674F7">
        <w:rPr>
          <w:lang w:eastAsia="en-US"/>
        </w:rPr>
        <w:t xml:space="preserve"> to be used, enables complete </w:t>
      </w:r>
      <w:r w:rsidR="00BB30D0">
        <w:rPr>
          <w:lang w:eastAsia="en-US"/>
        </w:rPr>
        <w:t>flexibility</w:t>
      </w:r>
      <w:r w:rsidR="005674F7">
        <w:rPr>
          <w:lang w:eastAsia="en-US"/>
        </w:rPr>
        <w:t xml:space="preserve"> in design to meet the targeted values.</w:t>
      </w:r>
    </w:p>
    <w:p w:rsidR="00C860B9" w:rsidRDefault="00C860B9" w:rsidP="00612FD3">
      <w:pPr>
        <w:pStyle w:val="BodyText"/>
        <w:rPr>
          <w:lang w:eastAsia="en-US"/>
        </w:rPr>
      </w:pPr>
      <w:bookmarkStart w:id="3173" w:name="_Hlk528658953"/>
      <w:r>
        <w:rPr>
          <w:lang w:bidi="fa-IR"/>
        </w:rPr>
        <w:t xml:space="preserve">In the case of Rheem, its primary concern was that the regulation would affect a boiler product that it was in the process of bringing to market, but had not yet done so. </w:t>
      </w:r>
      <w:r w:rsidR="00257C05">
        <w:rPr>
          <w:lang w:bidi="fa-IR"/>
        </w:rPr>
        <w:t xml:space="preserve"> It is understood that Rheem are the sole </w:t>
      </w:r>
      <w:r>
        <w:rPr>
          <w:lang w:bidi="fa-IR"/>
        </w:rPr>
        <w:t xml:space="preserve">only manufacturer of this type of boiler for commercial application in Australia. In response to this, the Office lowered the proposed efficiency for smaller </w:t>
      </w:r>
      <w:r w:rsidR="00E64509">
        <w:rPr>
          <w:lang w:bidi="fa-IR"/>
        </w:rPr>
        <w:t xml:space="preserve">Type A </w:t>
      </w:r>
      <w:r>
        <w:rPr>
          <w:lang w:bidi="fa-IR"/>
        </w:rPr>
        <w:t>boilers to 86 per cent</w:t>
      </w:r>
      <w:r w:rsidR="005224E8">
        <w:rPr>
          <w:lang w:bidi="fa-IR"/>
        </w:rPr>
        <w:t>, while retaining the higher efficiency for larger boilers</w:t>
      </w:r>
      <w:r>
        <w:rPr>
          <w:lang w:bidi="fa-IR"/>
        </w:rPr>
        <w:t>.</w:t>
      </w:r>
      <w:bookmarkEnd w:id="3173"/>
    </w:p>
    <w:p w:rsidR="00612FD3" w:rsidRDefault="00E64509" w:rsidP="00E64509">
      <w:pPr>
        <w:pStyle w:val="ListBullet"/>
        <w:numPr>
          <w:ilvl w:val="0"/>
          <w:numId w:val="0"/>
        </w:numPr>
        <w:rPr>
          <w:lang w:bidi="fa-IR"/>
        </w:rPr>
      </w:pPr>
      <w:r>
        <w:rPr>
          <w:lang w:bidi="fa-IR"/>
        </w:rPr>
        <w:t xml:space="preserve">From an individual product perspective competition is not constrained where the </w:t>
      </w:r>
      <w:r w:rsidR="00BB30D0">
        <w:rPr>
          <w:lang w:bidi="fa-IR"/>
        </w:rPr>
        <w:t>possibility</w:t>
      </w:r>
      <w:r>
        <w:rPr>
          <w:lang w:bidi="fa-IR"/>
        </w:rPr>
        <w:t xml:space="preserve"> exists to use these building products and/or services through a Performance Solution, where trade</w:t>
      </w:r>
      <w:r>
        <w:rPr>
          <w:lang w:bidi="fa-IR"/>
        </w:rPr>
        <w:noBreakHyphen/>
        <w:t>offs are made elsewhere.</w:t>
      </w:r>
      <w:r w:rsidRPr="00E64509">
        <w:rPr>
          <w:lang w:bidi="fa-IR"/>
        </w:rPr>
        <w:t xml:space="preserve"> </w:t>
      </w:r>
      <w:r w:rsidR="005674F7">
        <w:rPr>
          <w:lang w:eastAsia="en-US"/>
        </w:rPr>
        <w:t>The proposed changes appear to comply with the ‘competition test’ set out in the COAG Guidelines.</w:t>
      </w:r>
      <w:r w:rsidRPr="00E64509">
        <w:rPr>
          <w:lang w:bidi="fa-IR"/>
        </w:rPr>
        <w:t xml:space="preserve"> </w:t>
      </w:r>
      <w:r>
        <w:rPr>
          <w:lang w:bidi="fa-IR"/>
        </w:rPr>
        <w:t>That said, it is reasonable to give all suppliers, including local manufacturers, sufficient time to gear up to meet future market needs (this is considered under implementation and review).</w:t>
      </w:r>
    </w:p>
    <w:p w:rsidR="00612FD3" w:rsidRPr="00C22205" w:rsidRDefault="00612FD3" w:rsidP="00612FD3">
      <w:pPr>
        <w:pStyle w:val="Heading2"/>
        <w:numPr>
          <w:ilvl w:val="1"/>
          <w:numId w:val="5"/>
        </w:numPr>
      </w:pPr>
      <w:bookmarkStart w:id="3174" w:name="_Toc529869856"/>
      <w:bookmarkStart w:id="3175" w:name="_Toc530748574"/>
      <w:r w:rsidRPr="00C22205">
        <w:t>Potential for unintended consequences</w:t>
      </w:r>
      <w:bookmarkEnd w:id="3174"/>
      <w:bookmarkEnd w:id="3175"/>
    </w:p>
    <w:p w:rsidR="005E105F" w:rsidRDefault="00C22205" w:rsidP="00612FD3">
      <w:pPr>
        <w:pStyle w:val="BodyText"/>
      </w:pPr>
      <w:r>
        <w:t xml:space="preserve">Most respondents feel some degree of adverse impacts on these issues if the changes were not properly implemented. </w:t>
      </w:r>
      <w:r w:rsidRPr="003E7824">
        <w:t xml:space="preserve">One </w:t>
      </w:r>
      <w:r>
        <w:t xml:space="preserve">exception is </w:t>
      </w:r>
      <w:r w:rsidRPr="003E7824">
        <w:t xml:space="preserve">NSW </w:t>
      </w:r>
      <w:r>
        <w:t xml:space="preserve">Building </w:t>
      </w:r>
      <w:r w:rsidRPr="003E7824">
        <w:t xml:space="preserve">Administration </w:t>
      </w:r>
      <w:r>
        <w:t>who reports</w:t>
      </w:r>
      <w:r w:rsidRPr="003E7824">
        <w:t xml:space="preserve"> stakeholders gen</w:t>
      </w:r>
      <w:r>
        <w:t>er</w:t>
      </w:r>
      <w:r w:rsidRPr="003E7824">
        <w:t>ally fe</w:t>
      </w:r>
      <w:r>
        <w:t>e</w:t>
      </w:r>
      <w:r w:rsidRPr="003E7824">
        <w:t xml:space="preserve">l increased energy efficiency </w:t>
      </w:r>
      <w:r>
        <w:t>c</w:t>
      </w:r>
      <w:r w:rsidRPr="003E7824">
        <w:t>ould lead to higher levels of amenity and health as working conditions, air temperature and air quality are likely to be better.</w:t>
      </w:r>
    </w:p>
    <w:p w:rsidR="00C22205" w:rsidRDefault="00C22205" w:rsidP="00C22205">
      <w:pPr>
        <w:pStyle w:val="BodyText"/>
      </w:pPr>
      <w:r w:rsidRPr="003E7824">
        <w:t>Stakeholders fe</w:t>
      </w:r>
      <w:r>
        <w:t>e</w:t>
      </w:r>
      <w:r w:rsidRPr="003E7824">
        <w:t>l the changes will have negative impacts on:</w:t>
      </w:r>
    </w:p>
    <w:p w:rsidR="00C22205" w:rsidRDefault="00C22205" w:rsidP="00C22205">
      <w:pPr>
        <w:pStyle w:val="ListBullet"/>
      </w:pPr>
      <w:r w:rsidRPr="003E7824">
        <w:t>Safety</w:t>
      </w:r>
      <w:r>
        <w:t xml:space="preserve"> and health</w:t>
      </w:r>
      <w:r w:rsidRPr="003E7824">
        <w:t xml:space="preserve"> </w:t>
      </w:r>
      <w:r>
        <w:t>–</w:t>
      </w:r>
      <w:r w:rsidRPr="003E7824">
        <w:t xml:space="preserve"> ASBEC, PCA, BlueScope</w:t>
      </w:r>
      <w:r>
        <w:t>, NASH, MBA, Sustainability House</w:t>
      </w:r>
    </w:p>
    <w:p w:rsidR="00C22205" w:rsidRDefault="00C22205" w:rsidP="00C22205">
      <w:pPr>
        <w:pStyle w:val="ListBullet"/>
      </w:pPr>
      <w:r w:rsidRPr="003E7824">
        <w:t xml:space="preserve">Amenity </w:t>
      </w:r>
      <w:r>
        <w:t>–</w:t>
      </w:r>
      <w:r w:rsidRPr="003E7824">
        <w:t xml:space="preserve"> </w:t>
      </w:r>
      <w:r>
        <w:t xml:space="preserve">JMG, Benmax, </w:t>
      </w:r>
      <w:r w:rsidRPr="003E7824">
        <w:t>G.</w:t>
      </w:r>
      <w:r>
        <w:t xml:space="preserve"> </w:t>
      </w:r>
      <w:r w:rsidRPr="003E7824">
        <w:t>James</w:t>
      </w:r>
      <w:r>
        <w:t xml:space="preserve">, </w:t>
      </w:r>
      <w:r w:rsidRPr="003E7824">
        <w:t>Sustainability House</w:t>
      </w:r>
      <w:r>
        <w:t>, MBA</w:t>
      </w:r>
    </w:p>
    <w:p w:rsidR="00C22205" w:rsidRDefault="00C22205" w:rsidP="00C22205">
      <w:pPr>
        <w:pStyle w:val="ListBullet"/>
      </w:pPr>
      <w:r w:rsidRPr="003E7824">
        <w:t xml:space="preserve">Accessibility </w:t>
      </w:r>
      <w:r>
        <w:t>–</w:t>
      </w:r>
      <w:r w:rsidRPr="003E7824">
        <w:t xml:space="preserve"> </w:t>
      </w:r>
      <w:r>
        <w:t xml:space="preserve">PCA, GBCA, MBA, </w:t>
      </w:r>
      <w:r w:rsidRPr="003E7824">
        <w:t>Think Brick (may have misinterpreted the question as market access).</w:t>
      </w:r>
    </w:p>
    <w:p w:rsidR="00C22205" w:rsidRDefault="00C22205" w:rsidP="00592C11">
      <w:pPr>
        <w:pStyle w:val="Heading3"/>
      </w:pPr>
      <w:r>
        <w:t>Safety and health</w:t>
      </w:r>
    </w:p>
    <w:p w:rsidR="00C22205" w:rsidRDefault="0030293B" w:rsidP="00C22205">
      <w:pPr>
        <w:pStyle w:val="BodyText"/>
      </w:pPr>
      <w:r>
        <w:t>Some s</w:t>
      </w:r>
      <w:r w:rsidR="00C22205">
        <w:t>uggest</w:t>
      </w:r>
      <w:r w:rsidR="008E7855">
        <w:t>ed</w:t>
      </w:r>
      <w:r w:rsidR="00C22205">
        <w:t xml:space="preserve"> impacts on amenity safety and health</w:t>
      </w:r>
      <w:r>
        <w:t xml:space="preserve"> including</w:t>
      </w:r>
      <w:r w:rsidR="00C22205">
        <w:t xml:space="preserve"> </w:t>
      </w:r>
      <w:r>
        <w:t>‘</w:t>
      </w:r>
      <w:r w:rsidR="00C22205">
        <w:t xml:space="preserve">low lighting levels could result in difficulty seeing hazards, leading to collision or slippage’, and ‘result in persons coming in contact with hazardous materials/waste that might otherwise be avoided’. </w:t>
      </w:r>
      <w:r>
        <w:t xml:space="preserve">However, these concerns are unfounded as the </w:t>
      </w:r>
      <w:r w:rsidR="00487211">
        <w:t>illumination</w:t>
      </w:r>
      <w:r>
        <w:t xml:space="preserve"> levels are not proposed to change. </w:t>
      </w:r>
      <w:r w:rsidR="00C22205">
        <w:t>It is also mentioned that mandatory use of lighting control (motion detectors) in some areas of Class 6 Buildings ‘is likely to be high cost penalty with low energy efficiency impact’.</w:t>
      </w:r>
    </w:p>
    <w:p w:rsidR="00C22205" w:rsidRDefault="00C22205" w:rsidP="00C22205">
      <w:pPr>
        <w:pStyle w:val="BodyText"/>
      </w:pPr>
      <w:r w:rsidRPr="003E7824">
        <w:t xml:space="preserve">BlueScope suggests </w:t>
      </w:r>
      <w:r>
        <w:t>c</w:t>
      </w:r>
      <w:r w:rsidRPr="003E7824">
        <w:t xml:space="preserve">ontinually increasing stringency leads to </w:t>
      </w:r>
      <w:r>
        <w:t xml:space="preserve">the risk of </w:t>
      </w:r>
      <w:r w:rsidRPr="003E7824">
        <w:t>increas</w:t>
      </w:r>
      <w:r>
        <w:t>ing the us</w:t>
      </w:r>
      <w:r w:rsidRPr="003E7824">
        <w:t>e of non</w:t>
      </w:r>
      <w:r>
        <w:t>-</w:t>
      </w:r>
      <w:r w:rsidRPr="003E7824">
        <w:t>compli</w:t>
      </w:r>
      <w:r>
        <w:t>a</w:t>
      </w:r>
      <w:r w:rsidRPr="003E7824">
        <w:t xml:space="preserve">nt products (cites board type insulation) </w:t>
      </w:r>
      <w:r>
        <w:t xml:space="preserve">which </w:t>
      </w:r>
      <w:r w:rsidRPr="003E7824">
        <w:t xml:space="preserve">have poor fire performance </w:t>
      </w:r>
      <w:r>
        <w:t>because materials with greater fire performance</w:t>
      </w:r>
      <w:r w:rsidRPr="003E7824">
        <w:t xml:space="preserve"> are </w:t>
      </w:r>
      <w:r>
        <w:t xml:space="preserve">‘significantly more </w:t>
      </w:r>
      <w:r w:rsidRPr="003E7824">
        <w:t>expensive</w:t>
      </w:r>
      <w:r>
        <w:t>’</w:t>
      </w:r>
      <w:r w:rsidRPr="003E7824">
        <w:t xml:space="preserve"> (</w:t>
      </w:r>
      <w:r>
        <w:t>n</w:t>
      </w:r>
      <w:r w:rsidRPr="003E7824">
        <w:t>o citation or further evidence provided). NASH also see</w:t>
      </w:r>
      <w:r>
        <w:t>s</w:t>
      </w:r>
      <w:r w:rsidRPr="003E7824">
        <w:t xml:space="preserve"> the risk from insulation suggesting the cheapest and best performing materials (foams)</w:t>
      </w:r>
      <w:r>
        <w:t>.</w:t>
      </w:r>
      <w:r w:rsidRPr="003E7824">
        <w:t xml:space="preserve"> </w:t>
      </w:r>
      <w:r>
        <w:t xml:space="preserve">Less combustible </w:t>
      </w:r>
      <w:r w:rsidRPr="003E7824">
        <w:t>bulk fibr</w:t>
      </w:r>
      <w:r>
        <w:t>ous materials</w:t>
      </w:r>
      <w:r w:rsidRPr="003E7824">
        <w:t xml:space="preserve"> require more space, </w:t>
      </w:r>
      <w:r>
        <w:t xml:space="preserve">and </w:t>
      </w:r>
      <w:r w:rsidRPr="003E7824">
        <w:t xml:space="preserve">a foreseeable consequence may be </w:t>
      </w:r>
      <w:r>
        <w:t>‘</w:t>
      </w:r>
      <w:r w:rsidRPr="003E7824">
        <w:t xml:space="preserve">novel </w:t>
      </w:r>
      <w:r>
        <w:t>combination</w:t>
      </w:r>
      <w:r w:rsidRPr="003E7824">
        <w:t>s</w:t>
      </w:r>
      <w:r>
        <w:t xml:space="preserve"> of combustible materials’</w:t>
      </w:r>
      <w:r w:rsidRPr="003E7824">
        <w:t xml:space="preserve"> that lead to undermining of the fire safety requirements. </w:t>
      </w:r>
    </w:p>
    <w:p w:rsidR="002A0F2F" w:rsidRDefault="00C22205" w:rsidP="00C22205">
      <w:pPr>
        <w:pStyle w:val="BodyText"/>
      </w:pPr>
      <w:r w:rsidRPr="003E7824">
        <w:t>ASBEC</w:t>
      </w:r>
      <w:r>
        <w:t>,</w:t>
      </w:r>
      <w:r w:rsidRPr="003E7824">
        <w:t xml:space="preserve"> GBCA</w:t>
      </w:r>
      <w:r>
        <w:t xml:space="preserve"> and PCA feel that increases in the stringency of energy efficiency requirements could impact on safety and health if not properly implemented, and suggest that there is a role for government to improve industry capacity by providing or supporting the provision of training and to improve monitoring and enforcement. It is also suggested provisions to mitigate the risk of unintended consequences could be potentially included in relevant sections of the </w:t>
      </w:r>
      <w:r w:rsidR="00EB5964">
        <w:t>code</w:t>
      </w:r>
      <w:r>
        <w:t>.</w:t>
      </w:r>
      <w:r w:rsidR="002A0F2F">
        <w:t xml:space="preserve"> </w:t>
      </w:r>
    </w:p>
    <w:p w:rsidR="00C22205" w:rsidRDefault="00C22205" w:rsidP="00CD1E61">
      <w:pPr>
        <w:pStyle w:val="Heading3"/>
      </w:pPr>
      <w:r>
        <w:t>Amenity</w:t>
      </w:r>
    </w:p>
    <w:p w:rsidR="00C22205" w:rsidRDefault="00C22205" w:rsidP="00C22205">
      <w:pPr>
        <w:pStyle w:val="BodyText"/>
      </w:pPr>
      <w:r>
        <w:t>JMG points to amenity as an unintended impact, but does not provide further comments. Benmax Group argues that ‘reduction in light and in views will definitely be seen as a reduction in amenity’.</w:t>
      </w:r>
    </w:p>
    <w:p w:rsidR="00C22205" w:rsidRDefault="00C22205" w:rsidP="00C22205">
      <w:pPr>
        <w:pStyle w:val="BodyText"/>
      </w:pPr>
      <w:r w:rsidRPr="003E7824">
        <w:t>G.</w:t>
      </w:r>
      <w:r>
        <w:t xml:space="preserve"> </w:t>
      </w:r>
      <w:r w:rsidRPr="003E7824">
        <w:t xml:space="preserve">James highlights lighting level concerns as an area of diminished amenity and Sustainability </w:t>
      </w:r>
      <w:r>
        <w:t>H</w:t>
      </w:r>
      <w:r w:rsidRPr="003E7824">
        <w:t>ouse echoes this view and suggests this may lead to safety issues</w:t>
      </w:r>
      <w:r>
        <w:t xml:space="preserve"> (see above)</w:t>
      </w:r>
      <w:r w:rsidRPr="003E7824">
        <w:t xml:space="preserve">. </w:t>
      </w:r>
    </w:p>
    <w:p w:rsidR="00C22205" w:rsidRDefault="00C22205" w:rsidP="00C22205">
      <w:pPr>
        <w:pStyle w:val="BodyText"/>
      </w:pPr>
      <w:r>
        <w:t>PCA</w:t>
      </w:r>
      <w:r w:rsidRPr="003E7824">
        <w:t xml:space="preserve"> note</w:t>
      </w:r>
      <w:r>
        <w:t>s</w:t>
      </w:r>
      <w:r w:rsidRPr="003E7824">
        <w:t xml:space="preserve"> the difficulties achieving compliance in Class 9 buildings (WWR and the need for views and amenity for Class 9 occupants) will likely lead to the need for reduced window sizes due to stringency and this will impact on amenity. </w:t>
      </w:r>
    </w:p>
    <w:p w:rsidR="00C22205" w:rsidRDefault="00C22205" w:rsidP="00C22205">
      <w:pPr>
        <w:pStyle w:val="BodyText"/>
      </w:pPr>
      <w:r w:rsidRPr="003E7824">
        <w:t xml:space="preserve">MBA </w:t>
      </w:r>
      <w:r>
        <w:t xml:space="preserve">believes </w:t>
      </w:r>
      <w:r w:rsidRPr="003E7824">
        <w:t>changes will negatively impact occupant amenity</w:t>
      </w:r>
      <w:r>
        <w:t xml:space="preserve"> by reducing natural light and view resulted from reducing WWR (smaller windows)</w:t>
      </w:r>
      <w:r w:rsidRPr="003E7824">
        <w:t>.</w:t>
      </w:r>
      <w:r>
        <w:t xml:space="preserve"> It </w:t>
      </w:r>
      <w:r w:rsidRPr="003E7824">
        <w:t>go</w:t>
      </w:r>
      <w:r>
        <w:t>es</w:t>
      </w:r>
      <w:r w:rsidRPr="003E7824">
        <w:t xml:space="preserve"> further drawing on the philosophical argument energy efficiency is regional</w:t>
      </w:r>
      <w:r>
        <w:t>l</w:t>
      </w:r>
      <w:r w:rsidRPr="003E7824">
        <w:t xml:space="preserve">y specific and </w:t>
      </w:r>
      <w:r>
        <w:t xml:space="preserve">argues the NCC is the wrong place for the regional specific technical regulation. It feels </w:t>
      </w:r>
      <w:r w:rsidRPr="003E7824">
        <w:t xml:space="preserve">the </w:t>
      </w:r>
      <w:r>
        <w:t>principle g</w:t>
      </w:r>
      <w:r w:rsidRPr="003E7824">
        <w:t xml:space="preserve">oals of minimum necessary standards are now </w:t>
      </w:r>
      <w:r>
        <w:t xml:space="preserve">moved to more of a best practice standard. </w:t>
      </w:r>
    </w:p>
    <w:p w:rsidR="00C22205" w:rsidRDefault="00C22205" w:rsidP="00CD1E61">
      <w:pPr>
        <w:pStyle w:val="Heading3"/>
      </w:pPr>
      <w:r>
        <w:t>Accessibility</w:t>
      </w:r>
    </w:p>
    <w:p w:rsidR="00C22205" w:rsidRDefault="00E6622A" w:rsidP="00C22205">
      <w:pPr>
        <w:pStyle w:val="BodyText"/>
      </w:pPr>
      <w:r>
        <w:t xml:space="preserve">While this aspect of the code </w:t>
      </w:r>
      <w:r w:rsidR="00DF6E11">
        <w:t xml:space="preserve">taken in context with life safety and amenity is </w:t>
      </w:r>
      <w:r>
        <w:t>generally</w:t>
      </w:r>
      <w:r w:rsidR="00DF6E11">
        <w:t xml:space="preserve"> understood to </w:t>
      </w:r>
      <w:r w:rsidR="00BB30D0">
        <w:t>relate</w:t>
      </w:r>
      <w:r>
        <w:t xml:space="preserve"> to entering or leaving a buildings, some interpret this to be with respect to the written form</w:t>
      </w:r>
      <w:r w:rsidR="00D6125A">
        <w:t>’</w:t>
      </w:r>
      <w:r>
        <w:t xml:space="preserve">s digestibility. </w:t>
      </w:r>
      <w:r w:rsidR="00C22205">
        <w:t>It is generally noted in submissions that the NCC is complex and ‘some operators are not equipped with the appropriate knowledge and skill’ (ASBEC, PCA and GBCA).</w:t>
      </w:r>
    </w:p>
    <w:p w:rsidR="00C22205" w:rsidRDefault="00C22205" w:rsidP="00C22205">
      <w:pPr>
        <w:pStyle w:val="BodyText"/>
      </w:pPr>
      <w:r>
        <w:t xml:space="preserve">PCA also provides specific suggestions to assist industry including </w:t>
      </w:r>
    </w:p>
    <w:p w:rsidR="00C22205" w:rsidRDefault="00C22205" w:rsidP="00C22205">
      <w:pPr>
        <w:pStyle w:val="ListBullet"/>
      </w:pPr>
      <w:r>
        <w:t xml:space="preserve">guidelines in plain English; </w:t>
      </w:r>
    </w:p>
    <w:p w:rsidR="00C22205" w:rsidRDefault="00C22205" w:rsidP="00C22205">
      <w:pPr>
        <w:pStyle w:val="ListBullet"/>
      </w:pPr>
      <w:r>
        <w:t>simple calculators for the DTS façade provisions;</w:t>
      </w:r>
    </w:p>
    <w:p w:rsidR="00C22205" w:rsidRDefault="00C22205" w:rsidP="00C22205">
      <w:pPr>
        <w:pStyle w:val="ListBullet"/>
      </w:pPr>
      <w:r>
        <w:t xml:space="preserve"> training materials and courses for designers, architects, builders, surveyors and consultants, and </w:t>
      </w:r>
    </w:p>
    <w:p w:rsidR="00C22205" w:rsidRDefault="00C22205" w:rsidP="00C22205">
      <w:pPr>
        <w:pStyle w:val="ListBullet"/>
      </w:pPr>
      <w:r>
        <w:t>an online forum for Q&amp;A.</w:t>
      </w:r>
    </w:p>
    <w:p w:rsidR="00297A4C" w:rsidRDefault="00297A4C" w:rsidP="00612FD3">
      <w:pPr>
        <w:pStyle w:val="BodyText"/>
      </w:pPr>
      <w:r>
        <w:t xml:space="preserve">With regard to amenity, it is the case that energy </w:t>
      </w:r>
      <w:r w:rsidR="00BB30D0">
        <w:t>efficiency</w:t>
      </w:r>
      <w:r>
        <w:t xml:space="preserve"> has not proved a barrier to </w:t>
      </w:r>
      <w:r w:rsidR="00BB30D0">
        <w:t>achieving</w:t>
      </w:r>
      <w:r>
        <w:t xml:space="preserve"> high levels of occupant </w:t>
      </w:r>
      <w:r w:rsidR="00BB30D0">
        <w:t>amenity</w:t>
      </w:r>
      <w:r>
        <w:t xml:space="preserve"> in practice. </w:t>
      </w:r>
      <w:r w:rsidR="00904FC5">
        <w:t xml:space="preserve">A number of </w:t>
      </w:r>
      <w:r>
        <w:t xml:space="preserve">case studies </w:t>
      </w:r>
      <w:r w:rsidR="00904FC5">
        <w:t>provide further evidence that c</w:t>
      </w:r>
      <w:r>
        <w:t>oncurrent NCC requireme</w:t>
      </w:r>
      <w:r w:rsidR="008821C1">
        <w:t>n</w:t>
      </w:r>
      <w:r>
        <w:t xml:space="preserve">ts for amenity safe movement and access </w:t>
      </w:r>
      <w:r w:rsidR="00904FC5">
        <w:t>can be achieved under the stringency proposed</w:t>
      </w:r>
      <w:r>
        <w:t xml:space="preserve">. </w:t>
      </w:r>
    </w:p>
    <w:p w:rsidR="005E105F" w:rsidRDefault="00297A4C" w:rsidP="00612FD3">
      <w:pPr>
        <w:pStyle w:val="BodyText"/>
      </w:pPr>
      <w:r>
        <w:t>Similarly, and t</w:t>
      </w:r>
      <w:r w:rsidR="002A0F2F">
        <w:t xml:space="preserve">hough non-specific, </w:t>
      </w:r>
      <w:r>
        <w:t>concerns over the</w:t>
      </w:r>
      <w:r w:rsidR="002A0F2F">
        <w:t xml:space="preserve"> </w:t>
      </w:r>
      <w:r>
        <w:t xml:space="preserve">suitability of </w:t>
      </w:r>
      <w:r w:rsidR="002A0F2F">
        <w:t xml:space="preserve"> materials </w:t>
      </w:r>
      <w:r>
        <w:t xml:space="preserve"> need to be considered in light of other </w:t>
      </w:r>
      <w:r w:rsidR="002A0F2F">
        <w:t xml:space="preserve">NCC requirements </w:t>
      </w:r>
      <w:r>
        <w:t xml:space="preserve">including those </w:t>
      </w:r>
      <w:r w:rsidR="002A0F2F">
        <w:t xml:space="preserve">for fire safety. </w:t>
      </w:r>
      <w:r w:rsidR="00E83B21">
        <w:t>It</w:t>
      </w:r>
      <w:r w:rsidR="002A0F2F">
        <w:t xml:space="preserve"> is clear with respect to </w:t>
      </w:r>
      <w:r w:rsidR="00904FC5">
        <w:t xml:space="preserve">where materials need to be non-combustible in buildings </w:t>
      </w:r>
      <w:r>
        <w:t xml:space="preserve">and </w:t>
      </w:r>
      <w:r w:rsidR="00904FC5">
        <w:t xml:space="preserve">the </w:t>
      </w:r>
      <w:r w:rsidR="00E64509">
        <w:t xml:space="preserve">comprehensive </w:t>
      </w:r>
      <w:r w:rsidR="00904FC5">
        <w:t xml:space="preserve">package of measures </w:t>
      </w:r>
      <w:r w:rsidR="00E64509">
        <w:t xml:space="preserve">delivered </w:t>
      </w:r>
      <w:r w:rsidR="00904FC5">
        <w:t>in 201</w:t>
      </w:r>
      <w:r w:rsidR="00E64509">
        <w:t>8</w:t>
      </w:r>
      <w:r w:rsidR="00904FC5">
        <w:t xml:space="preserve"> compliment the</w:t>
      </w:r>
      <w:r w:rsidR="00E64509">
        <w:t xml:space="preserve"> NCC 2016 Amendment 1 and the </w:t>
      </w:r>
      <w:r w:rsidR="00904FC5">
        <w:t xml:space="preserve">consideration of </w:t>
      </w:r>
      <w:r w:rsidR="002A0F2F">
        <w:t>evidence of suitability</w:t>
      </w:r>
      <w:r w:rsidR="00E64509">
        <w:t>. E</w:t>
      </w:r>
      <w:r w:rsidR="002A0F2F">
        <w:t>ducation and awareness raising activities</w:t>
      </w:r>
      <w:r w:rsidR="00904FC5">
        <w:t xml:space="preserve"> relating to both these requirements and </w:t>
      </w:r>
      <w:r w:rsidR="002A0F2F">
        <w:t xml:space="preserve"> </w:t>
      </w:r>
      <w:r>
        <w:t xml:space="preserve"> </w:t>
      </w:r>
      <w:r w:rsidR="00BB30D0">
        <w:t>additional</w:t>
      </w:r>
      <w:r>
        <w:t xml:space="preserve"> </w:t>
      </w:r>
      <w:r w:rsidR="002A0F2F">
        <w:t xml:space="preserve">material </w:t>
      </w:r>
      <w:r w:rsidR="00904FC5">
        <w:t>will</w:t>
      </w:r>
      <w:r w:rsidR="002A0F2F">
        <w:t xml:space="preserve"> </w:t>
      </w:r>
      <w:r>
        <w:t xml:space="preserve">assist industry with </w:t>
      </w:r>
      <w:r w:rsidR="002A0F2F">
        <w:t>interpret</w:t>
      </w:r>
      <w:r>
        <w:t>ing</w:t>
      </w:r>
      <w:r w:rsidR="002A0F2F">
        <w:t xml:space="preserve"> and compliment the introduction of NCC 2019</w:t>
      </w:r>
      <w:r w:rsidR="00227C65">
        <w:t xml:space="preserve"> for Section J (</w:t>
      </w:r>
      <w:r>
        <w:t>s</w:t>
      </w:r>
      <w:r w:rsidR="00227C65">
        <w:t>ee implementation and review).</w:t>
      </w:r>
    </w:p>
    <w:p w:rsidR="00612FD3" w:rsidRDefault="00612FD3" w:rsidP="00612FD3">
      <w:pPr>
        <w:pStyle w:val="Heading1"/>
        <w:numPr>
          <w:ilvl w:val="0"/>
          <w:numId w:val="5"/>
        </w:numPr>
      </w:pPr>
      <w:bookmarkStart w:id="3176" w:name="_Toc499847006"/>
      <w:bookmarkStart w:id="3177" w:name="_Toc505120601"/>
      <w:bookmarkStart w:id="3178" w:name="_Toc507523759"/>
      <w:bookmarkStart w:id="3179" w:name="_Toc509220792"/>
      <w:bookmarkStart w:id="3180" w:name="_Toc529869857"/>
      <w:bookmarkStart w:id="3181" w:name="_Toc530748575"/>
      <w:r>
        <w:t>Cost-benefit analysis</w:t>
      </w:r>
      <w:bookmarkEnd w:id="3176"/>
      <w:bookmarkEnd w:id="3177"/>
      <w:bookmarkEnd w:id="3178"/>
      <w:bookmarkEnd w:id="3179"/>
      <w:bookmarkEnd w:id="3180"/>
      <w:bookmarkEnd w:id="3181"/>
    </w:p>
    <w:p w:rsidR="00612FD3" w:rsidRDefault="00612FD3" w:rsidP="00612FD3">
      <w:pPr>
        <w:pStyle w:val="Heading2"/>
        <w:numPr>
          <w:ilvl w:val="1"/>
          <w:numId w:val="5"/>
        </w:numPr>
        <w:rPr>
          <w:lang w:val="en-GB"/>
        </w:rPr>
      </w:pPr>
      <w:bookmarkStart w:id="3182" w:name="_Toc529869858"/>
      <w:bookmarkStart w:id="3183" w:name="_Toc530748576"/>
      <w:r>
        <w:rPr>
          <w:lang w:val="en-GB"/>
        </w:rPr>
        <w:t>Building level net impacts</w:t>
      </w:r>
      <w:bookmarkEnd w:id="3182"/>
      <w:bookmarkEnd w:id="3183"/>
    </w:p>
    <w:p w:rsidR="00914293" w:rsidRDefault="00914293" w:rsidP="00914293">
      <w:pPr>
        <w:pStyle w:val="Heading3"/>
        <w:rPr>
          <w:lang w:val="en-GB"/>
        </w:rPr>
      </w:pPr>
      <w:r>
        <w:rPr>
          <w:lang w:val="en-GB"/>
        </w:rPr>
        <w:t>Building level impacts by state</w:t>
      </w:r>
    </w:p>
    <w:p w:rsidR="00914293" w:rsidRDefault="00914293" w:rsidP="00914293">
      <w:pPr>
        <w:pStyle w:val="BodyText"/>
        <w:rPr>
          <w:lang w:val="en-GB"/>
        </w:rPr>
      </w:pPr>
      <w:r>
        <w:rPr>
          <w:lang w:val="en-GB"/>
        </w:rPr>
        <w:t xml:space="preserve">In addition to variations across building type and </w:t>
      </w:r>
      <w:r w:rsidR="00E31EE8">
        <w:rPr>
          <w:lang w:val="en-GB"/>
        </w:rPr>
        <w:t>Climate Zone</w:t>
      </w:r>
      <w:r>
        <w:rPr>
          <w:lang w:val="en-GB"/>
        </w:rPr>
        <w:t>, net benefits will depend on energy prices, as well as the GHG</w:t>
      </w:r>
      <w:r>
        <w:rPr>
          <w:lang w:val="en-GB"/>
        </w:rPr>
        <w:noBreakHyphen/>
        <w:t>intensity of energy, which vary across states.</w:t>
      </w:r>
    </w:p>
    <w:p w:rsidR="009B7A50" w:rsidRDefault="004E0119" w:rsidP="00914293">
      <w:pPr>
        <w:pStyle w:val="BodyText"/>
        <w:rPr>
          <w:lang w:val="en-GB"/>
        </w:rPr>
      </w:pPr>
      <w:r>
        <w:rPr>
          <w:lang w:val="en-GB"/>
        </w:rPr>
        <w:t xml:space="preserve">In general, the proposed changes to the NCC are estimated to result in a net benefit across most building types, </w:t>
      </w:r>
      <w:r w:rsidR="005224E8">
        <w:rPr>
          <w:lang w:val="en-GB"/>
        </w:rPr>
        <w:t>jurisdictions</w:t>
      </w:r>
      <w:r>
        <w:rPr>
          <w:lang w:val="en-GB"/>
        </w:rPr>
        <w:t xml:space="preserve"> and </w:t>
      </w:r>
      <w:r w:rsidR="00E31EE8">
        <w:rPr>
          <w:lang w:val="en-GB"/>
        </w:rPr>
        <w:t>Climate Zone</w:t>
      </w:r>
      <w:r>
        <w:rPr>
          <w:lang w:val="en-GB"/>
        </w:rPr>
        <w:t>s. Key exceptions are as follows.</w:t>
      </w:r>
    </w:p>
    <w:p w:rsidR="004E0119" w:rsidRDefault="004E0119" w:rsidP="004E0119">
      <w:pPr>
        <w:pStyle w:val="ListBullet"/>
        <w:rPr>
          <w:lang w:val="en-GB"/>
        </w:rPr>
      </w:pPr>
      <w:r>
        <w:rPr>
          <w:lang w:val="en-GB"/>
        </w:rPr>
        <w:t xml:space="preserve">There is estimated to be a </w:t>
      </w:r>
      <w:r w:rsidR="005224E8">
        <w:rPr>
          <w:lang w:val="en-GB"/>
        </w:rPr>
        <w:t xml:space="preserve">small </w:t>
      </w:r>
      <w:r>
        <w:rPr>
          <w:lang w:val="en-GB"/>
        </w:rPr>
        <w:t>net cost for the retail building</w:t>
      </w:r>
      <w:r w:rsidR="005224E8">
        <w:rPr>
          <w:lang w:val="en-GB"/>
        </w:rPr>
        <w:t>s</w:t>
      </w:r>
      <w:r>
        <w:rPr>
          <w:lang w:val="en-GB"/>
        </w:rPr>
        <w:t xml:space="preserve"> in </w:t>
      </w:r>
      <w:r w:rsidR="00E31EE8">
        <w:rPr>
          <w:lang w:val="en-GB"/>
        </w:rPr>
        <w:t>Climate Zone</w:t>
      </w:r>
      <w:r>
        <w:rPr>
          <w:lang w:val="en-GB"/>
        </w:rPr>
        <w:t xml:space="preserve"> 7</w:t>
      </w:r>
      <w:r w:rsidR="00EC6A9C">
        <w:rPr>
          <w:lang w:val="en-GB"/>
        </w:rPr>
        <w:t>.</w:t>
      </w:r>
    </w:p>
    <w:p w:rsidR="004E0119" w:rsidRDefault="004E0119" w:rsidP="004E0119">
      <w:pPr>
        <w:pStyle w:val="ListBullet"/>
        <w:rPr>
          <w:lang w:val="en-GB"/>
        </w:rPr>
      </w:pPr>
      <w:r>
        <w:rPr>
          <w:lang w:val="en-GB"/>
        </w:rPr>
        <w:t xml:space="preserve">There is also estimated to be a </w:t>
      </w:r>
      <w:r w:rsidR="005224E8">
        <w:rPr>
          <w:lang w:val="en-GB"/>
        </w:rPr>
        <w:t xml:space="preserve">small </w:t>
      </w:r>
      <w:r>
        <w:rPr>
          <w:lang w:val="en-GB"/>
        </w:rPr>
        <w:t>net cost for the healthcare building</w:t>
      </w:r>
      <w:r w:rsidR="005224E8">
        <w:rPr>
          <w:lang w:val="en-GB"/>
        </w:rPr>
        <w:t>s</w:t>
      </w:r>
      <w:r>
        <w:rPr>
          <w:lang w:val="en-GB"/>
        </w:rPr>
        <w:t xml:space="preserve"> in</w:t>
      </w:r>
      <w:r w:rsidR="00EC6A9C">
        <w:rPr>
          <w:lang w:val="en-GB"/>
        </w:rPr>
        <w:t xml:space="preserve"> </w:t>
      </w:r>
      <w:r w:rsidR="00E31EE8">
        <w:rPr>
          <w:lang w:val="en-GB"/>
        </w:rPr>
        <w:t>Climate Zone</w:t>
      </w:r>
      <w:r w:rsidR="00EC6A9C">
        <w:rPr>
          <w:lang w:val="en-GB"/>
        </w:rPr>
        <w:t xml:space="preserve">s 6 and 7 (and </w:t>
      </w:r>
      <w:r w:rsidR="00E31EE8">
        <w:rPr>
          <w:lang w:val="en-GB"/>
        </w:rPr>
        <w:t>Climate Zone</w:t>
      </w:r>
      <w:r w:rsidR="00EC6A9C">
        <w:rPr>
          <w:lang w:val="en-GB"/>
        </w:rPr>
        <w:t xml:space="preserve">s 4 and 5 </w:t>
      </w:r>
      <w:r w:rsidR="006F506E">
        <w:rPr>
          <w:lang w:val="en-GB"/>
        </w:rPr>
        <w:t xml:space="preserve">in </w:t>
      </w:r>
      <w:r w:rsidR="00BB30D0">
        <w:rPr>
          <w:lang w:val="en-GB"/>
        </w:rPr>
        <w:t>most</w:t>
      </w:r>
      <w:r w:rsidR="006F506E">
        <w:rPr>
          <w:lang w:val="en-GB"/>
        </w:rPr>
        <w:t xml:space="preserve"> </w:t>
      </w:r>
      <w:r w:rsidR="005224E8">
        <w:rPr>
          <w:lang w:val="en-GB"/>
        </w:rPr>
        <w:t>jurisdictions</w:t>
      </w:r>
      <w:r w:rsidR="006F506E">
        <w:rPr>
          <w:lang w:val="en-GB"/>
        </w:rPr>
        <w:t xml:space="preserve"> </w:t>
      </w:r>
      <w:r w:rsidR="00EC6A9C">
        <w:rPr>
          <w:lang w:val="en-GB"/>
        </w:rPr>
        <w:t>under the low realisation scenario).</w:t>
      </w:r>
    </w:p>
    <w:p w:rsidR="000E2732" w:rsidRDefault="000E2732" w:rsidP="000E2732">
      <w:pPr>
        <w:pStyle w:val="BodyText"/>
        <w:rPr>
          <w:lang w:val="en-GB"/>
        </w:rPr>
      </w:pPr>
      <w:r>
        <w:rPr>
          <w:lang w:val="en-GB"/>
        </w:rPr>
        <w:t xml:space="preserve">The net cost for the healthcare building in cooler </w:t>
      </w:r>
      <w:r w:rsidR="00E31EE8">
        <w:rPr>
          <w:lang w:val="en-GB"/>
        </w:rPr>
        <w:t>Climate Zone</w:t>
      </w:r>
      <w:r>
        <w:rPr>
          <w:lang w:val="en-GB"/>
        </w:rPr>
        <w:t xml:space="preserve">s relates to the less stringent (and less expensive) façade requirements. </w:t>
      </w:r>
      <w:r w:rsidR="004C640F">
        <w:rPr>
          <w:lang w:val="en-GB"/>
        </w:rPr>
        <w:t>The healthcare building archetype has a low WWR and a relatively high envelope surface area to volume ratio. As such, increased energy consumption for heating outweighs energy savings for cooling.</w:t>
      </w:r>
    </w:p>
    <w:p w:rsidR="00EC6A9C" w:rsidRDefault="00EC6A9C" w:rsidP="00EC6A9C">
      <w:pPr>
        <w:pStyle w:val="BodyText"/>
      </w:pPr>
      <w:r>
        <w:t xml:space="preserve">The proposed changes will apply to all </w:t>
      </w:r>
      <w:r w:rsidR="00E31EE8">
        <w:t>Climate Zone</w:t>
      </w:r>
      <w:r>
        <w:t>s albeit with variation in specific requirement because exclusion of particular zones was not feasible for the following reasons:</w:t>
      </w:r>
    </w:p>
    <w:p w:rsidR="00EC6A9C" w:rsidRDefault="00EC6A9C" w:rsidP="00EC6A9C">
      <w:pPr>
        <w:pStyle w:val="ListBullet"/>
        <w:numPr>
          <w:ilvl w:val="0"/>
          <w:numId w:val="45"/>
        </w:numPr>
      </w:pPr>
      <w:r>
        <w:t>In general stringency updates underlying reference building schedules and performance quantification would be incompatible with existing methods, undermine objectives and lead to confusion in the market.</w:t>
      </w:r>
    </w:p>
    <w:p w:rsidR="00EC6A9C" w:rsidRDefault="00EC6A9C" w:rsidP="00EC6A9C">
      <w:pPr>
        <w:pStyle w:val="ListBullet"/>
        <w:numPr>
          <w:ilvl w:val="0"/>
          <w:numId w:val="45"/>
        </w:numPr>
      </w:pPr>
      <w:r>
        <w:t>The stringency of DTS services provisions were selected to optimise outcomes and correct over stringency in a number of cases, which suggests poorer design outcomes need to be considered in this context.</w:t>
      </w:r>
    </w:p>
    <w:p w:rsidR="000E1652" w:rsidRDefault="00EC6A9C" w:rsidP="002B3C0A">
      <w:pPr>
        <w:pStyle w:val="ListBullet"/>
      </w:pPr>
      <w:r>
        <w:t xml:space="preserve">Due to methodology change, there is no flexibility to retain the existing requirements for façade which would require a duplication of provisions and methods which would be complex and unworkable particularly for mixed use buildings. </w:t>
      </w:r>
    </w:p>
    <w:p w:rsidR="00EC6A9C" w:rsidRDefault="00EC6A9C" w:rsidP="002B3C0A">
      <w:pPr>
        <w:pStyle w:val="ListBullet"/>
      </w:pPr>
      <w:r>
        <w:t>Fundamental changes to façade provisions mean guidance and advisory material require withdrawing or updating.</w:t>
      </w:r>
    </w:p>
    <w:p w:rsidR="00612FD3" w:rsidRDefault="00612FD3" w:rsidP="00914293">
      <w:pPr>
        <w:pStyle w:val="Heading4"/>
        <w:rPr>
          <w:lang w:val="en-GB"/>
        </w:rPr>
      </w:pPr>
      <w:r>
        <w:rPr>
          <w:lang w:val="en-GB"/>
        </w:rPr>
        <w:t>New South Wales</w:t>
      </w:r>
    </w:p>
    <w:p w:rsidR="00612FD3" w:rsidRDefault="00612FD3" w:rsidP="00612FD3">
      <w:pPr>
        <w:pStyle w:val="BodyText"/>
        <w:rPr>
          <w:lang w:val="en-GB"/>
        </w:rPr>
      </w:pPr>
      <w:r>
        <w:rPr>
          <w:lang w:val="en-GB"/>
        </w:rPr>
        <w:t xml:space="preserve">New South Wales spans </w:t>
      </w:r>
      <w:r w:rsidR="00E31EE8">
        <w:rPr>
          <w:lang w:val="en-GB"/>
        </w:rPr>
        <w:t>Climate Zone</w:t>
      </w:r>
      <w:r>
        <w:rPr>
          <w:lang w:val="en-GB"/>
        </w:rPr>
        <w:t>s 2 and 4</w:t>
      </w:r>
      <w:r>
        <w:rPr>
          <w:lang w:val="en-GB"/>
        </w:rPr>
        <w:noBreakHyphen/>
        <w:t xml:space="preserve">8 (although </w:t>
      </w:r>
      <w:r w:rsidR="00E31EE8">
        <w:rPr>
          <w:lang w:val="en-GB"/>
        </w:rPr>
        <w:t>Climate Zone</w:t>
      </w:r>
      <w:r>
        <w:rPr>
          <w:lang w:val="en-GB"/>
        </w:rPr>
        <w:t xml:space="preserve"> 8 has not been modelled). Based on </w:t>
      </w:r>
      <w:r w:rsidR="003F28DD">
        <w:rPr>
          <w:lang w:val="en-GB"/>
        </w:rPr>
        <w:t>EA</w:t>
      </w:r>
      <w:r>
        <w:rPr>
          <w:lang w:val="en-GB"/>
        </w:rPr>
        <w:t xml:space="preserve"> modelling, the net benefit per square metre of floor space is shown in table </w:t>
      </w:r>
      <w:r w:rsidR="001640D9">
        <w:rPr>
          <w:lang w:val="en-GB"/>
        </w:rPr>
        <w:fldChar w:fldCharType="begin"/>
      </w:r>
      <w:r w:rsidR="001640D9">
        <w:rPr>
          <w:lang w:val="en-GB"/>
        </w:rPr>
        <w:instrText xml:space="preserve"> REF _Caption9847 </w:instrText>
      </w:r>
      <w:r w:rsidR="001640D9">
        <w:rPr>
          <w:lang w:val="en-GB"/>
        </w:rPr>
        <w:fldChar w:fldCharType="separate"/>
      </w:r>
      <w:r w:rsidR="006B79B8">
        <w:rPr>
          <w:noProof/>
        </w:rPr>
        <w:t>8</w:t>
      </w:r>
      <w:r w:rsidR="006B79B8" w:rsidRPr="00563472">
        <w:rPr>
          <w:noProof/>
        </w:rPr>
        <w:t>.</w:t>
      </w:r>
      <w:r w:rsidR="006B79B8">
        <w:rPr>
          <w:noProof/>
        </w:rPr>
        <w:t>1</w:t>
      </w:r>
      <w:r w:rsidR="001640D9">
        <w:rPr>
          <w:lang w:val="en-GB"/>
        </w:rPr>
        <w:fldChar w:fldCharType="end"/>
      </w:r>
      <w:r>
        <w:rPr>
          <w:lang w:val="en-GB"/>
        </w:rPr>
        <w:t xml:space="preserve">. The modelling suggests that the proposed changes to the NCC would deliver a net benefit in NSW across most building types and </w:t>
      </w:r>
      <w:r w:rsidR="00E31EE8">
        <w:rPr>
          <w:lang w:val="en-GB"/>
        </w:rPr>
        <w:t>Climate Zone</w:t>
      </w:r>
      <w:r>
        <w:rPr>
          <w:lang w:val="en-GB"/>
        </w:rPr>
        <w:t>s.</w:t>
      </w:r>
    </w:p>
    <w:p w:rsidR="00612FD3" w:rsidRDefault="00612FD3" w:rsidP="00612FD3">
      <w:pPr>
        <w:pStyle w:val="ListBullet"/>
        <w:numPr>
          <w:ilvl w:val="0"/>
          <w:numId w:val="36"/>
        </w:numPr>
        <w:rPr>
          <w:lang w:val="en-GB"/>
        </w:rPr>
      </w:pPr>
      <w:r>
        <w:rPr>
          <w:lang w:val="en-GB"/>
        </w:rPr>
        <w:t xml:space="preserve">The key exceptions are the healthcare building in </w:t>
      </w:r>
      <w:r w:rsidR="00E31EE8">
        <w:rPr>
          <w:lang w:val="en-GB"/>
        </w:rPr>
        <w:t>Climate Zone</w:t>
      </w:r>
      <w:r>
        <w:rPr>
          <w:lang w:val="en-GB"/>
        </w:rPr>
        <w:t xml:space="preserve"> 6 and 7 and the retail building in </w:t>
      </w:r>
      <w:r w:rsidR="00E31EE8">
        <w:rPr>
          <w:lang w:val="en-GB"/>
        </w:rPr>
        <w:t>Climate Zone</w:t>
      </w:r>
      <w:r>
        <w:rPr>
          <w:lang w:val="en-GB"/>
        </w:rPr>
        <w:t xml:space="preserve"> 7.</w:t>
      </w:r>
    </w:p>
    <w:p w:rsidR="00612FD3" w:rsidRDefault="00612FD3" w:rsidP="00612FD3">
      <w:pPr>
        <w:pStyle w:val="ListBullet2"/>
        <w:numPr>
          <w:ilvl w:val="1"/>
          <w:numId w:val="36"/>
        </w:numPr>
        <w:rPr>
          <w:lang w:val="en-GB"/>
        </w:rPr>
      </w:pPr>
      <w:r>
        <w:rPr>
          <w:lang w:val="en-GB"/>
        </w:rPr>
        <w:t xml:space="preserve">As noted above, the modelling suggests that energy consumption would increase in the healthcare building in </w:t>
      </w:r>
      <w:r w:rsidR="00E31EE8">
        <w:rPr>
          <w:lang w:val="en-GB"/>
        </w:rPr>
        <w:t>Climate Zone</w:t>
      </w:r>
      <w:r>
        <w:rPr>
          <w:lang w:val="en-GB"/>
        </w:rPr>
        <w:t>s 6 and 7.</w:t>
      </w:r>
    </w:p>
    <w:p w:rsidR="00612FD3" w:rsidRDefault="00612FD3" w:rsidP="00612FD3">
      <w:pPr>
        <w:pStyle w:val="ListBullet2"/>
        <w:numPr>
          <w:ilvl w:val="1"/>
          <w:numId w:val="36"/>
        </w:numPr>
        <w:rPr>
          <w:lang w:val="en-GB"/>
        </w:rPr>
      </w:pPr>
      <w:r>
        <w:rPr>
          <w:lang w:val="en-GB"/>
        </w:rPr>
        <w:t xml:space="preserve">In the retail building in </w:t>
      </w:r>
      <w:r w:rsidR="00E31EE8">
        <w:rPr>
          <w:lang w:val="en-GB"/>
        </w:rPr>
        <w:t>Climate Zone</w:t>
      </w:r>
      <w:r>
        <w:rPr>
          <w:lang w:val="en-GB"/>
        </w:rPr>
        <w:t xml:space="preserve"> 6, compliance costs are estimated to outweigh modest bill savings (based on NSW energy prices).</w:t>
      </w:r>
    </w:p>
    <w:p w:rsidR="00612FD3" w:rsidRDefault="00612FD3" w:rsidP="00612FD3">
      <w:pPr>
        <w:pStyle w:val="ListBullet"/>
        <w:numPr>
          <w:ilvl w:val="0"/>
          <w:numId w:val="36"/>
        </w:numPr>
        <w:rPr>
          <w:lang w:val="en-GB"/>
        </w:rPr>
      </w:pPr>
      <w:r>
        <w:rPr>
          <w:lang w:val="en-GB"/>
        </w:rPr>
        <w:t xml:space="preserve">Net benefits per square metre of floor space tend to be highest for hotels and schools, largely because compliance costs tend to be low (or negative in some </w:t>
      </w:r>
      <w:r w:rsidR="00E31EE8">
        <w:rPr>
          <w:lang w:val="en-GB"/>
        </w:rPr>
        <w:t>Climate Zone</w:t>
      </w:r>
      <w:r>
        <w:rPr>
          <w:lang w:val="en-GB"/>
        </w:rPr>
        <w:t xml:space="preserve">s) (see appendix </w:t>
      </w:r>
      <w:r w:rsidR="00EC6A9C">
        <w:rPr>
          <w:lang w:val="en-GB"/>
        </w:rPr>
        <w:t xml:space="preserve">I </w:t>
      </w:r>
      <w:r>
        <w:rPr>
          <w:lang w:val="en-GB"/>
        </w:rPr>
        <w:t>for further details).</w:t>
      </w:r>
    </w:p>
    <w:p w:rsidR="00612FD3" w:rsidRDefault="00612FD3" w:rsidP="00612FD3">
      <w:pPr>
        <w:pStyle w:val="ListBullet"/>
        <w:numPr>
          <w:ilvl w:val="0"/>
          <w:numId w:val="36"/>
        </w:numPr>
        <w:rPr>
          <w:lang w:val="en-GB"/>
        </w:rPr>
      </w:pPr>
      <w:r>
        <w:rPr>
          <w:lang w:val="en-GB"/>
        </w:rPr>
        <w:t>Net benefits per square metre of floor space tend to be modest for office buildings.</w:t>
      </w:r>
    </w:p>
    <w:p w:rsidR="00612FD3" w:rsidRDefault="00612FD3" w:rsidP="00612FD3">
      <w:pPr>
        <w:pStyle w:val="Caption"/>
      </w:pPr>
      <w:r w:rsidRPr="00563472">
        <w:fldChar w:fldCharType="begin"/>
      </w:r>
      <w:r w:rsidRPr="00563472">
        <w:instrText xml:space="preserve"> IF 1 = 1 "</w:instrText>
      </w:r>
      <w:r w:rsidRPr="00563472">
        <w:fldChar w:fldCharType="begin"/>
      </w:r>
      <w:r w:rsidRPr="00563472">
        <w:instrText xml:space="preserve"> IF </w:instrText>
      </w:r>
      <w:r w:rsidRPr="00563472">
        <w:rPr>
          <w:noProof/>
        </w:rPr>
        <w:fldChar w:fldCharType="begin"/>
      </w:r>
      <w:r w:rsidRPr="00563472">
        <w:rPr>
          <w:noProof/>
        </w:rPr>
        <w:instrText xml:space="preserve"> STYLEREF "Heading 6" \l \n </w:instrText>
      </w:r>
      <w:r w:rsidRPr="00563472">
        <w:rPr>
          <w:noProof/>
        </w:rPr>
        <w:fldChar w:fldCharType="separate"/>
      </w:r>
      <w:r w:rsidR="00B833F1">
        <w:rPr>
          <w:noProof/>
        </w:rPr>
        <w:instrText>0</w:instrText>
      </w:r>
      <w:r w:rsidRPr="00563472">
        <w:rPr>
          <w:noProof/>
        </w:rPr>
        <w:fldChar w:fldCharType="end"/>
      </w:r>
      <w:r w:rsidRPr="00563472">
        <w:instrText xml:space="preserve"> = 0 "</w:instrText>
      </w:r>
      <w:r w:rsidRPr="00563472">
        <w:fldChar w:fldCharType="begin"/>
      </w:r>
      <w:r w:rsidRPr="00563472">
        <w:instrText xml:space="preserve"> IF </w:instrText>
      </w:r>
      <w:r w:rsidRPr="00563472">
        <w:rPr>
          <w:noProof/>
        </w:rPr>
        <w:fldChar w:fldCharType="begin"/>
      </w:r>
      <w:r w:rsidRPr="00563472">
        <w:rPr>
          <w:noProof/>
        </w:rPr>
        <w:instrText xml:space="preserve"> STYLEREF "Heading 1" \l \n </w:instrText>
      </w:r>
      <w:r w:rsidRPr="00563472">
        <w:rPr>
          <w:noProof/>
        </w:rPr>
        <w:fldChar w:fldCharType="separate"/>
      </w:r>
      <w:r w:rsidR="00B833F1">
        <w:rPr>
          <w:noProof/>
        </w:rPr>
        <w:instrText>8</w:instrText>
      </w:r>
      <w:r w:rsidRPr="00563472">
        <w:rPr>
          <w:noProof/>
        </w:rPr>
        <w:fldChar w:fldCharType="end"/>
      </w:r>
      <w:r w:rsidRPr="00563472">
        <w:instrText xml:space="preserve"> = 0 "" "</w:instrText>
      </w:r>
      <w:r w:rsidRPr="00563472">
        <w:rPr>
          <w:noProof/>
        </w:rPr>
        <w:fldChar w:fldCharType="begin"/>
      </w:r>
      <w:r w:rsidRPr="00563472">
        <w:rPr>
          <w:noProof/>
        </w:rPr>
        <w:instrText xml:space="preserve"> STYLEREF "Heading 1" \l \n </w:instrText>
      </w:r>
      <w:r w:rsidRPr="00563472">
        <w:rPr>
          <w:noProof/>
        </w:rPr>
        <w:fldChar w:fldCharType="separate"/>
      </w:r>
      <w:r w:rsidR="00B833F1">
        <w:rPr>
          <w:noProof/>
        </w:rPr>
        <w:instrText>8</w:instrText>
      </w:r>
      <w:r w:rsidRPr="00563472">
        <w:rPr>
          <w:noProof/>
        </w:rPr>
        <w:fldChar w:fldCharType="end"/>
      </w:r>
      <w:r w:rsidRPr="00563472">
        <w:instrText xml:space="preserve">." </w:instrText>
      </w:r>
      <w:r w:rsidRPr="00563472">
        <w:fldChar w:fldCharType="separate"/>
      </w:r>
      <w:r w:rsidR="00B833F1">
        <w:rPr>
          <w:noProof/>
        </w:rPr>
        <w:instrText>8</w:instrText>
      </w:r>
      <w:r w:rsidR="00B833F1" w:rsidRPr="00563472">
        <w:rPr>
          <w:noProof/>
        </w:rPr>
        <w:instrText>.</w:instrText>
      </w:r>
      <w:r w:rsidRPr="00563472">
        <w:fldChar w:fldCharType="end"/>
      </w:r>
      <w:r w:rsidRPr="00563472">
        <w:instrText>" "</w:instrText>
      </w:r>
      <w:r w:rsidR="001F6F43">
        <w:fldChar w:fldCharType="begin"/>
      </w:r>
      <w:r w:rsidR="001F6F43">
        <w:instrText xml:space="preserve"> STYLEREF "Heading 6" \l \n </w:instrText>
      </w:r>
      <w:r w:rsidR="001F6F43">
        <w:fldChar w:fldCharType="separate"/>
      </w:r>
      <w:r w:rsidRPr="00563472">
        <w:instrText>B</w:instrText>
      </w:r>
      <w:r w:rsidR="001F6F43">
        <w:fldChar w:fldCharType="end"/>
      </w:r>
      <w:r w:rsidRPr="00563472">
        <w:instrText xml:space="preserve">." </w:instrText>
      </w:r>
      <w:r w:rsidRPr="00563472">
        <w:fldChar w:fldCharType="separate"/>
      </w:r>
      <w:r w:rsidR="00EA42ED">
        <w:rPr>
          <w:noProof/>
        </w:rPr>
        <w:instrText>8</w:instrText>
      </w:r>
      <w:r w:rsidR="00EA42ED" w:rsidRPr="00563472">
        <w:rPr>
          <w:noProof/>
        </w:rPr>
        <w:instrText>.</w:instrText>
      </w:r>
      <w:r w:rsidRPr="00563472">
        <w:fldChar w:fldCharType="end"/>
      </w:r>
      <w:r w:rsidRPr="00563472">
        <w:fldChar w:fldCharType="begin"/>
      </w:r>
      <w:r w:rsidRPr="00563472">
        <w:instrText xml:space="preserve"> SEQ Item \* ARABIC \s </w:instrText>
      </w:r>
      <w:r w:rsidRPr="00563472">
        <w:fldChar w:fldCharType="begin"/>
      </w:r>
      <w:r w:rsidRPr="00563472">
        <w:instrText xml:space="preserve"> IF </w:instrText>
      </w:r>
      <w:r w:rsidRPr="00563472">
        <w:rPr>
          <w:noProof/>
        </w:rPr>
        <w:fldChar w:fldCharType="begin"/>
      </w:r>
      <w:r w:rsidRPr="00563472">
        <w:rPr>
          <w:noProof/>
        </w:rPr>
        <w:instrText xml:space="preserve"> STYLEREF "Heading 6" \l \n </w:instrText>
      </w:r>
      <w:r w:rsidRPr="00563472">
        <w:rPr>
          <w:noProof/>
        </w:rPr>
        <w:fldChar w:fldCharType="separate"/>
      </w:r>
      <w:r w:rsidR="00B833F1">
        <w:rPr>
          <w:noProof/>
        </w:rPr>
        <w:instrText>0</w:instrText>
      </w:r>
      <w:r w:rsidRPr="00563472">
        <w:rPr>
          <w:noProof/>
        </w:rPr>
        <w:fldChar w:fldCharType="end"/>
      </w:r>
      <w:r w:rsidRPr="00563472">
        <w:instrText xml:space="preserve"> = 0 "</w:instrText>
      </w:r>
      <w:r w:rsidRPr="00563472">
        <w:fldChar w:fldCharType="begin"/>
      </w:r>
      <w:r w:rsidRPr="00563472">
        <w:instrText xml:space="preserve"> IF </w:instrText>
      </w:r>
      <w:r w:rsidRPr="00563472">
        <w:rPr>
          <w:noProof/>
        </w:rPr>
        <w:fldChar w:fldCharType="begin"/>
      </w:r>
      <w:r w:rsidRPr="00563472">
        <w:rPr>
          <w:noProof/>
        </w:rPr>
        <w:instrText xml:space="preserve"> STYLEREF "Heading 1" \l \n </w:instrText>
      </w:r>
      <w:r w:rsidRPr="00563472">
        <w:rPr>
          <w:noProof/>
        </w:rPr>
        <w:fldChar w:fldCharType="separate"/>
      </w:r>
      <w:r w:rsidR="00B833F1">
        <w:rPr>
          <w:noProof/>
        </w:rPr>
        <w:instrText>8</w:instrText>
      </w:r>
      <w:r w:rsidRPr="00563472">
        <w:rPr>
          <w:noProof/>
        </w:rPr>
        <w:fldChar w:fldCharType="end"/>
      </w:r>
      <w:r w:rsidRPr="00563472">
        <w:instrText xml:space="preserve"> = 0 "" "1" </w:instrText>
      </w:r>
      <w:r w:rsidRPr="00563472">
        <w:fldChar w:fldCharType="separate"/>
      </w:r>
      <w:r w:rsidR="00EA42ED" w:rsidRPr="00563472">
        <w:rPr>
          <w:noProof/>
        </w:rPr>
        <w:instrText>1</w:instrText>
      </w:r>
      <w:r w:rsidRPr="00563472">
        <w:fldChar w:fldCharType="end"/>
      </w:r>
      <w:r w:rsidRPr="00563472">
        <w:instrText xml:space="preserve">" "6" </w:instrText>
      </w:r>
      <w:r w:rsidRPr="00563472">
        <w:fldChar w:fldCharType="separate"/>
      </w:r>
      <w:r w:rsidR="00EA42ED" w:rsidRPr="00563472">
        <w:rPr>
          <w:noProof/>
        </w:rPr>
        <w:instrText>1</w:instrText>
      </w:r>
      <w:r w:rsidRPr="00563472">
        <w:fldChar w:fldCharType="end"/>
      </w:r>
      <w:r w:rsidRPr="00563472">
        <w:instrText xml:space="preserve"> </w:instrText>
      </w:r>
      <w:r w:rsidRPr="00563472">
        <w:fldChar w:fldCharType="separate"/>
      </w:r>
      <w:r w:rsidR="00B833F1">
        <w:rPr>
          <w:noProof/>
        </w:rPr>
        <w:instrText>1</w:instrText>
      </w:r>
      <w:r w:rsidRPr="00563472">
        <w:fldChar w:fldCharType="end"/>
      </w:r>
      <w:r w:rsidRPr="00563472">
        <w:instrText xml:space="preserve">" "" </w:instrText>
      </w:r>
      <w:r w:rsidRPr="00563472">
        <w:fldChar w:fldCharType="separate"/>
      </w:r>
      <w:bookmarkStart w:id="3184" w:name="_Caption5576"/>
      <w:bookmarkStart w:id="3185" w:name="_Caption4324"/>
      <w:bookmarkStart w:id="3186" w:name="_Caption9690"/>
      <w:bookmarkStart w:id="3187" w:name="_Caption3423"/>
      <w:bookmarkStart w:id="3188" w:name="_Caption6873"/>
      <w:bookmarkStart w:id="3189" w:name="_Caption0125"/>
      <w:bookmarkStart w:id="3190" w:name="_Caption8631"/>
      <w:bookmarkStart w:id="3191" w:name="_Caption1036"/>
      <w:bookmarkStart w:id="3192" w:name="_Caption6229"/>
      <w:bookmarkStart w:id="3193" w:name="_Caption6848"/>
      <w:bookmarkStart w:id="3194" w:name="_Caption6560"/>
      <w:bookmarkStart w:id="3195" w:name="_Caption4881"/>
      <w:bookmarkStart w:id="3196" w:name="_Caption4589"/>
      <w:bookmarkStart w:id="3197" w:name="_Caption7052"/>
      <w:bookmarkStart w:id="3198" w:name="_Caption8303"/>
      <w:bookmarkStart w:id="3199" w:name="_Caption9847"/>
      <w:bookmarkStart w:id="3200" w:name="_Caption0890"/>
      <w:bookmarkStart w:id="3201" w:name="_Caption3011"/>
      <w:bookmarkStart w:id="3202" w:name="_Caption8019"/>
      <w:bookmarkStart w:id="3203" w:name="_Caption7301"/>
      <w:bookmarkStart w:id="3204" w:name="_Caption2737"/>
      <w:bookmarkStart w:id="3205" w:name="_Caption3536"/>
      <w:bookmarkStart w:id="3206" w:name="_Caption7221"/>
      <w:bookmarkStart w:id="3207" w:name="_Caption6111"/>
      <w:bookmarkStart w:id="3208" w:name="_Caption2254"/>
      <w:bookmarkStart w:id="3209" w:name="_Caption6546"/>
      <w:bookmarkStart w:id="3210" w:name="_Caption7558"/>
      <w:bookmarkStart w:id="3211" w:name="_Caption2102"/>
      <w:bookmarkStart w:id="3212" w:name="_Caption6965"/>
      <w:bookmarkStart w:id="3213" w:name="_Caption1711"/>
      <w:bookmarkStart w:id="3214" w:name="_Caption1121"/>
      <w:bookmarkStart w:id="3215" w:name="_Caption4101"/>
      <w:bookmarkStart w:id="3216" w:name="_Caption7774"/>
      <w:bookmarkStart w:id="3217" w:name="_Caption6686"/>
      <w:bookmarkStart w:id="3218" w:name="_Caption8201"/>
      <w:bookmarkStart w:id="3219" w:name="_Caption2691"/>
      <w:bookmarkStart w:id="3220" w:name="_Caption9497"/>
      <w:bookmarkStart w:id="3221" w:name="_Caption4436"/>
      <w:bookmarkStart w:id="3222" w:name="_Caption5189"/>
      <w:bookmarkStart w:id="3223" w:name="_Caption2572"/>
      <w:bookmarkStart w:id="3224" w:name="_Caption8847"/>
      <w:bookmarkStart w:id="3225" w:name="_Caption6192"/>
      <w:bookmarkStart w:id="3226" w:name="_Caption1139"/>
      <w:bookmarkStart w:id="3227" w:name="_Caption7904"/>
      <w:bookmarkStart w:id="3228" w:name="_Caption2834"/>
      <w:bookmarkStart w:id="3229" w:name="_Caption7382"/>
      <w:bookmarkStart w:id="3230" w:name="_Caption6469"/>
      <w:bookmarkStart w:id="3231" w:name="_Caption1233"/>
      <w:bookmarkStart w:id="3232" w:name="_Caption0088"/>
      <w:bookmarkStart w:id="3233" w:name="_Caption4836"/>
      <w:bookmarkStart w:id="3234" w:name="_Caption4353"/>
      <w:bookmarkStart w:id="3235" w:name="_Caption2777"/>
      <w:bookmarkStart w:id="3236" w:name="_Caption3965"/>
      <w:bookmarkStart w:id="3237" w:name="_Caption5764"/>
      <w:bookmarkStart w:id="3238" w:name="_Caption0344"/>
      <w:bookmarkStart w:id="3239" w:name="_Caption4984"/>
      <w:bookmarkStart w:id="3240" w:name="_Caption8683"/>
      <w:bookmarkStart w:id="3241" w:name="_Caption4525"/>
      <w:bookmarkStart w:id="3242" w:name="_Caption0916"/>
      <w:bookmarkStart w:id="3243" w:name="_Caption4129"/>
      <w:bookmarkStart w:id="3244" w:name="_Caption5114"/>
      <w:bookmarkStart w:id="3245" w:name="_Caption1273"/>
      <w:bookmarkStart w:id="3246" w:name="_Caption9533"/>
      <w:bookmarkStart w:id="3247" w:name="_Caption5450"/>
      <w:bookmarkStart w:id="3248" w:name="_Caption8209"/>
      <w:bookmarkStart w:id="3249" w:name="_Caption3502"/>
      <w:bookmarkStart w:id="3250" w:name="_Caption5788"/>
      <w:bookmarkStart w:id="3251" w:name="_Toc529869940"/>
      <w:bookmarkStart w:id="3252" w:name="_Toc530748436"/>
      <w:r w:rsidR="00EA42ED">
        <w:rPr>
          <w:noProof/>
        </w:rPr>
        <w:t>8</w:t>
      </w:r>
      <w:r w:rsidR="00EA42ED" w:rsidRPr="00563472">
        <w:rPr>
          <w:noProof/>
        </w:rPr>
        <w:t>.</w:t>
      </w:r>
      <w:r w:rsidR="00EA42ED">
        <w:rPr>
          <w:noProof/>
        </w:rPr>
        <w:t>1</w:t>
      </w:r>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r w:rsidRPr="00563472">
        <w:fldChar w:fldCharType="end"/>
      </w:r>
      <w:r w:rsidRPr="00563472">
        <w:tab/>
        <w:t>Building</w:t>
      </w:r>
      <w:r w:rsidRPr="00563472">
        <w:noBreakHyphen/>
        <w:t>level net impacts — New South Wales</w:t>
      </w:r>
      <w:bookmarkEnd w:id="3251"/>
      <w:bookmarkEnd w:id="3252"/>
    </w:p>
    <w:tbl>
      <w:tblPr>
        <w:tblW w:w="7937" w:type="dxa"/>
        <w:tblLayout w:type="fixed"/>
        <w:tblLook w:val="0000" w:firstRow="0" w:lastRow="0" w:firstColumn="0" w:lastColumn="0" w:noHBand="0" w:noVBand="0"/>
        <w:tblCaption w:val="Table 8.1: Building level net impacts - NSW"/>
        <w:tblDescription w:val="This table outlines the building level net impacts of the proposed changes to NCC 2019 by building classiciation and climate zone for New South Wales. "/>
      </w:tblPr>
      <w:tblGrid>
        <w:gridCol w:w="2456"/>
        <w:gridCol w:w="783"/>
        <w:gridCol w:w="783"/>
        <w:gridCol w:w="783"/>
        <w:gridCol w:w="783"/>
        <w:gridCol w:w="783"/>
        <w:gridCol w:w="783"/>
        <w:gridCol w:w="783"/>
      </w:tblGrid>
      <w:tr w:rsidR="00612FD3" w:rsidTr="00301B6D">
        <w:trPr>
          <w:trHeight w:val="230"/>
          <w:tblHeader/>
        </w:trPr>
        <w:tc>
          <w:tcPr>
            <w:tcW w:w="2456" w:type="dxa"/>
            <w:shd w:val="clear" w:color="auto" w:fill="6F6652"/>
            <w:tcMar>
              <w:left w:w="57" w:type="dxa"/>
              <w:right w:w="57" w:type="dxa"/>
            </w:tcMar>
          </w:tcPr>
          <w:p w:rsidR="00612FD3" w:rsidRDefault="00612FD3" w:rsidP="00301B6D">
            <w:pPr>
              <w:pStyle w:val="TableDataColumnHeading"/>
              <w:jc w:val="left"/>
              <w:rPr>
                <w:lang w:val="en-GB"/>
              </w:rPr>
            </w:pPr>
          </w:p>
        </w:tc>
        <w:tc>
          <w:tcPr>
            <w:tcW w:w="783" w:type="dxa"/>
            <w:shd w:val="clear" w:color="auto" w:fill="6F6652"/>
            <w:tcMar>
              <w:left w:w="57" w:type="dxa"/>
              <w:right w:w="57" w:type="dxa"/>
            </w:tcMar>
          </w:tcPr>
          <w:p w:rsidR="00612FD3" w:rsidRDefault="00612FD3" w:rsidP="00301B6D">
            <w:pPr>
              <w:pStyle w:val="TableDataColumnHeading"/>
              <w:rPr>
                <w:b/>
                <w:bCs/>
                <w:lang w:val="en-GB"/>
              </w:rPr>
            </w:pPr>
            <w:r>
              <w:rPr>
                <w:b/>
                <w:bCs/>
                <w:lang w:val="en-GB"/>
              </w:rPr>
              <w:t>CZ1</w:t>
            </w:r>
          </w:p>
        </w:tc>
        <w:tc>
          <w:tcPr>
            <w:tcW w:w="783" w:type="dxa"/>
            <w:shd w:val="clear" w:color="auto" w:fill="6F6652"/>
            <w:tcMar>
              <w:left w:w="57" w:type="dxa"/>
              <w:right w:w="57" w:type="dxa"/>
            </w:tcMar>
          </w:tcPr>
          <w:p w:rsidR="00612FD3" w:rsidRDefault="00612FD3" w:rsidP="00301B6D">
            <w:pPr>
              <w:pStyle w:val="TableDataColumnHeading"/>
              <w:rPr>
                <w:b/>
                <w:bCs/>
                <w:lang w:val="en-GB"/>
              </w:rPr>
            </w:pPr>
            <w:r>
              <w:rPr>
                <w:b/>
                <w:bCs/>
                <w:lang w:val="en-GB"/>
              </w:rPr>
              <w:t>CZ2</w:t>
            </w:r>
          </w:p>
        </w:tc>
        <w:tc>
          <w:tcPr>
            <w:tcW w:w="783" w:type="dxa"/>
            <w:shd w:val="clear" w:color="auto" w:fill="6F6652"/>
            <w:tcMar>
              <w:left w:w="57" w:type="dxa"/>
              <w:right w:w="57" w:type="dxa"/>
            </w:tcMar>
          </w:tcPr>
          <w:p w:rsidR="00612FD3" w:rsidRDefault="00612FD3" w:rsidP="00301B6D">
            <w:pPr>
              <w:pStyle w:val="TableDataColumnHeading"/>
              <w:rPr>
                <w:b/>
                <w:bCs/>
                <w:lang w:val="en-GB"/>
              </w:rPr>
            </w:pPr>
            <w:r>
              <w:rPr>
                <w:b/>
                <w:bCs/>
                <w:lang w:val="en-GB"/>
              </w:rPr>
              <w:t>CZ3</w:t>
            </w:r>
          </w:p>
        </w:tc>
        <w:tc>
          <w:tcPr>
            <w:tcW w:w="783" w:type="dxa"/>
            <w:shd w:val="clear" w:color="auto" w:fill="6F6652"/>
            <w:tcMar>
              <w:left w:w="57" w:type="dxa"/>
              <w:right w:w="57" w:type="dxa"/>
            </w:tcMar>
          </w:tcPr>
          <w:p w:rsidR="00612FD3" w:rsidRDefault="00612FD3" w:rsidP="00301B6D">
            <w:pPr>
              <w:pStyle w:val="TableDataColumnHeading"/>
              <w:rPr>
                <w:b/>
                <w:bCs/>
                <w:lang w:val="en-GB"/>
              </w:rPr>
            </w:pPr>
            <w:r>
              <w:rPr>
                <w:b/>
                <w:bCs/>
                <w:lang w:val="en-GB"/>
              </w:rPr>
              <w:t>CZ4</w:t>
            </w:r>
          </w:p>
        </w:tc>
        <w:tc>
          <w:tcPr>
            <w:tcW w:w="783" w:type="dxa"/>
            <w:shd w:val="clear" w:color="auto" w:fill="6F6652"/>
            <w:tcMar>
              <w:left w:w="57" w:type="dxa"/>
              <w:right w:w="57" w:type="dxa"/>
            </w:tcMar>
          </w:tcPr>
          <w:p w:rsidR="00612FD3" w:rsidRDefault="00612FD3" w:rsidP="00301B6D">
            <w:pPr>
              <w:pStyle w:val="TableDataColumnHeading"/>
              <w:rPr>
                <w:b/>
                <w:bCs/>
                <w:lang w:val="en-GB"/>
              </w:rPr>
            </w:pPr>
            <w:r>
              <w:rPr>
                <w:b/>
                <w:bCs/>
                <w:lang w:val="en-GB"/>
              </w:rPr>
              <w:t>CZ5</w:t>
            </w:r>
          </w:p>
        </w:tc>
        <w:tc>
          <w:tcPr>
            <w:tcW w:w="783" w:type="dxa"/>
            <w:shd w:val="clear" w:color="auto" w:fill="6F6652"/>
            <w:tcMar>
              <w:left w:w="57" w:type="dxa"/>
              <w:right w:w="57" w:type="dxa"/>
            </w:tcMar>
          </w:tcPr>
          <w:p w:rsidR="00612FD3" w:rsidRDefault="00612FD3" w:rsidP="00301B6D">
            <w:pPr>
              <w:pStyle w:val="TableDataColumnHeading"/>
              <w:rPr>
                <w:b/>
                <w:bCs/>
                <w:lang w:val="en-GB"/>
              </w:rPr>
            </w:pPr>
            <w:r>
              <w:rPr>
                <w:b/>
                <w:bCs/>
                <w:lang w:val="en-GB"/>
              </w:rPr>
              <w:t>CZ6</w:t>
            </w:r>
          </w:p>
        </w:tc>
        <w:tc>
          <w:tcPr>
            <w:tcW w:w="783" w:type="dxa"/>
            <w:shd w:val="clear" w:color="auto" w:fill="6F6652"/>
            <w:tcMar>
              <w:left w:w="57" w:type="dxa"/>
              <w:right w:w="57" w:type="dxa"/>
            </w:tcMar>
          </w:tcPr>
          <w:p w:rsidR="00612FD3" w:rsidRDefault="00612FD3" w:rsidP="00301B6D">
            <w:pPr>
              <w:pStyle w:val="TableDataColumnHeading"/>
              <w:rPr>
                <w:b/>
                <w:bCs/>
                <w:lang w:val="en-GB"/>
              </w:rPr>
            </w:pPr>
            <w:r>
              <w:rPr>
                <w:b/>
                <w:bCs/>
                <w:lang w:val="en-GB"/>
              </w:rPr>
              <w:t>CZ7</w:t>
            </w:r>
          </w:p>
        </w:tc>
      </w:tr>
      <w:tr w:rsidR="00612FD3" w:rsidTr="00301B6D">
        <w:trPr>
          <w:trHeight w:val="230"/>
          <w:tblHeader/>
        </w:trPr>
        <w:tc>
          <w:tcPr>
            <w:tcW w:w="2456"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jc w:val="left"/>
              <w:rPr>
                <w:lang w:val="en-GB"/>
              </w:rPr>
            </w:pP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D742B2">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D742B2">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D742B2">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D742B2">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D742B2">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D742B2">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D742B2">
              <w:rPr>
                <w:vertAlign w:val="superscript"/>
                <w:lang w:val="en-GB"/>
              </w:rPr>
              <w:t>2</w:t>
            </w:r>
          </w:p>
        </w:tc>
      </w:tr>
      <w:tr w:rsidR="00612FD3" w:rsidTr="00301B6D">
        <w:trPr>
          <w:trHeight w:val="230"/>
        </w:trPr>
        <w:tc>
          <w:tcPr>
            <w:tcW w:w="245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r>
              <w:rPr>
                <w:lang w:val="en-GB"/>
              </w:rPr>
              <w:t>Low scenario</w:t>
            </w: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r>
      <w:tr w:rsidR="00F03986"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F03986" w:rsidRDefault="00F03986" w:rsidP="00F03986">
            <w:pPr>
              <w:pStyle w:val="TableDataEntries"/>
              <w:jc w:val="left"/>
              <w:rPr>
                <w:lang w:val="en-GB"/>
              </w:rPr>
            </w:pPr>
            <w:r>
              <w:rPr>
                <w:lang w:val="en-GB"/>
              </w:rPr>
              <w:t>Hotel</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xml:space="preserve"> 43.42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xml:space="preserve"> 40.03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xml:space="preserve"> 32.33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xml:space="preserve"> 40.68</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xml:space="preserve"> 50.20</w:t>
            </w:r>
          </w:p>
        </w:tc>
      </w:tr>
      <w:tr w:rsidR="00F03986"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F03986" w:rsidRDefault="00F03986" w:rsidP="00F03986">
            <w:pPr>
              <w:pStyle w:val="TableDataEntries"/>
              <w:jc w:val="left"/>
              <w:rPr>
                <w:lang w:val="en-GB"/>
              </w:rPr>
            </w:pPr>
            <w:r>
              <w:rPr>
                <w:lang w:val="en-GB"/>
              </w:rPr>
              <w:t>Office building</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xml:space="preserve"> 12.52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xml:space="preserve"> 3.00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xml:space="preserve"> 2.81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xml:space="preserve"> 4.56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xml:space="preserve"> 8.31</w:t>
            </w:r>
          </w:p>
        </w:tc>
      </w:tr>
      <w:tr w:rsidR="00F03986"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F03986" w:rsidRDefault="00F03986" w:rsidP="00F03986">
            <w:pPr>
              <w:pStyle w:val="TableDataEntries"/>
              <w:jc w:val="left"/>
              <w:rPr>
                <w:lang w:val="en-GB"/>
              </w:rPr>
            </w:pPr>
            <w:r>
              <w:rPr>
                <w:lang w:val="en-GB"/>
              </w:rPr>
              <w:t>Retail</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xml:space="preserve"> 33.03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xml:space="preserve"> 18.25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xml:space="preserve"> 42.51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xml:space="preserve"> 19.30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- 13.50</w:t>
            </w:r>
          </w:p>
        </w:tc>
      </w:tr>
      <w:tr w:rsidR="00F03986"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F03986" w:rsidRDefault="00F03986" w:rsidP="00F03986">
            <w:pPr>
              <w:pStyle w:val="TableDataEntries"/>
              <w:jc w:val="left"/>
              <w:rPr>
                <w:lang w:val="en-GB"/>
              </w:rPr>
            </w:pPr>
            <w:r>
              <w:rPr>
                <w:lang w:val="en-GB"/>
              </w:rPr>
              <w:t>Healthcare</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xml:space="preserve"> 13.33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- 0.77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- 0.11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- 25.66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- 20.86</w:t>
            </w:r>
          </w:p>
        </w:tc>
      </w:tr>
      <w:tr w:rsidR="00F03986"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F03986" w:rsidRDefault="00F03986" w:rsidP="00F03986">
            <w:pPr>
              <w:pStyle w:val="TableDataEntries"/>
              <w:jc w:val="left"/>
              <w:rPr>
                <w:lang w:val="en-GB"/>
              </w:rPr>
            </w:pPr>
            <w:r>
              <w:rPr>
                <w:lang w:val="en-GB"/>
              </w:rPr>
              <w:t>School</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xml:space="preserve"> 41.03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xml:space="preserve"> 27.92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xml:space="preserve"> 13.78</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xml:space="preserve"> 32.95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xml:space="preserve"> 44.75</w:t>
            </w:r>
          </w:p>
        </w:tc>
      </w:tr>
      <w:tr w:rsidR="00612FD3" w:rsidTr="00301B6D">
        <w:trPr>
          <w:trHeight w:val="230"/>
        </w:trPr>
        <w:tc>
          <w:tcPr>
            <w:tcW w:w="245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r>
              <w:rPr>
                <w:lang w:val="en-GB"/>
              </w:rPr>
              <w:t>Medium scenario</w:t>
            </w: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Pr="00563472" w:rsidRDefault="00612FD3" w:rsidP="00563472">
            <w:pPr>
              <w:pStyle w:val="TableDataEntries"/>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Pr="00563472" w:rsidRDefault="00612FD3" w:rsidP="00563472">
            <w:pPr>
              <w:pStyle w:val="TableDataEntries"/>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Pr="00563472" w:rsidRDefault="00612FD3" w:rsidP="00563472">
            <w:pPr>
              <w:pStyle w:val="TableDataEntries"/>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Pr="00563472" w:rsidRDefault="00612FD3" w:rsidP="00563472">
            <w:pPr>
              <w:pStyle w:val="TableDataEntries"/>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Pr="00563472" w:rsidRDefault="00612FD3" w:rsidP="00563472">
            <w:pPr>
              <w:pStyle w:val="TableDataEntries"/>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Pr="00563472" w:rsidRDefault="00612FD3" w:rsidP="00563472">
            <w:pPr>
              <w:pStyle w:val="TableDataEntries"/>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Pr="00563472" w:rsidRDefault="00612FD3" w:rsidP="00563472">
            <w:pPr>
              <w:pStyle w:val="TableDataEntries"/>
            </w:pPr>
          </w:p>
        </w:tc>
      </w:tr>
      <w:tr w:rsidR="00F03986"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F03986" w:rsidRDefault="00F03986" w:rsidP="00F03986">
            <w:pPr>
              <w:pStyle w:val="TableDataEntries"/>
              <w:jc w:val="left"/>
              <w:rPr>
                <w:lang w:val="en-GB"/>
              </w:rPr>
            </w:pPr>
            <w:r>
              <w:rPr>
                <w:lang w:val="en-GB"/>
              </w:rPr>
              <w:t>Hotel</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xml:space="preserve"> 66.02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xml:space="preserve"> 59.50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xml:space="preserve"> 50.98</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xml:space="preserve"> 60.63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xml:space="preserve"> 68.97</w:t>
            </w:r>
          </w:p>
        </w:tc>
      </w:tr>
      <w:tr w:rsidR="00F03986"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F03986" w:rsidRDefault="00F03986" w:rsidP="00F03986">
            <w:pPr>
              <w:pStyle w:val="TableDataEntries"/>
              <w:jc w:val="left"/>
              <w:rPr>
                <w:lang w:val="en-GB"/>
              </w:rPr>
            </w:pPr>
            <w:r>
              <w:rPr>
                <w:lang w:val="en-GB"/>
              </w:rPr>
              <w:t>Office building</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xml:space="preserve"> 20.09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xml:space="preserve"> 8.06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xml:space="preserve"> 9.74</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xml:space="preserve"> 9.49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xml:space="preserve"> 13.32</w:t>
            </w:r>
          </w:p>
        </w:tc>
      </w:tr>
      <w:tr w:rsidR="00F03986"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F03986" w:rsidRDefault="00F03986" w:rsidP="00F03986">
            <w:pPr>
              <w:pStyle w:val="TableDataEntries"/>
              <w:jc w:val="left"/>
              <w:rPr>
                <w:lang w:val="en-GB"/>
              </w:rPr>
            </w:pPr>
            <w:r>
              <w:rPr>
                <w:lang w:val="en-GB"/>
              </w:rPr>
              <w:t>Retail</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xml:space="preserve"> 51.74</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xml:space="preserve"> 36.67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xml:space="preserve"> 67.38</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xml:space="preserve"> 34.13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- 11.94</w:t>
            </w:r>
          </w:p>
        </w:tc>
      </w:tr>
      <w:tr w:rsidR="00F03986"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F03986" w:rsidRDefault="00F03986" w:rsidP="00F03986">
            <w:pPr>
              <w:pStyle w:val="TableDataEntries"/>
              <w:jc w:val="left"/>
              <w:rPr>
                <w:lang w:val="en-GB"/>
              </w:rPr>
            </w:pPr>
            <w:r>
              <w:rPr>
                <w:lang w:val="en-GB"/>
              </w:rPr>
              <w:t>Healthcare</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xml:space="preserve"> 24.80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xml:space="preserve"> 7.59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xml:space="preserve"> 7.94</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- 25.25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- 17.13</w:t>
            </w:r>
          </w:p>
        </w:tc>
      </w:tr>
      <w:tr w:rsidR="00F03986"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F03986" w:rsidRDefault="00F03986" w:rsidP="00F03986">
            <w:pPr>
              <w:pStyle w:val="TableDataEntries"/>
              <w:jc w:val="left"/>
              <w:rPr>
                <w:lang w:val="en-GB"/>
              </w:rPr>
            </w:pPr>
            <w:r>
              <w:rPr>
                <w:lang w:val="en-GB"/>
              </w:rPr>
              <w:t>School</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xml:space="preserve"> 71.29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xml:space="preserve"> 50.71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xml:space="preserve"> 29.72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xml:space="preserve"> 53.28</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xml:space="preserve"> 71.49</w:t>
            </w:r>
          </w:p>
        </w:tc>
      </w:tr>
      <w:tr w:rsidR="00612FD3" w:rsidTr="00301B6D">
        <w:trPr>
          <w:trHeight w:val="230"/>
        </w:trPr>
        <w:tc>
          <w:tcPr>
            <w:tcW w:w="245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r>
              <w:rPr>
                <w:lang w:val="en-GB"/>
              </w:rPr>
              <w:t>High scenario</w:t>
            </w: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Pr="00563472" w:rsidRDefault="00612FD3" w:rsidP="00563472">
            <w:pPr>
              <w:pStyle w:val="TableDataEntries"/>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Pr="00563472" w:rsidRDefault="00612FD3" w:rsidP="00563472">
            <w:pPr>
              <w:pStyle w:val="TableDataEntries"/>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Pr="00563472" w:rsidRDefault="00612FD3" w:rsidP="00563472">
            <w:pPr>
              <w:pStyle w:val="TableDataEntries"/>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Pr="00563472" w:rsidRDefault="00612FD3" w:rsidP="00563472">
            <w:pPr>
              <w:pStyle w:val="TableDataEntries"/>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Pr="00563472" w:rsidRDefault="00612FD3" w:rsidP="00563472">
            <w:pPr>
              <w:pStyle w:val="TableDataEntries"/>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Pr="00563472" w:rsidRDefault="00612FD3" w:rsidP="00563472">
            <w:pPr>
              <w:pStyle w:val="TableDataEntries"/>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Pr="00563472" w:rsidRDefault="00612FD3" w:rsidP="00563472">
            <w:pPr>
              <w:pStyle w:val="TableDataEntries"/>
            </w:pPr>
          </w:p>
        </w:tc>
      </w:tr>
      <w:tr w:rsidR="00563472"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563472" w:rsidRDefault="00563472" w:rsidP="00563472">
            <w:pPr>
              <w:pStyle w:val="TableDataEntries"/>
              <w:jc w:val="left"/>
              <w:rPr>
                <w:lang w:val="en-GB"/>
              </w:rPr>
            </w:pPr>
            <w:r>
              <w:rPr>
                <w:lang w:val="en-GB"/>
              </w:rPr>
              <w:t>Hotel</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88.61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78.96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69.63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80.59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87.74</w:t>
            </w:r>
          </w:p>
        </w:tc>
      </w:tr>
      <w:tr w:rsidR="00563472"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563472" w:rsidRDefault="00563472" w:rsidP="00563472">
            <w:pPr>
              <w:pStyle w:val="TableDataEntries"/>
              <w:jc w:val="left"/>
              <w:rPr>
                <w:lang w:val="en-GB"/>
              </w:rPr>
            </w:pPr>
            <w:r>
              <w:rPr>
                <w:lang w:val="en-GB"/>
              </w:rPr>
              <w:t>Office building</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27.65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13.12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16.68</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14.42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18.34</w:t>
            </w:r>
          </w:p>
        </w:tc>
      </w:tr>
      <w:tr w:rsidR="00563472"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563472" w:rsidRDefault="00563472" w:rsidP="00563472">
            <w:pPr>
              <w:pStyle w:val="TableDataEntries"/>
              <w:jc w:val="left"/>
              <w:rPr>
                <w:lang w:val="en-GB"/>
              </w:rPr>
            </w:pPr>
            <w:r>
              <w:rPr>
                <w:lang w:val="en-GB"/>
              </w:rPr>
              <w:t>Retail</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70.45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55.10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92.25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48.96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- 10.38</w:t>
            </w:r>
          </w:p>
        </w:tc>
      </w:tr>
      <w:tr w:rsidR="00563472"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563472" w:rsidRDefault="00563472" w:rsidP="00563472">
            <w:pPr>
              <w:pStyle w:val="TableDataEntries"/>
              <w:jc w:val="left"/>
              <w:rPr>
                <w:lang w:val="en-GB"/>
              </w:rPr>
            </w:pPr>
            <w:r>
              <w:rPr>
                <w:lang w:val="en-GB"/>
              </w:rPr>
              <w:t>Healthcare</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36.27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15.95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16.00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- 24.83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- 13.39</w:t>
            </w:r>
          </w:p>
        </w:tc>
      </w:tr>
      <w:tr w:rsidR="00563472" w:rsidTr="00301B6D">
        <w:trPr>
          <w:trHeight w:val="230"/>
        </w:trPr>
        <w:tc>
          <w:tcPr>
            <w:tcW w:w="2456" w:type="dxa"/>
            <w:tcBorders>
              <w:top w:val="single" w:sz="8" w:space="0" w:color="FFFFFF" w:themeColor="background1"/>
              <w:bottom w:val="single" w:sz="6" w:space="0" w:color="6F6652"/>
            </w:tcBorders>
            <w:shd w:val="clear" w:color="auto" w:fill="E9E8E5" w:themeFill="background2"/>
            <w:tcMar>
              <w:left w:w="57" w:type="dxa"/>
              <w:right w:w="57" w:type="dxa"/>
            </w:tcMar>
          </w:tcPr>
          <w:p w:rsidR="00563472" w:rsidRDefault="00563472" w:rsidP="00563472">
            <w:pPr>
              <w:pStyle w:val="TableDataEntries"/>
              <w:jc w:val="left"/>
              <w:rPr>
                <w:lang w:val="en-GB"/>
              </w:rPr>
            </w:pPr>
            <w:r>
              <w:rPr>
                <w:lang w:val="en-GB"/>
              </w:rPr>
              <w:t>School</w:t>
            </w:r>
          </w:p>
        </w:tc>
        <w:tc>
          <w:tcPr>
            <w:tcW w:w="783"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101.54</w:t>
            </w:r>
          </w:p>
        </w:tc>
        <w:tc>
          <w:tcPr>
            <w:tcW w:w="783"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73.50</w:t>
            </w:r>
          </w:p>
        </w:tc>
        <w:tc>
          <w:tcPr>
            <w:tcW w:w="783"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45.66</w:t>
            </w:r>
          </w:p>
        </w:tc>
        <w:tc>
          <w:tcPr>
            <w:tcW w:w="783"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73.61</w:t>
            </w:r>
          </w:p>
        </w:tc>
        <w:tc>
          <w:tcPr>
            <w:tcW w:w="783"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98.22</w:t>
            </w:r>
          </w:p>
        </w:tc>
      </w:tr>
    </w:tbl>
    <w:p w:rsidR="00297500" w:rsidRDefault="00CA6CF4" w:rsidP="00442369">
      <w:pPr>
        <w:pStyle w:val="Note"/>
        <w:rPr>
          <w:lang w:bidi="fa-IR"/>
        </w:rPr>
      </w:pPr>
      <w:r w:rsidRPr="00442369">
        <w:rPr>
          <w:i/>
          <w:lang w:bidi="fa-IR"/>
        </w:rPr>
        <w:t>Note:</w:t>
      </w:r>
      <w:r>
        <w:rPr>
          <w:lang w:bidi="fa-IR"/>
        </w:rPr>
        <w:t xml:space="preserve"> Net impacts include the private benefits and costs to building owners/tenants and the global benefits from reduced GHG emissions.</w:t>
      </w:r>
    </w:p>
    <w:p w:rsidR="00612FD3" w:rsidRDefault="00612FD3" w:rsidP="00612FD3">
      <w:pPr>
        <w:pStyle w:val="Source"/>
        <w:rPr>
          <w:lang w:bidi="fa-IR"/>
        </w:rPr>
      </w:pPr>
      <w:r w:rsidRPr="00D742B2">
        <w:rPr>
          <w:i/>
          <w:lang w:bidi="fa-IR"/>
        </w:rPr>
        <w:t>Source:</w:t>
      </w:r>
      <w:r>
        <w:rPr>
          <w:lang w:bidi="fa-IR"/>
        </w:rPr>
        <w:t xml:space="preserve"> CIE based on </w:t>
      </w:r>
      <w:r w:rsidR="003F28DD">
        <w:rPr>
          <w:lang w:bidi="fa-IR"/>
        </w:rPr>
        <w:t>EA</w:t>
      </w:r>
      <w:r>
        <w:rPr>
          <w:lang w:bidi="fa-IR"/>
        </w:rPr>
        <w:t xml:space="preserve"> modelling.</w:t>
      </w:r>
    </w:p>
    <w:p w:rsidR="00612FD3" w:rsidRDefault="00612FD3" w:rsidP="00914293">
      <w:pPr>
        <w:pStyle w:val="Heading4"/>
        <w:rPr>
          <w:lang w:val="en-GB"/>
        </w:rPr>
      </w:pPr>
      <w:r>
        <w:rPr>
          <w:lang w:val="en-GB"/>
        </w:rPr>
        <w:t>Victoria</w:t>
      </w:r>
    </w:p>
    <w:p w:rsidR="00612FD3" w:rsidRDefault="00612FD3" w:rsidP="00612FD3">
      <w:pPr>
        <w:pStyle w:val="BodyText"/>
        <w:rPr>
          <w:lang w:val="en-GB"/>
        </w:rPr>
      </w:pPr>
      <w:r>
        <w:rPr>
          <w:lang w:val="en-GB"/>
        </w:rPr>
        <w:t xml:space="preserve">Victoria spans </w:t>
      </w:r>
      <w:r w:rsidR="00E31EE8">
        <w:rPr>
          <w:lang w:val="en-GB"/>
        </w:rPr>
        <w:t>Climate Zone</w:t>
      </w:r>
      <w:r>
        <w:rPr>
          <w:lang w:val="en-GB"/>
        </w:rPr>
        <w:t>s 4 and 6</w:t>
      </w:r>
      <w:r>
        <w:rPr>
          <w:lang w:val="en-GB"/>
        </w:rPr>
        <w:noBreakHyphen/>
        <w:t xml:space="preserve">8. As energy prices in Victoria are not significantly different to NSW, the net benefits across building types and </w:t>
      </w:r>
      <w:r w:rsidR="00E31EE8">
        <w:rPr>
          <w:lang w:val="en-GB"/>
        </w:rPr>
        <w:t>Climate Zone</w:t>
      </w:r>
      <w:r>
        <w:rPr>
          <w:lang w:val="en-GB"/>
        </w:rPr>
        <w:t>s are broadly similar to the NSW results reported above.</w:t>
      </w:r>
    </w:p>
    <w:p w:rsidR="00612FD3" w:rsidRDefault="00612FD3" w:rsidP="00612FD3">
      <w:pPr>
        <w:pStyle w:val="Caption"/>
      </w:pPr>
      <w:r w:rsidRPr="00563472">
        <w:fldChar w:fldCharType="begin"/>
      </w:r>
      <w:r w:rsidRPr="00563472">
        <w:instrText xml:space="preserve"> IF 1 = 1 "</w:instrText>
      </w:r>
      <w:r w:rsidRPr="00563472">
        <w:fldChar w:fldCharType="begin"/>
      </w:r>
      <w:r w:rsidRPr="00563472">
        <w:instrText xml:space="preserve"> IF </w:instrText>
      </w:r>
      <w:r w:rsidRPr="00563472">
        <w:rPr>
          <w:noProof/>
        </w:rPr>
        <w:fldChar w:fldCharType="begin"/>
      </w:r>
      <w:r w:rsidRPr="00563472">
        <w:rPr>
          <w:noProof/>
        </w:rPr>
        <w:instrText xml:space="preserve"> STYLEREF "Heading 6" \l \n </w:instrText>
      </w:r>
      <w:r w:rsidRPr="00563472">
        <w:rPr>
          <w:noProof/>
        </w:rPr>
        <w:fldChar w:fldCharType="separate"/>
      </w:r>
      <w:r w:rsidR="00B833F1">
        <w:rPr>
          <w:noProof/>
        </w:rPr>
        <w:instrText>0</w:instrText>
      </w:r>
      <w:r w:rsidRPr="00563472">
        <w:rPr>
          <w:noProof/>
        </w:rPr>
        <w:fldChar w:fldCharType="end"/>
      </w:r>
      <w:r w:rsidRPr="00563472">
        <w:instrText xml:space="preserve"> = 0 "</w:instrText>
      </w:r>
      <w:r w:rsidRPr="00563472">
        <w:fldChar w:fldCharType="begin"/>
      </w:r>
      <w:r w:rsidRPr="00563472">
        <w:instrText xml:space="preserve"> IF </w:instrText>
      </w:r>
      <w:r w:rsidRPr="00563472">
        <w:rPr>
          <w:noProof/>
        </w:rPr>
        <w:fldChar w:fldCharType="begin"/>
      </w:r>
      <w:r w:rsidRPr="00563472">
        <w:rPr>
          <w:noProof/>
        </w:rPr>
        <w:instrText xml:space="preserve"> STYLEREF "Heading 1" \l \n </w:instrText>
      </w:r>
      <w:r w:rsidRPr="00563472">
        <w:rPr>
          <w:noProof/>
        </w:rPr>
        <w:fldChar w:fldCharType="separate"/>
      </w:r>
      <w:r w:rsidR="00B833F1">
        <w:rPr>
          <w:noProof/>
        </w:rPr>
        <w:instrText>8</w:instrText>
      </w:r>
      <w:r w:rsidRPr="00563472">
        <w:rPr>
          <w:noProof/>
        </w:rPr>
        <w:fldChar w:fldCharType="end"/>
      </w:r>
      <w:r w:rsidRPr="00563472">
        <w:instrText xml:space="preserve"> = 0 "" "</w:instrText>
      </w:r>
      <w:r w:rsidRPr="00563472">
        <w:rPr>
          <w:noProof/>
        </w:rPr>
        <w:fldChar w:fldCharType="begin"/>
      </w:r>
      <w:r w:rsidRPr="00563472">
        <w:rPr>
          <w:noProof/>
        </w:rPr>
        <w:instrText xml:space="preserve"> STYLEREF "Heading 1" \l \n </w:instrText>
      </w:r>
      <w:r w:rsidRPr="00563472">
        <w:rPr>
          <w:noProof/>
        </w:rPr>
        <w:fldChar w:fldCharType="separate"/>
      </w:r>
      <w:r w:rsidR="00B833F1">
        <w:rPr>
          <w:noProof/>
        </w:rPr>
        <w:instrText>8</w:instrText>
      </w:r>
      <w:r w:rsidRPr="00563472">
        <w:rPr>
          <w:noProof/>
        </w:rPr>
        <w:fldChar w:fldCharType="end"/>
      </w:r>
      <w:r w:rsidRPr="00563472">
        <w:instrText xml:space="preserve">." </w:instrText>
      </w:r>
      <w:r w:rsidRPr="00563472">
        <w:fldChar w:fldCharType="separate"/>
      </w:r>
      <w:r w:rsidR="00B833F1">
        <w:rPr>
          <w:noProof/>
        </w:rPr>
        <w:instrText>8</w:instrText>
      </w:r>
      <w:r w:rsidR="00B833F1" w:rsidRPr="00563472">
        <w:rPr>
          <w:noProof/>
        </w:rPr>
        <w:instrText>.</w:instrText>
      </w:r>
      <w:r w:rsidRPr="00563472">
        <w:fldChar w:fldCharType="end"/>
      </w:r>
      <w:r w:rsidRPr="00563472">
        <w:instrText>" "</w:instrText>
      </w:r>
      <w:r w:rsidR="001F6F43">
        <w:fldChar w:fldCharType="begin"/>
      </w:r>
      <w:r w:rsidR="001F6F43">
        <w:instrText xml:space="preserve"> STYLEREF "Heading 6" \l \n </w:instrText>
      </w:r>
      <w:r w:rsidR="001F6F43">
        <w:fldChar w:fldCharType="separate"/>
      </w:r>
      <w:r w:rsidRPr="00563472">
        <w:instrText>B</w:instrText>
      </w:r>
      <w:r w:rsidR="001F6F43">
        <w:fldChar w:fldCharType="end"/>
      </w:r>
      <w:r w:rsidRPr="00563472">
        <w:instrText xml:space="preserve">." </w:instrText>
      </w:r>
      <w:r w:rsidRPr="00563472">
        <w:fldChar w:fldCharType="separate"/>
      </w:r>
      <w:r w:rsidR="00EA42ED">
        <w:rPr>
          <w:noProof/>
        </w:rPr>
        <w:instrText>8</w:instrText>
      </w:r>
      <w:r w:rsidR="00EA42ED" w:rsidRPr="00563472">
        <w:rPr>
          <w:noProof/>
        </w:rPr>
        <w:instrText>.</w:instrText>
      </w:r>
      <w:r w:rsidRPr="00563472">
        <w:fldChar w:fldCharType="end"/>
      </w:r>
      <w:r w:rsidRPr="00563472">
        <w:fldChar w:fldCharType="begin"/>
      </w:r>
      <w:r w:rsidRPr="00563472">
        <w:instrText xml:space="preserve"> SEQ Item \* ARABIC \s </w:instrText>
      </w:r>
      <w:r w:rsidRPr="00563472">
        <w:fldChar w:fldCharType="begin"/>
      </w:r>
      <w:r w:rsidRPr="00563472">
        <w:instrText xml:space="preserve"> IF </w:instrText>
      </w:r>
      <w:r w:rsidRPr="00563472">
        <w:rPr>
          <w:noProof/>
        </w:rPr>
        <w:fldChar w:fldCharType="begin"/>
      </w:r>
      <w:r w:rsidRPr="00563472">
        <w:rPr>
          <w:noProof/>
        </w:rPr>
        <w:instrText xml:space="preserve"> STYLEREF "Heading 6" \l \n </w:instrText>
      </w:r>
      <w:r w:rsidRPr="00563472">
        <w:rPr>
          <w:noProof/>
        </w:rPr>
        <w:fldChar w:fldCharType="separate"/>
      </w:r>
      <w:r w:rsidR="00B833F1">
        <w:rPr>
          <w:noProof/>
        </w:rPr>
        <w:instrText>0</w:instrText>
      </w:r>
      <w:r w:rsidRPr="00563472">
        <w:rPr>
          <w:noProof/>
        </w:rPr>
        <w:fldChar w:fldCharType="end"/>
      </w:r>
      <w:r w:rsidRPr="00563472">
        <w:instrText xml:space="preserve"> = 0 "</w:instrText>
      </w:r>
      <w:r w:rsidRPr="00563472">
        <w:fldChar w:fldCharType="begin"/>
      </w:r>
      <w:r w:rsidRPr="00563472">
        <w:instrText xml:space="preserve"> IF </w:instrText>
      </w:r>
      <w:r w:rsidRPr="00563472">
        <w:rPr>
          <w:noProof/>
        </w:rPr>
        <w:fldChar w:fldCharType="begin"/>
      </w:r>
      <w:r w:rsidRPr="00563472">
        <w:rPr>
          <w:noProof/>
        </w:rPr>
        <w:instrText xml:space="preserve"> STYLEREF "Heading 1" \l \n </w:instrText>
      </w:r>
      <w:r w:rsidRPr="00563472">
        <w:rPr>
          <w:noProof/>
        </w:rPr>
        <w:fldChar w:fldCharType="separate"/>
      </w:r>
      <w:r w:rsidR="00B833F1">
        <w:rPr>
          <w:noProof/>
        </w:rPr>
        <w:instrText>8</w:instrText>
      </w:r>
      <w:r w:rsidRPr="00563472">
        <w:rPr>
          <w:noProof/>
        </w:rPr>
        <w:fldChar w:fldCharType="end"/>
      </w:r>
      <w:r w:rsidRPr="00563472">
        <w:instrText xml:space="preserve"> = 0 "" "1" </w:instrText>
      </w:r>
      <w:r w:rsidRPr="00563472">
        <w:fldChar w:fldCharType="separate"/>
      </w:r>
      <w:r w:rsidR="00EA42ED" w:rsidRPr="00563472">
        <w:rPr>
          <w:noProof/>
        </w:rPr>
        <w:instrText>1</w:instrText>
      </w:r>
      <w:r w:rsidRPr="00563472">
        <w:fldChar w:fldCharType="end"/>
      </w:r>
      <w:r w:rsidRPr="00563472">
        <w:instrText xml:space="preserve">" "6" </w:instrText>
      </w:r>
      <w:r w:rsidRPr="00563472">
        <w:fldChar w:fldCharType="separate"/>
      </w:r>
      <w:r w:rsidR="00EA42ED" w:rsidRPr="00563472">
        <w:rPr>
          <w:noProof/>
        </w:rPr>
        <w:instrText>1</w:instrText>
      </w:r>
      <w:r w:rsidRPr="00563472">
        <w:fldChar w:fldCharType="end"/>
      </w:r>
      <w:r w:rsidRPr="00563472">
        <w:instrText xml:space="preserve"> </w:instrText>
      </w:r>
      <w:r w:rsidRPr="00563472">
        <w:fldChar w:fldCharType="separate"/>
      </w:r>
      <w:r w:rsidR="00B833F1">
        <w:rPr>
          <w:noProof/>
        </w:rPr>
        <w:instrText>2</w:instrText>
      </w:r>
      <w:r w:rsidRPr="00563472">
        <w:fldChar w:fldCharType="end"/>
      </w:r>
      <w:r w:rsidRPr="00563472">
        <w:instrText xml:space="preserve">" "" </w:instrText>
      </w:r>
      <w:r w:rsidRPr="00563472">
        <w:fldChar w:fldCharType="separate"/>
      </w:r>
      <w:bookmarkStart w:id="3253" w:name="_Caption0412"/>
      <w:bookmarkStart w:id="3254" w:name="_Caption4113"/>
      <w:bookmarkStart w:id="3255" w:name="_Caption2640"/>
      <w:bookmarkStart w:id="3256" w:name="_Caption1764"/>
      <w:bookmarkStart w:id="3257" w:name="_Caption7491"/>
      <w:bookmarkStart w:id="3258" w:name="_Caption2472"/>
      <w:bookmarkStart w:id="3259" w:name="_Caption2667"/>
      <w:bookmarkStart w:id="3260" w:name="_Caption7671"/>
      <w:bookmarkStart w:id="3261" w:name="_Caption1602"/>
      <w:bookmarkStart w:id="3262" w:name="_Caption9382"/>
      <w:bookmarkStart w:id="3263" w:name="_Caption8479"/>
      <w:bookmarkStart w:id="3264" w:name="_Caption0427"/>
      <w:bookmarkStart w:id="3265" w:name="_Caption9364"/>
      <w:bookmarkStart w:id="3266" w:name="_Caption4191"/>
      <w:bookmarkStart w:id="3267" w:name="_Caption7440"/>
      <w:bookmarkStart w:id="3268" w:name="_Caption2081"/>
      <w:bookmarkStart w:id="3269" w:name="_Caption8399"/>
      <w:bookmarkStart w:id="3270" w:name="_Caption1051"/>
      <w:bookmarkStart w:id="3271" w:name="_Caption2940"/>
      <w:bookmarkStart w:id="3272" w:name="_Caption8372"/>
      <w:bookmarkStart w:id="3273" w:name="_Caption4646"/>
      <w:bookmarkStart w:id="3274" w:name="_Caption0549"/>
      <w:bookmarkStart w:id="3275" w:name="_Caption9463"/>
      <w:bookmarkStart w:id="3276" w:name="_Caption3691"/>
      <w:bookmarkStart w:id="3277" w:name="_Caption7348"/>
      <w:bookmarkStart w:id="3278" w:name="_Caption6228"/>
      <w:bookmarkStart w:id="3279" w:name="_Caption3852"/>
      <w:bookmarkStart w:id="3280" w:name="_Caption1103"/>
      <w:bookmarkStart w:id="3281" w:name="_Caption5411"/>
      <w:bookmarkStart w:id="3282" w:name="_Caption3596"/>
      <w:bookmarkStart w:id="3283" w:name="_Caption6078"/>
      <w:bookmarkStart w:id="3284" w:name="_Caption8515"/>
      <w:bookmarkStart w:id="3285" w:name="_Caption6831"/>
      <w:bookmarkStart w:id="3286" w:name="_Caption3651"/>
      <w:bookmarkStart w:id="3287" w:name="_Caption8538"/>
      <w:bookmarkStart w:id="3288" w:name="_Caption6442"/>
      <w:bookmarkStart w:id="3289" w:name="_Caption0183"/>
      <w:bookmarkStart w:id="3290" w:name="_Caption3389"/>
      <w:bookmarkStart w:id="3291" w:name="_Caption3252"/>
      <w:bookmarkStart w:id="3292" w:name="_Caption0972"/>
      <w:bookmarkStart w:id="3293" w:name="_Caption2961"/>
      <w:bookmarkStart w:id="3294" w:name="_Caption9286"/>
      <w:bookmarkStart w:id="3295" w:name="_Caption3245"/>
      <w:bookmarkStart w:id="3296" w:name="_Caption1686"/>
      <w:bookmarkStart w:id="3297" w:name="_Caption8753"/>
      <w:bookmarkStart w:id="3298" w:name="_Caption7010"/>
      <w:bookmarkStart w:id="3299" w:name="_Caption7399"/>
      <w:bookmarkStart w:id="3300" w:name="_Caption9835"/>
      <w:bookmarkStart w:id="3301" w:name="_Caption4928"/>
      <w:bookmarkStart w:id="3302" w:name="_Caption0416"/>
      <w:bookmarkStart w:id="3303" w:name="_Caption8430"/>
      <w:bookmarkStart w:id="3304" w:name="_Caption1518"/>
      <w:bookmarkStart w:id="3305" w:name="_Caption2851"/>
      <w:bookmarkStart w:id="3306" w:name="_Caption0755"/>
      <w:bookmarkStart w:id="3307" w:name="_Caption1495"/>
      <w:bookmarkStart w:id="3308" w:name="_Caption2648"/>
      <w:bookmarkStart w:id="3309" w:name="_Caption8900"/>
      <w:bookmarkStart w:id="3310" w:name="_Caption7163"/>
      <w:bookmarkStart w:id="3311" w:name="_Caption9373"/>
      <w:bookmarkStart w:id="3312" w:name="_Caption0617"/>
      <w:bookmarkStart w:id="3313" w:name="_Caption3246"/>
      <w:bookmarkStart w:id="3314" w:name="_Caption3193"/>
      <w:bookmarkStart w:id="3315" w:name="_Caption2255"/>
      <w:bookmarkStart w:id="3316" w:name="_Caption4551"/>
      <w:bookmarkStart w:id="3317" w:name="_Caption8954"/>
      <w:bookmarkStart w:id="3318" w:name="_Caption7324"/>
      <w:bookmarkStart w:id="3319" w:name="_Caption9821"/>
      <w:bookmarkStart w:id="3320" w:name="_Toc529869941"/>
      <w:bookmarkStart w:id="3321" w:name="_Toc530748437"/>
      <w:r w:rsidR="00EA42ED">
        <w:rPr>
          <w:noProof/>
        </w:rPr>
        <w:t>8</w:t>
      </w:r>
      <w:r w:rsidR="00EA42ED" w:rsidRPr="00563472">
        <w:rPr>
          <w:noProof/>
        </w:rPr>
        <w:t>.</w:t>
      </w:r>
      <w:r w:rsidR="00EA42ED">
        <w:rPr>
          <w:noProof/>
        </w:rPr>
        <w:t>2</w:t>
      </w:r>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r w:rsidRPr="00563472">
        <w:fldChar w:fldCharType="end"/>
      </w:r>
      <w:r w:rsidRPr="00563472">
        <w:tab/>
        <w:t>Building</w:t>
      </w:r>
      <w:r w:rsidRPr="00563472">
        <w:noBreakHyphen/>
        <w:t>level net impacts — Victoria</w:t>
      </w:r>
      <w:bookmarkEnd w:id="3320"/>
      <w:bookmarkEnd w:id="3321"/>
    </w:p>
    <w:tbl>
      <w:tblPr>
        <w:tblW w:w="7937" w:type="dxa"/>
        <w:tblLayout w:type="fixed"/>
        <w:tblLook w:val="0000" w:firstRow="0" w:lastRow="0" w:firstColumn="0" w:lastColumn="0" w:noHBand="0" w:noVBand="0"/>
        <w:tblCaption w:val="Tble 8.2: Building-level net impacts - Victoria"/>
        <w:tblDescription w:val="This table outlines the building level net impacts of the proposed changes to NCC 2019 by building classiciation and climate zone for Victoria. "/>
      </w:tblPr>
      <w:tblGrid>
        <w:gridCol w:w="2456"/>
        <w:gridCol w:w="783"/>
        <w:gridCol w:w="783"/>
        <w:gridCol w:w="783"/>
        <w:gridCol w:w="783"/>
        <w:gridCol w:w="783"/>
        <w:gridCol w:w="783"/>
        <w:gridCol w:w="783"/>
      </w:tblGrid>
      <w:tr w:rsidR="00612FD3" w:rsidTr="00301B6D">
        <w:trPr>
          <w:trHeight w:val="230"/>
          <w:tblHeader/>
        </w:trPr>
        <w:tc>
          <w:tcPr>
            <w:tcW w:w="2456" w:type="dxa"/>
            <w:shd w:val="clear" w:color="auto" w:fill="6F6652"/>
            <w:tcMar>
              <w:left w:w="57" w:type="dxa"/>
              <w:right w:w="57" w:type="dxa"/>
            </w:tcMar>
          </w:tcPr>
          <w:p w:rsidR="00612FD3" w:rsidRDefault="00612FD3" w:rsidP="00301B6D">
            <w:pPr>
              <w:pStyle w:val="TableDataColumnHeading"/>
              <w:jc w:val="left"/>
              <w:rPr>
                <w:lang w:val="en-GB"/>
              </w:rPr>
            </w:pPr>
          </w:p>
        </w:tc>
        <w:tc>
          <w:tcPr>
            <w:tcW w:w="783" w:type="dxa"/>
            <w:shd w:val="clear" w:color="auto" w:fill="6F6652"/>
            <w:tcMar>
              <w:left w:w="57" w:type="dxa"/>
              <w:right w:w="57" w:type="dxa"/>
            </w:tcMar>
          </w:tcPr>
          <w:p w:rsidR="00612FD3" w:rsidRDefault="00612FD3" w:rsidP="00301B6D">
            <w:pPr>
              <w:pStyle w:val="TableDataColumnHeading"/>
              <w:rPr>
                <w:b/>
                <w:bCs/>
                <w:lang w:val="en-GB"/>
              </w:rPr>
            </w:pPr>
            <w:r>
              <w:rPr>
                <w:b/>
                <w:bCs/>
                <w:lang w:val="en-GB"/>
              </w:rPr>
              <w:t>CZ1</w:t>
            </w:r>
          </w:p>
        </w:tc>
        <w:tc>
          <w:tcPr>
            <w:tcW w:w="783" w:type="dxa"/>
            <w:shd w:val="clear" w:color="auto" w:fill="6F6652"/>
            <w:tcMar>
              <w:left w:w="57" w:type="dxa"/>
              <w:right w:w="57" w:type="dxa"/>
            </w:tcMar>
          </w:tcPr>
          <w:p w:rsidR="00612FD3" w:rsidRDefault="00612FD3" w:rsidP="00301B6D">
            <w:pPr>
              <w:pStyle w:val="TableDataColumnHeading"/>
              <w:rPr>
                <w:b/>
                <w:bCs/>
                <w:lang w:val="en-GB"/>
              </w:rPr>
            </w:pPr>
            <w:r>
              <w:rPr>
                <w:b/>
                <w:bCs/>
                <w:lang w:val="en-GB"/>
              </w:rPr>
              <w:t>CZ2</w:t>
            </w:r>
          </w:p>
        </w:tc>
        <w:tc>
          <w:tcPr>
            <w:tcW w:w="783" w:type="dxa"/>
            <w:shd w:val="clear" w:color="auto" w:fill="6F6652"/>
            <w:tcMar>
              <w:left w:w="57" w:type="dxa"/>
              <w:right w:w="57" w:type="dxa"/>
            </w:tcMar>
          </w:tcPr>
          <w:p w:rsidR="00612FD3" w:rsidRDefault="00612FD3" w:rsidP="00301B6D">
            <w:pPr>
              <w:pStyle w:val="TableDataColumnHeading"/>
              <w:rPr>
                <w:b/>
                <w:bCs/>
                <w:lang w:val="en-GB"/>
              </w:rPr>
            </w:pPr>
            <w:r>
              <w:rPr>
                <w:b/>
                <w:bCs/>
                <w:lang w:val="en-GB"/>
              </w:rPr>
              <w:t>CZ3</w:t>
            </w:r>
          </w:p>
        </w:tc>
        <w:tc>
          <w:tcPr>
            <w:tcW w:w="783" w:type="dxa"/>
            <w:shd w:val="clear" w:color="auto" w:fill="6F6652"/>
            <w:tcMar>
              <w:left w:w="57" w:type="dxa"/>
              <w:right w:w="57" w:type="dxa"/>
            </w:tcMar>
          </w:tcPr>
          <w:p w:rsidR="00612FD3" w:rsidRDefault="00612FD3" w:rsidP="00301B6D">
            <w:pPr>
              <w:pStyle w:val="TableDataColumnHeading"/>
              <w:rPr>
                <w:b/>
                <w:bCs/>
                <w:lang w:val="en-GB"/>
              </w:rPr>
            </w:pPr>
            <w:r>
              <w:rPr>
                <w:b/>
                <w:bCs/>
                <w:lang w:val="en-GB"/>
              </w:rPr>
              <w:t>CZ4</w:t>
            </w:r>
          </w:p>
        </w:tc>
        <w:tc>
          <w:tcPr>
            <w:tcW w:w="783" w:type="dxa"/>
            <w:shd w:val="clear" w:color="auto" w:fill="6F6652"/>
            <w:tcMar>
              <w:left w:w="57" w:type="dxa"/>
              <w:right w:w="57" w:type="dxa"/>
            </w:tcMar>
          </w:tcPr>
          <w:p w:rsidR="00612FD3" w:rsidRDefault="00612FD3" w:rsidP="00301B6D">
            <w:pPr>
              <w:pStyle w:val="TableDataColumnHeading"/>
              <w:rPr>
                <w:b/>
                <w:bCs/>
                <w:lang w:val="en-GB"/>
              </w:rPr>
            </w:pPr>
            <w:r>
              <w:rPr>
                <w:b/>
                <w:bCs/>
                <w:lang w:val="en-GB"/>
              </w:rPr>
              <w:t>CZ5</w:t>
            </w:r>
          </w:p>
        </w:tc>
        <w:tc>
          <w:tcPr>
            <w:tcW w:w="783" w:type="dxa"/>
            <w:shd w:val="clear" w:color="auto" w:fill="6F6652"/>
            <w:tcMar>
              <w:left w:w="57" w:type="dxa"/>
              <w:right w:w="57" w:type="dxa"/>
            </w:tcMar>
          </w:tcPr>
          <w:p w:rsidR="00612FD3" w:rsidRDefault="00612FD3" w:rsidP="00301B6D">
            <w:pPr>
              <w:pStyle w:val="TableDataColumnHeading"/>
              <w:rPr>
                <w:b/>
                <w:bCs/>
                <w:lang w:val="en-GB"/>
              </w:rPr>
            </w:pPr>
            <w:r>
              <w:rPr>
                <w:b/>
                <w:bCs/>
                <w:lang w:val="en-GB"/>
              </w:rPr>
              <w:t>CZ6</w:t>
            </w:r>
          </w:p>
        </w:tc>
        <w:tc>
          <w:tcPr>
            <w:tcW w:w="783" w:type="dxa"/>
            <w:shd w:val="clear" w:color="auto" w:fill="6F6652"/>
            <w:tcMar>
              <w:left w:w="57" w:type="dxa"/>
              <w:right w:w="57" w:type="dxa"/>
            </w:tcMar>
          </w:tcPr>
          <w:p w:rsidR="00612FD3" w:rsidRDefault="00612FD3" w:rsidP="00301B6D">
            <w:pPr>
              <w:pStyle w:val="TableDataColumnHeading"/>
              <w:rPr>
                <w:b/>
                <w:bCs/>
                <w:lang w:val="en-GB"/>
              </w:rPr>
            </w:pPr>
            <w:r>
              <w:rPr>
                <w:b/>
                <w:bCs/>
                <w:lang w:val="en-GB"/>
              </w:rPr>
              <w:t>CZ7</w:t>
            </w:r>
          </w:p>
        </w:tc>
      </w:tr>
      <w:tr w:rsidR="00612FD3" w:rsidTr="00301B6D">
        <w:trPr>
          <w:trHeight w:val="230"/>
          <w:tblHeader/>
        </w:trPr>
        <w:tc>
          <w:tcPr>
            <w:tcW w:w="2456"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jc w:val="left"/>
              <w:rPr>
                <w:lang w:val="en-GB"/>
              </w:rPr>
            </w:pP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D742B2">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D742B2">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D742B2">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D742B2">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D742B2">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D742B2">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D742B2">
              <w:rPr>
                <w:vertAlign w:val="superscript"/>
                <w:lang w:val="en-GB"/>
              </w:rPr>
              <w:t>2</w:t>
            </w:r>
          </w:p>
        </w:tc>
      </w:tr>
      <w:tr w:rsidR="00612FD3" w:rsidTr="00301B6D">
        <w:trPr>
          <w:trHeight w:val="230"/>
        </w:trPr>
        <w:tc>
          <w:tcPr>
            <w:tcW w:w="245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r>
              <w:rPr>
                <w:lang w:val="en-GB"/>
              </w:rPr>
              <w:t>Low scenario</w:t>
            </w: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r>
      <w:tr w:rsidR="00F03986"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F03986" w:rsidRDefault="00F03986" w:rsidP="00F03986">
            <w:pPr>
              <w:pStyle w:val="TableDataEntries"/>
              <w:jc w:val="left"/>
              <w:rPr>
                <w:lang w:val="en-GB"/>
              </w:rPr>
            </w:pPr>
            <w:r>
              <w:rPr>
                <w:lang w:val="en-GB"/>
              </w:rPr>
              <w:t>Hotel</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xml:space="preserve"> 41.99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xml:space="preserve"> 43.15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xml:space="preserve"> 52.43</w:t>
            </w:r>
          </w:p>
        </w:tc>
      </w:tr>
      <w:tr w:rsidR="00F03986"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F03986" w:rsidRDefault="00F03986" w:rsidP="00F03986">
            <w:pPr>
              <w:pStyle w:val="TableDataEntries"/>
              <w:jc w:val="left"/>
              <w:rPr>
                <w:lang w:val="en-GB"/>
              </w:rPr>
            </w:pPr>
            <w:r>
              <w:rPr>
                <w:lang w:val="en-GB"/>
              </w:rPr>
              <w:t>Office building</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xml:space="preserve"> 2.91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xml:space="preserve"> 4.91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xml:space="preserve"> 8.20</w:t>
            </w:r>
          </w:p>
        </w:tc>
      </w:tr>
      <w:tr w:rsidR="00F03986"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F03986" w:rsidRDefault="00F03986" w:rsidP="00F03986">
            <w:pPr>
              <w:pStyle w:val="TableDataEntries"/>
              <w:jc w:val="left"/>
              <w:rPr>
                <w:lang w:val="en-GB"/>
              </w:rPr>
            </w:pPr>
            <w:r>
              <w:rPr>
                <w:lang w:val="en-GB"/>
              </w:rPr>
              <w:t>Retail</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xml:space="preserve"> 25.22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xml:space="preserve"> 30.06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- 17.35</w:t>
            </w:r>
          </w:p>
        </w:tc>
      </w:tr>
      <w:tr w:rsidR="00F03986"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F03986" w:rsidRDefault="00F03986" w:rsidP="00F03986">
            <w:pPr>
              <w:pStyle w:val="TableDataEntries"/>
              <w:jc w:val="left"/>
              <w:rPr>
                <w:lang w:val="en-GB"/>
              </w:rPr>
            </w:pPr>
            <w:r>
              <w:rPr>
                <w:lang w:val="en-GB"/>
              </w:rPr>
              <w:t>Healthcare</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xml:space="preserve"> 0.91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- 21.56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- 14.92</w:t>
            </w:r>
          </w:p>
        </w:tc>
      </w:tr>
      <w:tr w:rsidR="00F03986"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F03986" w:rsidRDefault="00F03986" w:rsidP="00F03986">
            <w:pPr>
              <w:pStyle w:val="TableDataEntries"/>
              <w:jc w:val="left"/>
              <w:rPr>
                <w:lang w:val="en-GB"/>
              </w:rPr>
            </w:pPr>
            <w:r>
              <w:rPr>
                <w:lang w:val="en-GB"/>
              </w:rPr>
              <w:t>School</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xml:space="preserve"> 27.44</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xml:space="preserve"> 31.22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xml:space="preserve"> 45.83</w:t>
            </w:r>
          </w:p>
        </w:tc>
      </w:tr>
      <w:tr w:rsidR="00612FD3" w:rsidTr="00301B6D">
        <w:trPr>
          <w:trHeight w:val="230"/>
        </w:trPr>
        <w:tc>
          <w:tcPr>
            <w:tcW w:w="245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r>
              <w:rPr>
                <w:lang w:val="en-GB"/>
              </w:rPr>
              <w:t>Medium scenario</w:t>
            </w: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Pr="00563472" w:rsidRDefault="00612FD3" w:rsidP="00563472">
            <w:pPr>
              <w:pStyle w:val="TableDataEntries"/>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Pr="00563472" w:rsidRDefault="00612FD3" w:rsidP="00563472">
            <w:pPr>
              <w:pStyle w:val="TableDataEntries"/>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Pr="00563472" w:rsidRDefault="00612FD3" w:rsidP="00563472">
            <w:pPr>
              <w:pStyle w:val="TableDataEntries"/>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Pr="00563472" w:rsidRDefault="00612FD3" w:rsidP="00563472">
            <w:pPr>
              <w:pStyle w:val="TableDataEntries"/>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Pr="00563472" w:rsidRDefault="00612FD3" w:rsidP="00563472">
            <w:pPr>
              <w:pStyle w:val="TableDataEntries"/>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Pr="00563472" w:rsidRDefault="00612FD3" w:rsidP="00563472">
            <w:pPr>
              <w:pStyle w:val="TableDataEntries"/>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Pr="00563472" w:rsidRDefault="00612FD3" w:rsidP="00563472">
            <w:pPr>
              <w:pStyle w:val="TableDataEntries"/>
            </w:pPr>
          </w:p>
        </w:tc>
      </w:tr>
      <w:tr w:rsidR="00F03986"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F03986" w:rsidRDefault="00F03986" w:rsidP="00F03986">
            <w:pPr>
              <w:pStyle w:val="TableDataEntries"/>
              <w:jc w:val="left"/>
              <w:rPr>
                <w:lang w:val="en-GB"/>
              </w:rPr>
            </w:pPr>
            <w:r>
              <w:rPr>
                <w:lang w:val="en-GB"/>
              </w:rPr>
              <w:t>Hotel</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xml:space="preserve"> 62.44</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xml:space="preserve"> 64.35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xml:space="preserve"> 72.32</w:t>
            </w:r>
          </w:p>
        </w:tc>
      </w:tr>
      <w:tr w:rsidR="00F03986"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F03986" w:rsidRDefault="00F03986" w:rsidP="00F03986">
            <w:pPr>
              <w:pStyle w:val="TableDataEntries"/>
              <w:jc w:val="left"/>
              <w:rPr>
                <w:lang w:val="en-GB"/>
              </w:rPr>
            </w:pPr>
            <w:r>
              <w:rPr>
                <w:lang w:val="en-GB"/>
              </w:rPr>
              <w:t>Office building</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xml:space="preserve"> 7.92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xml:space="preserve"> 10.00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xml:space="preserve"> 13.16</w:t>
            </w:r>
          </w:p>
        </w:tc>
      </w:tr>
      <w:tr w:rsidR="00F03986"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F03986" w:rsidRDefault="00F03986" w:rsidP="00F03986">
            <w:pPr>
              <w:pStyle w:val="TableDataEntries"/>
              <w:jc w:val="left"/>
              <w:rPr>
                <w:lang w:val="en-GB"/>
              </w:rPr>
            </w:pPr>
            <w:r>
              <w:rPr>
                <w:lang w:val="en-GB"/>
              </w:rPr>
              <w:t>Retail</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xml:space="preserve"> 47.12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xml:space="preserve"> 50.27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- 17.72</w:t>
            </w:r>
          </w:p>
        </w:tc>
      </w:tr>
      <w:tr w:rsidR="00F03986"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F03986" w:rsidRDefault="00F03986" w:rsidP="00F03986">
            <w:pPr>
              <w:pStyle w:val="TableDataEntries"/>
              <w:jc w:val="left"/>
              <w:rPr>
                <w:lang w:val="en-GB"/>
              </w:rPr>
            </w:pPr>
            <w:r>
              <w:rPr>
                <w:lang w:val="en-GB"/>
              </w:rPr>
              <w:t>Healthcare</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xml:space="preserve"> 10.11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- 19.09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- 8.21</w:t>
            </w:r>
          </w:p>
        </w:tc>
      </w:tr>
      <w:tr w:rsidR="00F03986"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F03986" w:rsidRDefault="00F03986" w:rsidP="00F03986">
            <w:pPr>
              <w:pStyle w:val="TableDataEntries"/>
              <w:jc w:val="left"/>
              <w:rPr>
                <w:lang w:val="en-GB"/>
              </w:rPr>
            </w:pPr>
            <w:r>
              <w:rPr>
                <w:lang w:val="en-GB"/>
              </w:rPr>
              <w:t>School</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xml:space="preserve"> 49.99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xml:space="preserve"> 50.68</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xml:space="preserve"> 73.10</w:t>
            </w:r>
          </w:p>
        </w:tc>
      </w:tr>
      <w:tr w:rsidR="00612FD3" w:rsidTr="00301B6D">
        <w:trPr>
          <w:trHeight w:val="230"/>
        </w:trPr>
        <w:tc>
          <w:tcPr>
            <w:tcW w:w="245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r>
              <w:rPr>
                <w:lang w:val="en-GB"/>
              </w:rPr>
              <w:t>High scenario</w:t>
            </w: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Pr="00563472" w:rsidRDefault="00612FD3" w:rsidP="00563472">
            <w:pPr>
              <w:pStyle w:val="TableDataEntries"/>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Pr="00563472" w:rsidRDefault="00612FD3" w:rsidP="00563472">
            <w:pPr>
              <w:pStyle w:val="TableDataEntries"/>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Pr="00563472" w:rsidRDefault="00612FD3" w:rsidP="00563472">
            <w:pPr>
              <w:pStyle w:val="TableDataEntries"/>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Pr="00563472" w:rsidRDefault="00612FD3" w:rsidP="00563472">
            <w:pPr>
              <w:pStyle w:val="TableDataEntries"/>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Pr="00563472" w:rsidRDefault="00612FD3" w:rsidP="00563472">
            <w:pPr>
              <w:pStyle w:val="TableDataEntries"/>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Pr="00563472" w:rsidRDefault="00612FD3" w:rsidP="00563472">
            <w:pPr>
              <w:pStyle w:val="TableDataEntries"/>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Pr="00563472" w:rsidRDefault="00612FD3" w:rsidP="00563472">
            <w:pPr>
              <w:pStyle w:val="TableDataEntries"/>
            </w:pPr>
          </w:p>
        </w:tc>
      </w:tr>
      <w:tr w:rsidR="00563472"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563472" w:rsidRDefault="00563472" w:rsidP="00563472">
            <w:pPr>
              <w:pStyle w:val="TableDataEntries"/>
              <w:jc w:val="left"/>
              <w:rPr>
                <w:lang w:val="en-GB"/>
              </w:rPr>
            </w:pPr>
            <w:r>
              <w:rPr>
                <w:lang w:val="en-GB"/>
              </w:rPr>
              <w:t>Hotel</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82.88</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85.54</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92.20</w:t>
            </w:r>
          </w:p>
        </w:tc>
      </w:tr>
      <w:tr w:rsidR="00563472"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563472" w:rsidRDefault="00563472" w:rsidP="00563472">
            <w:pPr>
              <w:pStyle w:val="TableDataEntries"/>
              <w:jc w:val="left"/>
              <w:rPr>
                <w:lang w:val="en-GB"/>
              </w:rPr>
            </w:pPr>
            <w:r>
              <w:rPr>
                <w:lang w:val="en-GB"/>
              </w:rPr>
              <w:t>Office building</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12.93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15.10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18.12</w:t>
            </w:r>
          </w:p>
        </w:tc>
      </w:tr>
      <w:tr w:rsidR="00563472"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563472" w:rsidRDefault="00563472" w:rsidP="00563472">
            <w:pPr>
              <w:pStyle w:val="TableDataEntries"/>
              <w:jc w:val="left"/>
              <w:rPr>
                <w:lang w:val="en-GB"/>
              </w:rPr>
            </w:pPr>
            <w:r>
              <w:rPr>
                <w:lang w:val="en-GB"/>
              </w:rPr>
              <w:t>Retail</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69.03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70.48</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- 18.09</w:t>
            </w:r>
          </w:p>
        </w:tc>
      </w:tr>
      <w:tr w:rsidR="00563472"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563472" w:rsidRDefault="00563472" w:rsidP="00563472">
            <w:pPr>
              <w:pStyle w:val="TableDataEntries"/>
              <w:jc w:val="left"/>
              <w:rPr>
                <w:lang w:val="en-GB"/>
              </w:rPr>
            </w:pPr>
            <w:r>
              <w:rPr>
                <w:lang w:val="en-GB"/>
              </w:rPr>
              <w:t>Healthcare</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19.31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- 16.62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- 1.50</w:t>
            </w:r>
          </w:p>
        </w:tc>
      </w:tr>
      <w:tr w:rsidR="00563472" w:rsidTr="00301B6D">
        <w:trPr>
          <w:trHeight w:val="230"/>
        </w:trPr>
        <w:tc>
          <w:tcPr>
            <w:tcW w:w="2456" w:type="dxa"/>
            <w:tcBorders>
              <w:top w:val="single" w:sz="8" w:space="0" w:color="FFFFFF" w:themeColor="background1"/>
              <w:bottom w:val="single" w:sz="6" w:space="0" w:color="6F6652"/>
            </w:tcBorders>
            <w:shd w:val="clear" w:color="auto" w:fill="E9E8E5" w:themeFill="background2"/>
            <w:tcMar>
              <w:left w:w="57" w:type="dxa"/>
              <w:right w:w="57" w:type="dxa"/>
            </w:tcMar>
          </w:tcPr>
          <w:p w:rsidR="00563472" w:rsidRDefault="00563472" w:rsidP="00563472">
            <w:pPr>
              <w:pStyle w:val="TableDataEntries"/>
              <w:jc w:val="left"/>
              <w:rPr>
                <w:lang w:val="en-GB"/>
              </w:rPr>
            </w:pPr>
            <w:r>
              <w:rPr>
                <w:lang w:val="en-GB"/>
              </w:rPr>
              <w:t>School</w:t>
            </w:r>
          </w:p>
        </w:tc>
        <w:tc>
          <w:tcPr>
            <w:tcW w:w="783"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72.54</w:t>
            </w:r>
          </w:p>
        </w:tc>
        <w:tc>
          <w:tcPr>
            <w:tcW w:w="783"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70.15</w:t>
            </w:r>
          </w:p>
        </w:tc>
        <w:tc>
          <w:tcPr>
            <w:tcW w:w="783"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100.37</w:t>
            </w:r>
          </w:p>
        </w:tc>
      </w:tr>
    </w:tbl>
    <w:p w:rsidR="00CA6CF4" w:rsidRDefault="00CA6CF4" w:rsidP="00CA6CF4">
      <w:pPr>
        <w:pStyle w:val="Note"/>
        <w:rPr>
          <w:lang w:bidi="fa-IR"/>
        </w:rPr>
      </w:pPr>
      <w:r w:rsidRPr="007B3E1B">
        <w:rPr>
          <w:i/>
          <w:lang w:bidi="fa-IR"/>
        </w:rPr>
        <w:t>Note:</w:t>
      </w:r>
      <w:r>
        <w:rPr>
          <w:lang w:bidi="fa-IR"/>
        </w:rPr>
        <w:t xml:space="preserve"> Net impacts include the private benefits and costs to building owners/tenants and the global benefits from reduced GHG emissions.</w:t>
      </w:r>
    </w:p>
    <w:p w:rsidR="00612FD3" w:rsidRDefault="00612FD3" w:rsidP="00612FD3">
      <w:pPr>
        <w:pStyle w:val="Source"/>
        <w:rPr>
          <w:lang w:bidi="fa-IR"/>
        </w:rPr>
      </w:pPr>
      <w:r w:rsidRPr="00D742B2">
        <w:rPr>
          <w:i/>
          <w:lang w:bidi="fa-IR"/>
        </w:rPr>
        <w:t>Source:</w:t>
      </w:r>
      <w:r>
        <w:rPr>
          <w:lang w:bidi="fa-IR"/>
        </w:rPr>
        <w:t xml:space="preserve"> CIE based on </w:t>
      </w:r>
      <w:r w:rsidR="003F28DD">
        <w:rPr>
          <w:lang w:bidi="fa-IR"/>
        </w:rPr>
        <w:t>EA</w:t>
      </w:r>
      <w:r>
        <w:rPr>
          <w:lang w:bidi="fa-IR"/>
        </w:rPr>
        <w:t xml:space="preserve"> modelling.</w:t>
      </w:r>
    </w:p>
    <w:p w:rsidR="00612FD3" w:rsidRDefault="00612FD3" w:rsidP="00914293">
      <w:pPr>
        <w:pStyle w:val="Heading4"/>
        <w:rPr>
          <w:lang w:val="en-GB"/>
        </w:rPr>
      </w:pPr>
      <w:r>
        <w:rPr>
          <w:lang w:val="en-GB"/>
        </w:rPr>
        <w:t>Queensland</w:t>
      </w:r>
    </w:p>
    <w:p w:rsidR="00612FD3" w:rsidRDefault="00612FD3" w:rsidP="00612FD3">
      <w:pPr>
        <w:pStyle w:val="BodyText"/>
        <w:rPr>
          <w:lang w:val="en-GB"/>
        </w:rPr>
      </w:pPr>
      <w:r>
        <w:rPr>
          <w:lang w:val="en-GB"/>
        </w:rPr>
        <w:t xml:space="preserve">Queensland spans </w:t>
      </w:r>
      <w:r w:rsidR="00E31EE8">
        <w:rPr>
          <w:lang w:val="en-GB"/>
        </w:rPr>
        <w:t>Climate Zone</w:t>
      </w:r>
      <w:r>
        <w:rPr>
          <w:lang w:val="en-GB"/>
        </w:rPr>
        <w:t>s 1</w:t>
      </w:r>
      <w:r>
        <w:rPr>
          <w:lang w:val="en-GB"/>
        </w:rPr>
        <w:noBreakHyphen/>
        <w:t xml:space="preserve">3 and 5. Based on the Queensland energy price profile, the modelling suggests that the proposed changes to the NCC will result in net benefits across all building types in each of these </w:t>
      </w:r>
      <w:r w:rsidR="00E31EE8">
        <w:rPr>
          <w:lang w:val="en-GB"/>
        </w:rPr>
        <w:t>Climate Zone</w:t>
      </w:r>
      <w:r>
        <w:rPr>
          <w:lang w:val="en-GB"/>
        </w:rPr>
        <w:t>s.</w:t>
      </w:r>
    </w:p>
    <w:p w:rsidR="0032647A" w:rsidRDefault="0032647A" w:rsidP="00612FD3">
      <w:pPr>
        <w:pStyle w:val="Caption"/>
      </w:pPr>
      <w:r>
        <w:br w:type="page"/>
      </w:r>
    </w:p>
    <w:p w:rsidR="00612FD3" w:rsidRDefault="00612FD3" w:rsidP="00612FD3">
      <w:pPr>
        <w:pStyle w:val="Caption"/>
      </w:pPr>
      <w:r w:rsidRPr="00563472">
        <w:fldChar w:fldCharType="begin"/>
      </w:r>
      <w:r w:rsidRPr="00563472">
        <w:instrText xml:space="preserve"> IF 1 = 1 "</w:instrText>
      </w:r>
      <w:r w:rsidRPr="00563472">
        <w:fldChar w:fldCharType="begin"/>
      </w:r>
      <w:r w:rsidRPr="00563472">
        <w:instrText xml:space="preserve"> IF </w:instrText>
      </w:r>
      <w:r w:rsidRPr="00563472">
        <w:rPr>
          <w:noProof/>
        </w:rPr>
        <w:fldChar w:fldCharType="begin"/>
      </w:r>
      <w:r w:rsidRPr="00563472">
        <w:rPr>
          <w:noProof/>
        </w:rPr>
        <w:instrText xml:space="preserve"> STYLEREF "Heading 6" \l \n </w:instrText>
      </w:r>
      <w:r w:rsidRPr="00563472">
        <w:rPr>
          <w:noProof/>
        </w:rPr>
        <w:fldChar w:fldCharType="separate"/>
      </w:r>
      <w:r w:rsidR="00B833F1">
        <w:rPr>
          <w:noProof/>
        </w:rPr>
        <w:instrText>0</w:instrText>
      </w:r>
      <w:r w:rsidRPr="00563472">
        <w:rPr>
          <w:noProof/>
        </w:rPr>
        <w:fldChar w:fldCharType="end"/>
      </w:r>
      <w:r w:rsidRPr="00563472">
        <w:instrText xml:space="preserve"> = 0 "</w:instrText>
      </w:r>
      <w:r w:rsidRPr="00563472">
        <w:fldChar w:fldCharType="begin"/>
      </w:r>
      <w:r w:rsidRPr="00563472">
        <w:instrText xml:space="preserve"> IF </w:instrText>
      </w:r>
      <w:r w:rsidRPr="00563472">
        <w:rPr>
          <w:noProof/>
        </w:rPr>
        <w:fldChar w:fldCharType="begin"/>
      </w:r>
      <w:r w:rsidRPr="00563472">
        <w:rPr>
          <w:noProof/>
        </w:rPr>
        <w:instrText xml:space="preserve"> STYLEREF "Heading 1" \l \n </w:instrText>
      </w:r>
      <w:r w:rsidRPr="00563472">
        <w:rPr>
          <w:noProof/>
        </w:rPr>
        <w:fldChar w:fldCharType="separate"/>
      </w:r>
      <w:r w:rsidR="00B833F1">
        <w:rPr>
          <w:noProof/>
        </w:rPr>
        <w:instrText>8</w:instrText>
      </w:r>
      <w:r w:rsidRPr="00563472">
        <w:rPr>
          <w:noProof/>
        </w:rPr>
        <w:fldChar w:fldCharType="end"/>
      </w:r>
      <w:r w:rsidRPr="00563472">
        <w:instrText xml:space="preserve"> = 0 "" "</w:instrText>
      </w:r>
      <w:r w:rsidRPr="00563472">
        <w:rPr>
          <w:noProof/>
        </w:rPr>
        <w:fldChar w:fldCharType="begin"/>
      </w:r>
      <w:r w:rsidRPr="00563472">
        <w:rPr>
          <w:noProof/>
        </w:rPr>
        <w:instrText xml:space="preserve"> STYLEREF "Heading 1" \l \n </w:instrText>
      </w:r>
      <w:r w:rsidRPr="00563472">
        <w:rPr>
          <w:noProof/>
        </w:rPr>
        <w:fldChar w:fldCharType="separate"/>
      </w:r>
      <w:r w:rsidR="00B833F1">
        <w:rPr>
          <w:noProof/>
        </w:rPr>
        <w:instrText>8</w:instrText>
      </w:r>
      <w:r w:rsidRPr="00563472">
        <w:rPr>
          <w:noProof/>
        </w:rPr>
        <w:fldChar w:fldCharType="end"/>
      </w:r>
      <w:r w:rsidRPr="00563472">
        <w:instrText xml:space="preserve">." </w:instrText>
      </w:r>
      <w:r w:rsidRPr="00563472">
        <w:fldChar w:fldCharType="separate"/>
      </w:r>
      <w:r w:rsidR="00B833F1">
        <w:rPr>
          <w:noProof/>
        </w:rPr>
        <w:instrText>8</w:instrText>
      </w:r>
      <w:r w:rsidR="00B833F1" w:rsidRPr="00563472">
        <w:rPr>
          <w:noProof/>
        </w:rPr>
        <w:instrText>.</w:instrText>
      </w:r>
      <w:r w:rsidRPr="00563472">
        <w:fldChar w:fldCharType="end"/>
      </w:r>
      <w:r w:rsidRPr="00563472">
        <w:instrText>" "</w:instrText>
      </w:r>
      <w:r w:rsidR="001F6F43">
        <w:fldChar w:fldCharType="begin"/>
      </w:r>
      <w:r w:rsidR="001F6F43">
        <w:instrText xml:space="preserve"> STYLEREF "Heading 6" \l \n </w:instrText>
      </w:r>
      <w:r w:rsidR="001F6F43">
        <w:fldChar w:fldCharType="separate"/>
      </w:r>
      <w:r w:rsidRPr="00563472">
        <w:instrText>B</w:instrText>
      </w:r>
      <w:r w:rsidR="001F6F43">
        <w:fldChar w:fldCharType="end"/>
      </w:r>
      <w:r w:rsidRPr="00563472">
        <w:instrText xml:space="preserve">." </w:instrText>
      </w:r>
      <w:r w:rsidRPr="00563472">
        <w:fldChar w:fldCharType="separate"/>
      </w:r>
      <w:r w:rsidR="00EA42ED">
        <w:rPr>
          <w:noProof/>
        </w:rPr>
        <w:instrText>8</w:instrText>
      </w:r>
      <w:r w:rsidR="00EA42ED" w:rsidRPr="00563472">
        <w:rPr>
          <w:noProof/>
        </w:rPr>
        <w:instrText>.</w:instrText>
      </w:r>
      <w:r w:rsidRPr="00563472">
        <w:fldChar w:fldCharType="end"/>
      </w:r>
      <w:r w:rsidRPr="00563472">
        <w:fldChar w:fldCharType="begin"/>
      </w:r>
      <w:r w:rsidRPr="00563472">
        <w:instrText xml:space="preserve"> SEQ Item \* ARABIC \s </w:instrText>
      </w:r>
      <w:r w:rsidRPr="00563472">
        <w:fldChar w:fldCharType="begin"/>
      </w:r>
      <w:r w:rsidRPr="00563472">
        <w:instrText xml:space="preserve"> IF </w:instrText>
      </w:r>
      <w:r w:rsidRPr="00563472">
        <w:rPr>
          <w:noProof/>
        </w:rPr>
        <w:fldChar w:fldCharType="begin"/>
      </w:r>
      <w:r w:rsidRPr="00563472">
        <w:rPr>
          <w:noProof/>
        </w:rPr>
        <w:instrText xml:space="preserve"> STYLEREF "Heading 6" \l \n </w:instrText>
      </w:r>
      <w:r w:rsidRPr="00563472">
        <w:rPr>
          <w:noProof/>
        </w:rPr>
        <w:fldChar w:fldCharType="separate"/>
      </w:r>
      <w:r w:rsidR="00B833F1">
        <w:rPr>
          <w:noProof/>
        </w:rPr>
        <w:instrText>0</w:instrText>
      </w:r>
      <w:r w:rsidRPr="00563472">
        <w:rPr>
          <w:noProof/>
        </w:rPr>
        <w:fldChar w:fldCharType="end"/>
      </w:r>
      <w:r w:rsidRPr="00563472">
        <w:instrText xml:space="preserve"> = 0 "</w:instrText>
      </w:r>
      <w:r w:rsidRPr="00563472">
        <w:fldChar w:fldCharType="begin"/>
      </w:r>
      <w:r w:rsidRPr="00563472">
        <w:instrText xml:space="preserve"> IF </w:instrText>
      </w:r>
      <w:r w:rsidRPr="00563472">
        <w:rPr>
          <w:noProof/>
        </w:rPr>
        <w:fldChar w:fldCharType="begin"/>
      </w:r>
      <w:r w:rsidRPr="00563472">
        <w:rPr>
          <w:noProof/>
        </w:rPr>
        <w:instrText xml:space="preserve"> STYLEREF "Heading 1" \l \n </w:instrText>
      </w:r>
      <w:r w:rsidRPr="00563472">
        <w:rPr>
          <w:noProof/>
        </w:rPr>
        <w:fldChar w:fldCharType="separate"/>
      </w:r>
      <w:r w:rsidR="00B833F1">
        <w:rPr>
          <w:noProof/>
        </w:rPr>
        <w:instrText>8</w:instrText>
      </w:r>
      <w:r w:rsidRPr="00563472">
        <w:rPr>
          <w:noProof/>
        </w:rPr>
        <w:fldChar w:fldCharType="end"/>
      </w:r>
      <w:r w:rsidRPr="00563472">
        <w:instrText xml:space="preserve"> = 0 "" "1" </w:instrText>
      </w:r>
      <w:r w:rsidRPr="00563472">
        <w:fldChar w:fldCharType="separate"/>
      </w:r>
      <w:r w:rsidR="00EA42ED" w:rsidRPr="00563472">
        <w:rPr>
          <w:noProof/>
        </w:rPr>
        <w:instrText>1</w:instrText>
      </w:r>
      <w:r w:rsidRPr="00563472">
        <w:fldChar w:fldCharType="end"/>
      </w:r>
      <w:r w:rsidRPr="00563472">
        <w:instrText xml:space="preserve">" "6" </w:instrText>
      </w:r>
      <w:r w:rsidRPr="00563472">
        <w:fldChar w:fldCharType="separate"/>
      </w:r>
      <w:r w:rsidR="00EA42ED" w:rsidRPr="00563472">
        <w:rPr>
          <w:noProof/>
        </w:rPr>
        <w:instrText>1</w:instrText>
      </w:r>
      <w:r w:rsidRPr="00563472">
        <w:fldChar w:fldCharType="end"/>
      </w:r>
      <w:r w:rsidRPr="00563472">
        <w:instrText xml:space="preserve"> </w:instrText>
      </w:r>
      <w:r w:rsidRPr="00563472">
        <w:fldChar w:fldCharType="separate"/>
      </w:r>
      <w:r w:rsidR="00B833F1">
        <w:rPr>
          <w:noProof/>
        </w:rPr>
        <w:instrText>3</w:instrText>
      </w:r>
      <w:r w:rsidRPr="00563472">
        <w:fldChar w:fldCharType="end"/>
      </w:r>
      <w:r w:rsidRPr="00563472">
        <w:instrText xml:space="preserve">" "" </w:instrText>
      </w:r>
      <w:r w:rsidRPr="00563472">
        <w:fldChar w:fldCharType="separate"/>
      </w:r>
      <w:bookmarkStart w:id="3322" w:name="_Caption0751"/>
      <w:bookmarkStart w:id="3323" w:name="_Caption8968"/>
      <w:bookmarkStart w:id="3324" w:name="_Caption4571"/>
      <w:bookmarkStart w:id="3325" w:name="_Caption1782"/>
      <w:bookmarkStart w:id="3326" w:name="_Caption1568"/>
      <w:bookmarkStart w:id="3327" w:name="_Caption2164"/>
      <w:bookmarkStart w:id="3328" w:name="_Caption6455"/>
      <w:bookmarkStart w:id="3329" w:name="_Caption8935"/>
      <w:bookmarkStart w:id="3330" w:name="_Caption9102"/>
      <w:bookmarkStart w:id="3331" w:name="_Caption4388"/>
      <w:bookmarkStart w:id="3332" w:name="_Caption4163"/>
      <w:bookmarkStart w:id="3333" w:name="_Caption1296"/>
      <w:bookmarkStart w:id="3334" w:name="_Caption0870"/>
      <w:bookmarkStart w:id="3335" w:name="_Caption0579"/>
      <w:bookmarkStart w:id="3336" w:name="_Caption6912"/>
      <w:bookmarkStart w:id="3337" w:name="_Caption3966"/>
      <w:bookmarkStart w:id="3338" w:name="_Caption7682"/>
      <w:bookmarkStart w:id="3339" w:name="_Caption6471"/>
      <w:bookmarkStart w:id="3340" w:name="_Caption6260"/>
      <w:bookmarkStart w:id="3341" w:name="_Caption3640"/>
      <w:bookmarkStart w:id="3342" w:name="_Caption5966"/>
      <w:bookmarkStart w:id="3343" w:name="_Caption5149"/>
      <w:bookmarkStart w:id="3344" w:name="_Caption9827"/>
      <w:bookmarkStart w:id="3345" w:name="_Caption9735"/>
      <w:bookmarkStart w:id="3346" w:name="_Caption3933"/>
      <w:bookmarkStart w:id="3347" w:name="_Caption2686"/>
      <w:bookmarkStart w:id="3348" w:name="_Caption6638"/>
      <w:bookmarkStart w:id="3349" w:name="_Caption2260"/>
      <w:bookmarkStart w:id="3350" w:name="_Caption7484"/>
      <w:bookmarkStart w:id="3351" w:name="_Caption3752"/>
      <w:bookmarkStart w:id="3352" w:name="_Caption7928"/>
      <w:bookmarkStart w:id="3353" w:name="_Caption8304"/>
      <w:bookmarkStart w:id="3354" w:name="_Caption4986"/>
      <w:bookmarkStart w:id="3355" w:name="_Caption6510"/>
      <w:bookmarkStart w:id="3356" w:name="_Caption2131"/>
      <w:bookmarkStart w:id="3357" w:name="_Caption5171"/>
      <w:bookmarkStart w:id="3358" w:name="_Caption4491"/>
      <w:bookmarkStart w:id="3359" w:name="_Caption0136"/>
      <w:bookmarkStart w:id="3360" w:name="_Caption7727"/>
      <w:bookmarkStart w:id="3361" w:name="_Caption3307"/>
      <w:bookmarkStart w:id="3362" w:name="_Caption6025"/>
      <w:bookmarkStart w:id="3363" w:name="_Caption4859"/>
      <w:bookmarkStart w:id="3364" w:name="_Caption6382"/>
      <w:bookmarkStart w:id="3365" w:name="_Caption8818"/>
      <w:bookmarkStart w:id="3366" w:name="_Caption7708"/>
      <w:bookmarkStart w:id="3367" w:name="_Caption6555"/>
      <w:bookmarkStart w:id="3368" w:name="_Caption0704"/>
      <w:bookmarkStart w:id="3369" w:name="_Caption7828"/>
      <w:bookmarkStart w:id="3370" w:name="_Caption5205"/>
      <w:bookmarkStart w:id="3371" w:name="_Caption7474"/>
      <w:bookmarkStart w:id="3372" w:name="_Caption6897"/>
      <w:bookmarkStart w:id="3373" w:name="_Caption9683"/>
      <w:bookmarkStart w:id="3374" w:name="_Caption0305"/>
      <w:bookmarkStart w:id="3375" w:name="_Caption0619"/>
      <w:bookmarkStart w:id="3376" w:name="_Caption8692"/>
      <w:bookmarkStart w:id="3377" w:name="_Caption6685"/>
      <w:bookmarkStart w:id="3378" w:name="_Caption5820"/>
      <w:bookmarkStart w:id="3379" w:name="_Caption7390"/>
      <w:bookmarkStart w:id="3380" w:name="_Caption9885"/>
      <w:bookmarkStart w:id="3381" w:name="_Caption3362"/>
      <w:bookmarkStart w:id="3382" w:name="_Caption8997"/>
      <w:bookmarkStart w:id="3383" w:name="_Caption7543"/>
      <w:bookmarkStart w:id="3384" w:name="_Caption6657"/>
      <w:bookmarkStart w:id="3385" w:name="_Caption5561"/>
      <w:bookmarkStart w:id="3386" w:name="_Caption7680"/>
      <w:bookmarkStart w:id="3387" w:name="_Caption4528"/>
      <w:bookmarkStart w:id="3388" w:name="_Caption5254"/>
      <w:bookmarkStart w:id="3389" w:name="_Toc529869942"/>
      <w:bookmarkStart w:id="3390" w:name="_Toc530748438"/>
      <w:r w:rsidR="00EA42ED">
        <w:rPr>
          <w:noProof/>
        </w:rPr>
        <w:t>8</w:t>
      </w:r>
      <w:r w:rsidR="00EA42ED" w:rsidRPr="00563472">
        <w:rPr>
          <w:noProof/>
        </w:rPr>
        <w:t>.</w:t>
      </w:r>
      <w:r w:rsidR="00EA42ED">
        <w:rPr>
          <w:noProof/>
        </w:rPr>
        <w:t>3</w:t>
      </w:r>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r w:rsidRPr="00563472">
        <w:fldChar w:fldCharType="end"/>
      </w:r>
      <w:r w:rsidRPr="00563472">
        <w:tab/>
        <w:t>Building</w:t>
      </w:r>
      <w:r w:rsidRPr="00563472">
        <w:noBreakHyphen/>
        <w:t>level net impacts — Queensland</w:t>
      </w:r>
      <w:bookmarkEnd w:id="3389"/>
      <w:bookmarkEnd w:id="3390"/>
    </w:p>
    <w:tbl>
      <w:tblPr>
        <w:tblW w:w="7937" w:type="dxa"/>
        <w:tblLayout w:type="fixed"/>
        <w:tblLook w:val="0000" w:firstRow="0" w:lastRow="0" w:firstColumn="0" w:lastColumn="0" w:noHBand="0" w:noVBand="0"/>
        <w:tblCaption w:val="Table 8.3 Building-level net impacts - Queensland"/>
        <w:tblDescription w:val="This table outlines the building level net impacts of the proposed changes to NCC 2019 by building classiciation and climate zone for Queensland. "/>
      </w:tblPr>
      <w:tblGrid>
        <w:gridCol w:w="2456"/>
        <w:gridCol w:w="783"/>
        <w:gridCol w:w="783"/>
        <w:gridCol w:w="783"/>
        <w:gridCol w:w="783"/>
        <w:gridCol w:w="783"/>
        <w:gridCol w:w="783"/>
        <w:gridCol w:w="783"/>
      </w:tblGrid>
      <w:tr w:rsidR="00612FD3" w:rsidRPr="00C661AF" w:rsidTr="00563472">
        <w:trPr>
          <w:trHeight w:val="230"/>
          <w:tblHeader/>
        </w:trPr>
        <w:tc>
          <w:tcPr>
            <w:tcW w:w="2456" w:type="dxa"/>
            <w:shd w:val="clear" w:color="auto" w:fill="6F6652"/>
            <w:tcMar>
              <w:left w:w="57" w:type="dxa"/>
              <w:right w:w="57" w:type="dxa"/>
            </w:tcMar>
          </w:tcPr>
          <w:p w:rsidR="00612FD3" w:rsidRPr="00C661AF" w:rsidRDefault="00612FD3" w:rsidP="00301B6D">
            <w:pPr>
              <w:pStyle w:val="TableDataColumnHeading"/>
              <w:jc w:val="left"/>
              <w:rPr>
                <w:lang w:val="en-GB"/>
              </w:rPr>
            </w:pPr>
          </w:p>
        </w:tc>
        <w:tc>
          <w:tcPr>
            <w:tcW w:w="783" w:type="dxa"/>
            <w:shd w:val="clear" w:color="auto" w:fill="6F6652"/>
            <w:tcMar>
              <w:left w:w="57" w:type="dxa"/>
              <w:right w:w="57" w:type="dxa"/>
            </w:tcMar>
          </w:tcPr>
          <w:p w:rsidR="00612FD3" w:rsidRPr="00C661AF" w:rsidRDefault="00612FD3" w:rsidP="00301B6D">
            <w:pPr>
              <w:pStyle w:val="TableDataColumnHeading"/>
              <w:rPr>
                <w:bCs/>
                <w:lang w:val="en-GB"/>
              </w:rPr>
            </w:pPr>
            <w:r w:rsidRPr="00C661AF">
              <w:rPr>
                <w:bCs/>
                <w:lang w:val="en-GB"/>
              </w:rPr>
              <w:t>CZ1</w:t>
            </w:r>
          </w:p>
        </w:tc>
        <w:tc>
          <w:tcPr>
            <w:tcW w:w="783" w:type="dxa"/>
            <w:shd w:val="clear" w:color="auto" w:fill="6F6652"/>
            <w:tcMar>
              <w:left w:w="57" w:type="dxa"/>
              <w:right w:w="57" w:type="dxa"/>
            </w:tcMar>
          </w:tcPr>
          <w:p w:rsidR="00612FD3" w:rsidRPr="00C661AF" w:rsidRDefault="00612FD3" w:rsidP="00301B6D">
            <w:pPr>
              <w:pStyle w:val="TableDataColumnHeading"/>
              <w:rPr>
                <w:bCs/>
                <w:lang w:val="en-GB"/>
              </w:rPr>
            </w:pPr>
            <w:r w:rsidRPr="00C661AF">
              <w:rPr>
                <w:bCs/>
                <w:lang w:val="en-GB"/>
              </w:rPr>
              <w:t>CZ2</w:t>
            </w:r>
          </w:p>
        </w:tc>
        <w:tc>
          <w:tcPr>
            <w:tcW w:w="783" w:type="dxa"/>
            <w:shd w:val="clear" w:color="auto" w:fill="6F6652"/>
            <w:tcMar>
              <w:left w:w="57" w:type="dxa"/>
              <w:right w:w="57" w:type="dxa"/>
            </w:tcMar>
          </w:tcPr>
          <w:p w:rsidR="00612FD3" w:rsidRPr="00C661AF" w:rsidRDefault="00612FD3" w:rsidP="00301B6D">
            <w:pPr>
              <w:pStyle w:val="TableDataColumnHeading"/>
              <w:rPr>
                <w:bCs/>
                <w:lang w:val="en-GB"/>
              </w:rPr>
            </w:pPr>
            <w:r w:rsidRPr="00C661AF">
              <w:rPr>
                <w:bCs/>
                <w:lang w:val="en-GB"/>
              </w:rPr>
              <w:t>CZ3</w:t>
            </w:r>
          </w:p>
        </w:tc>
        <w:tc>
          <w:tcPr>
            <w:tcW w:w="783" w:type="dxa"/>
            <w:shd w:val="clear" w:color="auto" w:fill="6F6652"/>
            <w:tcMar>
              <w:left w:w="57" w:type="dxa"/>
              <w:right w:w="57" w:type="dxa"/>
            </w:tcMar>
          </w:tcPr>
          <w:p w:rsidR="00612FD3" w:rsidRPr="00C661AF" w:rsidRDefault="00612FD3" w:rsidP="00301B6D">
            <w:pPr>
              <w:pStyle w:val="TableDataColumnHeading"/>
              <w:rPr>
                <w:bCs/>
                <w:lang w:val="en-GB"/>
              </w:rPr>
            </w:pPr>
            <w:r w:rsidRPr="00C661AF">
              <w:rPr>
                <w:bCs/>
                <w:lang w:val="en-GB"/>
              </w:rPr>
              <w:t>CZ4</w:t>
            </w:r>
          </w:p>
        </w:tc>
        <w:tc>
          <w:tcPr>
            <w:tcW w:w="783" w:type="dxa"/>
            <w:shd w:val="clear" w:color="auto" w:fill="6F6652"/>
            <w:tcMar>
              <w:left w:w="57" w:type="dxa"/>
              <w:right w:w="57" w:type="dxa"/>
            </w:tcMar>
          </w:tcPr>
          <w:p w:rsidR="00612FD3" w:rsidRPr="00C661AF" w:rsidRDefault="00612FD3" w:rsidP="00301B6D">
            <w:pPr>
              <w:pStyle w:val="TableDataColumnHeading"/>
              <w:rPr>
                <w:bCs/>
                <w:lang w:val="en-GB"/>
              </w:rPr>
            </w:pPr>
            <w:r w:rsidRPr="00C661AF">
              <w:rPr>
                <w:bCs/>
                <w:lang w:val="en-GB"/>
              </w:rPr>
              <w:t>CZ5</w:t>
            </w:r>
          </w:p>
        </w:tc>
        <w:tc>
          <w:tcPr>
            <w:tcW w:w="783" w:type="dxa"/>
            <w:shd w:val="clear" w:color="auto" w:fill="6F6652"/>
            <w:tcMar>
              <w:left w:w="57" w:type="dxa"/>
              <w:right w:w="57" w:type="dxa"/>
            </w:tcMar>
          </w:tcPr>
          <w:p w:rsidR="00612FD3" w:rsidRPr="00C661AF" w:rsidRDefault="00612FD3" w:rsidP="00301B6D">
            <w:pPr>
              <w:pStyle w:val="TableDataColumnHeading"/>
              <w:rPr>
                <w:bCs/>
                <w:lang w:val="en-GB"/>
              </w:rPr>
            </w:pPr>
            <w:r w:rsidRPr="00C661AF">
              <w:rPr>
                <w:bCs/>
                <w:lang w:val="en-GB"/>
              </w:rPr>
              <w:t>CZ6</w:t>
            </w:r>
          </w:p>
        </w:tc>
        <w:tc>
          <w:tcPr>
            <w:tcW w:w="783" w:type="dxa"/>
            <w:shd w:val="clear" w:color="auto" w:fill="6F6652"/>
            <w:tcMar>
              <w:left w:w="57" w:type="dxa"/>
              <w:right w:w="57" w:type="dxa"/>
            </w:tcMar>
          </w:tcPr>
          <w:p w:rsidR="00612FD3" w:rsidRPr="00C661AF" w:rsidRDefault="00612FD3" w:rsidP="00301B6D">
            <w:pPr>
              <w:pStyle w:val="TableDataColumnHeading"/>
              <w:rPr>
                <w:bCs/>
                <w:lang w:val="en-GB"/>
              </w:rPr>
            </w:pPr>
            <w:r w:rsidRPr="00C661AF">
              <w:rPr>
                <w:bCs/>
                <w:lang w:val="en-GB"/>
              </w:rPr>
              <w:t>CZ7</w:t>
            </w:r>
          </w:p>
        </w:tc>
      </w:tr>
      <w:tr w:rsidR="00612FD3" w:rsidTr="00563472">
        <w:trPr>
          <w:trHeight w:val="230"/>
          <w:tblHeader/>
        </w:trPr>
        <w:tc>
          <w:tcPr>
            <w:tcW w:w="2456"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jc w:val="left"/>
              <w:rPr>
                <w:lang w:val="en-GB"/>
              </w:rPr>
            </w:pP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D742B2">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D742B2">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D742B2">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D742B2">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D742B2">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D742B2">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D742B2">
              <w:rPr>
                <w:vertAlign w:val="superscript"/>
                <w:lang w:val="en-GB"/>
              </w:rPr>
              <w:t>2</w:t>
            </w:r>
          </w:p>
        </w:tc>
      </w:tr>
      <w:tr w:rsidR="00612FD3" w:rsidTr="00301B6D">
        <w:trPr>
          <w:trHeight w:val="230"/>
        </w:trPr>
        <w:tc>
          <w:tcPr>
            <w:tcW w:w="245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r>
              <w:rPr>
                <w:lang w:val="en-GB"/>
              </w:rPr>
              <w:t>Low scenario</w:t>
            </w: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r>
      <w:tr w:rsidR="00F03986"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F03986" w:rsidRDefault="00F03986" w:rsidP="00F03986">
            <w:pPr>
              <w:pStyle w:val="TableDataEntries"/>
              <w:jc w:val="left"/>
              <w:rPr>
                <w:lang w:val="en-GB"/>
              </w:rPr>
            </w:pPr>
            <w:r>
              <w:rPr>
                <w:lang w:val="en-GB"/>
              </w:rPr>
              <w:t>Hotel</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xml:space="preserve"> 31.07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xml:space="preserve"> 42.15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xml:space="preserve"> 34.90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xml:space="preserve"> 31.41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r>
      <w:tr w:rsidR="00F03986"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F03986" w:rsidRDefault="00F03986" w:rsidP="00F03986">
            <w:pPr>
              <w:pStyle w:val="TableDataEntries"/>
              <w:jc w:val="left"/>
              <w:rPr>
                <w:lang w:val="en-GB"/>
              </w:rPr>
            </w:pPr>
            <w:r>
              <w:rPr>
                <w:lang w:val="en-GB"/>
              </w:rPr>
              <w:t>Office building</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xml:space="preserve"> 3.93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xml:space="preserve"> 11.85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r>
      <w:tr w:rsidR="00F03986"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F03986" w:rsidRDefault="00F03986" w:rsidP="00F03986">
            <w:pPr>
              <w:pStyle w:val="TableDataEntries"/>
              <w:jc w:val="left"/>
              <w:rPr>
                <w:lang w:val="en-GB"/>
              </w:rPr>
            </w:pPr>
            <w:r>
              <w:rPr>
                <w:lang w:val="en-GB"/>
              </w:rPr>
              <w:t>Retail</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xml:space="preserve"> 49.25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xml:space="preserve"> 32.48</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xml:space="preserve"> 36.38</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xml:space="preserve"> 42.55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r>
      <w:tr w:rsidR="00F03986"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F03986" w:rsidRDefault="00F03986" w:rsidP="00F03986">
            <w:pPr>
              <w:pStyle w:val="TableDataEntries"/>
              <w:jc w:val="left"/>
              <w:rPr>
                <w:lang w:val="en-GB"/>
              </w:rPr>
            </w:pPr>
            <w:r>
              <w:rPr>
                <w:lang w:val="en-GB"/>
              </w:rPr>
              <w:t>Healthcare</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xml:space="preserve"> 25.54</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xml:space="preserve"> 12.84</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xml:space="preserve"> 14.22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- 0.46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r>
      <w:tr w:rsidR="00F03986"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F03986" w:rsidRDefault="00F03986" w:rsidP="00F03986">
            <w:pPr>
              <w:pStyle w:val="TableDataEntries"/>
              <w:jc w:val="left"/>
              <w:rPr>
                <w:lang w:val="en-GB"/>
              </w:rPr>
            </w:pPr>
            <w:r>
              <w:rPr>
                <w:lang w:val="en-GB"/>
              </w:rPr>
              <w:t>School</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xml:space="preserve"> 84.81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xml:space="preserve"> 40.42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xml:space="preserve"> 46.96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xml:space="preserve"> 11.47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r>
      <w:tr w:rsidR="00612FD3" w:rsidTr="00301B6D">
        <w:trPr>
          <w:trHeight w:val="230"/>
        </w:trPr>
        <w:tc>
          <w:tcPr>
            <w:tcW w:w="245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r>
              <w:rPr>
                <w:lang w:val="en-GB"/>
              </w:rPr>
              <w:t>Medium scenario</w:t>
            </w: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Pr="00563472" w:rsidRDefault="00612FD3" w:rsidP="00563472">
            <w:pPr>
              <w:pStyle w:val="TableDataEntries"/>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Pr="00563472" w:rsidRDefault="00612FD3" w:rsidP="00563472">
            <w:pPr>
              <w:pStyle w:val="TableDataEntries"/>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Pr="00563472" w:rsidRDefault="00612FD3" w:rsidP="00563472">
            <w:pPr>
              <w:pStyle w:val="TableDataEntries"/>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Pr="00563472" w:rsidRDefault="00612FD3" w:rsidP="00563472">
            <w:pPr>
              <w:pStyle w:val="TableDataEntries"/>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Pr="00563472" w:rsidRDefault="00612FD3" w:rsidP="00563472">
            <w:pPr>
              <w:pStyle w:val="TableDataEntries"/>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Pr="00563472" w:rsidRDefault="00612FD3" w:rsidP="00563472">
            <w:pPr>
              <w:pStyle w:val="TableDataEntries"/>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Pr="00563472" w:rsidRDefault="00612FD3" w:rsidP="00563472">
            <w:pPr>
              <w:pStyle w:val="TableDataEntries"/>
            </w:pPr>
          </w:p>
        </w:tc>
      </w:tr>
      <w:tr w:rsidR="00F03986"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F03986" w:rsidRDefault="00F03986" w:rsidP="00F03986">
            <w:pPr>
              <w:pStyle w:val="TableDataEntries"/>
              <w:jc w:val="left"/>
              <w:rPr>
                <w:lang w:val="en-GB"/>
              </w:rPr>
            </w:pPr>
            <w:r>
              <w:rPr>
                <w:lang w:val="en-GB"/>
              </w:rPr>
              <w:t>Hotel</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xml:space="preserve"> 41.47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xml:space="preserve"> 64.11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xml:space="preserve"> 51.86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xml:space="preserve"> 49.60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r>
      <w:tr w:rsidR="00F03986"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F03986" w:rsidRDefault="00F03986" w:rsidP="00F03986">
            <w:pPr>
              <w:pStyle w:val="TableDataEntries"/>
              <w:jc w:val="left"/>
              <w:rPr>
                <w:lang w:val="en-GB"/>
              </w:rPr>
            </w:pPr>
            <w:r>
              <w:rPr>
                <w:lang w:val="en-GB"/>
              </w:rPr>
              <w:t>Office building</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xml:space="preserve"> 10.75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xml:space="preserve"> 19.08</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r>
      <w:tr w:rsidR="00F03986"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F03986" w:rsidRDefault="00F03986" w:rsidP="00F03986">
            <w:pPr>
              <w:pStyle w:val="TableDataEntries"/>
              <w:jc w:val="left"/>
              <w:rPr>
                <w:lang w:val="en-GB"/>
              </w:rPr>
            </w:pPr>
            <w:r>
              <w:rPr>
                <w:lang w:val="en-GB"/>
              </w:rPr>
              <w:t>Retail</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xml:space="preserve"> 74.11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xml:space="preserve"> 50.91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xml:space="preserve"> 61.66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xml:space="preserve"> 67.44</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r>
      <w:tr w:rsidR="00F03986"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F03986" w:rsidRDefault="00F03986" w:rsidP="00F03986">
            <w:pPr>
              <w:pStyle w:val="TableDataEntries"/>
              <w:jc w:val="left"/>
              <w:rPr>
                <w:lang w:val="en-GB"/>
              </w:rPr>
            </w:pPr>
            <w:r>
              <w:rPr>
                <w:lang w:val="en-GB"/>
              </w:rPr>
              <w:t>Healthcare</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xml:space="preserve"> 45.61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xml:space="preserve"> 24.07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xml:space="preserve"> 29.33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xml:space="preserve"> 7.42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r>
      <w:tr w:rsidR="00F03986" w:rsidTr="00F03986">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F03986" w:rsidRDefault="00F03986" w:rsidP="00F03986">
            <w:pPr>
              <w:pStyle w:val="TableDataEntries"/>
              <w:jc w:val="left"/>
              <w:rPr>
                <w:lang w:val="en-GB"/>
              </w:rPr>
            </w:pPr>
            <w:r>
              <w:rPr>
                <w:lang w:val="en-GB"/>
              </w:rPr>
              <w:t>School</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xml:space="preserve"> 130.02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xml:space="preserve"> 70.37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xml:space="preserve"> 76.52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xml:space="preserve"> 26.26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r>
      <w:tr w:rsidR="00612FD3" w:rsidTr="00301B6D">
        <w:trPr>
          <w:trHeight w:val="230"/>
        </w:trPr>
        <w:tc>
          <w:tcPr>
            <w:tcW w:w="245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r>
              <w:rPr>
                <w:lang w:val="en-GB"/>
              </w:rPr>
              <w:t>High scenario</w:t>
            </w: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Pr="00563472" w:rsidRDefault="00612FD3" w:rsidP="00563472">
            <w:pPr>
              <w:pStyle w:val="TableDataEntries"/>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Pr="00563472" w:rsidRDefault="00612FD3" w:rsidP="00563472">
            <w:pPr>
              <w:pStyle w:val="TableDataEntries"/>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Pr="00563472" w:rsidRDefault="00612FD3" w:rsidP="00563472">
            <w:pPr>
              <w:pStyle w:val="TableDataEntries"/>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Pr="00563472" w:rsidRDefault="00612FD3" w:rsidP="00563472">
            <w:pPr>
              <w:pStyle w:val="TableDataEntries"/>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Pr="00563472" w:rsidRDefault="00612FD3" w:rsidP="00563472">
            <w:pPr>
              <w:pStyle w:val="TableDataEntries"/>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Pr="00563472" w:rsidRDefault="00612FD3" w:rsidP="00563472">
            <w:pPr>
              <w:pStyle w:val="TableDataEntries"/>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Pr="00563472" w:rsidRDefault="00612FD3" w:rsidP="00563472">
            <w:pPr>
              <w:pStyle w:val="TableDataEntries"/>
            </w:pPr>
          </w:p>
        </w:tc>
      </w:tr>
      <w:tr w:rsidR="00563472"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563472" w:rsidRDefault="00563472" w:rsidP="00563472">
            <w:pPr>
              <w:pStyle w:val="TableDataEntries"/>
              <w:jc w:val="left"/>
              <w:rPr>
                <w:lang w:val="en-GB"/>
              </w:rPr>
            </w:pPr>
            <w:r>
              <w:rPr>
                <w:lang w:val="en-GB"/>
              </w:rPr>
              <w:t>Hotel</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51.88</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86.07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68.83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67.80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r>
      <w:tr w:rsidR="00563472"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563472" w:rsidRDefault="00563472" w:rsidP="00563472">
            <w:pPr>
              <w:pStyle w:val="TableDataEntries"/>
              <w:jc w:val="left"/>
              <w:rPr>
                <w:lang w:val="en-GB"/>
              </w:rPr>
            </w:pPr>
            <w:r>
              <w:rPr>
                <w:lang w:val="en-GB"/>
              </w:rPr>
              <w:t>Office building</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17.57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26.31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r>
      <w:tr w:rsidR="00563472"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563472" w:rsidRDefault="00563472" w:rsidP="00563472">
            <w:pPr>
              <w:pStyle w:val="TableDataEntries"/>
              <w:jc w:val="left"/>
              <w:rPr>
                <w:lang w:val="en-GB"/>
              </w:rPr>
            </w:pPr>
            <w:r>
              <w:rPr>
                <w:lang w:val="en-GB"/>
              </w:rPr>
              <w:t>Retail</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98.96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69.34</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86.93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92.33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r>
      <w:tr w:rsidR="00563472"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563472" w:rsidRDefault="00563472" w:rsidP="00563472">
            <w:pPr>
              <w:pStyle w:val="TableDataEntries"/>
              <w:jc w:val="left"/>
              <w:rPr>
                <w:lang w:val="en-GB"/>
              </w:rPr>
            </w:pPr>
            <w:r>
              <w:rPr>
                <w:lang w:val="en-GB"/>
              </w:rPr>
              <w:t>Healthcare</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65.69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35.30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44.43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15.30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r>
      <w:tr w:rsidR="00563472" w:rsidTr="00301B6D">
        <w:trPr>
          <w:trHeight w:val="230"/>
        </w:trPr>
        <w:tc>
          <w:tcPr>
            <w:tcW w:w="2456" w:type="dxa"/>
            <w:tcBorders>
              <w:top w:val="single" w:sz="8" w:space="0" w:color="FFFFFF" w:themeColor="background1"/>
              <w:bottom w:val="single" w:sz="6" w:space="0" w:color="6F6652"/>
            </w:tcBorders>
            <w:shd w:val="clear" w:color="auto" w:fill="E9E8E5" w:themeFill="background2"/>
            <w:tcMar>
              <w:left w:w="57" w:type="dxa"/>
              <w:right w:w="57" w:type="dxa"/>
            </w:tcMar>
          </w:tcPr>
          <w:p w:rsidR="00563472" w:rsidRDefault="00563472" w:rsidP="00563472">
            <w:pPr>
              <w:pStyle w:val="TableDataEntries"/>
              <w:jc w:val="left"/>
              <w:rPr>
                <w:lang w:val="en-GB"/>
              </w:rPr>
            </w:pPr>
            <w:r>
              <w:rPr>
                <w:lang w:val="en-GB"/>
              </w:rPr>
              <w:t>School</w:t>
            </w:r>
          </w:p>
        </w:tc>
        <w:tc>
          <w:tcPr>
            <w:tcW w:w="783"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175.24</w:t>
            </w:r>
          </w:p>
        </w:tc>
        <w:tc>
          <w:tcPr>
            <w:tcW w:w="783"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100.32</w:t>
            </w:r>
          </w:p>
        </w:tc>
        <w:tc>
          <w:tcPr>
            <w:tcW w:w="783"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106.08</w:t>
            </w:r>
          </w:p>
        </w:tc>
        <w:tc>
          <w:tcPr>
            <w:tcW w:w="783"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41.05</w:t>
            </w:r>
          </w:p>
        </w:tc>
        <w:tc>
          <w:tcPr>
            <w:tcW w:w="783"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r>
    </w:tbl>
    <w:p w:rsidR="00CA6CF4" w:rsidRDefault="00CA6CF4" w:rsidP="00CA6CF4">
      <w:pPr>
        <w:pStyle w:val="Note"/>
        <w:rPr>
          <w:lang w:bidi="fa-IR"/>
        </w:rPr>
      </w:pPr>
      <w:r w:rsidRPr="007B3E1B">
        <w:rPr>
          <w:i/>
          <w:lang w:bidi="fa-IR"/>
        </w:rPr>
        <w:t>Note:</w:t>
      </w:r>
      <w:r>
        <w:rPr>
          <w:lang w:bidi="fa-IR"/>
        </w:rPr>
        <w:t xml:space="preserve"> Net impacts include the private benefits and costs to building owners/tenants and the global benefits from reduced GHG emissions.</w:t>
      </w:r>
    </w:p>
    <w:p w:rsidR="00612FD3" w:rsidRDefault="00612FD3" w:rsidP="00612FD3">
      <w:pPr>
        <w:pStyle w:val="Source"/>
        <w:rPr>
          <w:lang w:bidi="fa-IR"/>
        </w:rPr>
      </w:pPr>
      <w:r w:rsidRPr="00D742B2">
        <w:rPr>
          <w:i/>
          <w:lang w:bidi="fa-IR"/>
        </w:rPr>
        <w:t>Source:</w:t>
      </w:r>
      <w:r>
        <w:rPr>
          <w:lang w:bidi="fa-IR"/>
        </w:rPr>
        <w:t xml:space="preserve"> CIE based on </w:t>
      </w:r>
      <w:r w:rsidR="003F28DD">
        <w:rPr>
          <w:lang w:bidi="fa-IR"/>
        </w:rPr>
        <w:t>EA</w:t>
      </w:r>
      <w:r>
        <w:rPr>
          <w:lang w:bidi="fa-IR"/>
        </w:rPr>
        <w:t xml:space="preserve"> modelling.</w:t>
      </w:r>
    </w:p>
    <w:p w:rsidR="00612FD3" w:rsidRDefault="00612FD3" w:rsidP="00914293">
      <w:pPr>
        <w:pStyle w:val="Heading4"/>
        <w:rPr>
          <w:lang w:val="en-GB"/>
        </w:rPr>
      </w:pPr>
      <w:r>
        <w:rPr>
          <w:lang w:val="en-GB"/>
        </w:rPr>
        <w:t>South Australia</w:t>
      </w:r>
    </w:p>
    <w:p w:rsidR="00612FD3" w:rsidRPr="0011661B" w:rsidRDefault="00612FD3" w:rsidP="00612FD3">
      <w:pPr>
        <w:pStyle w:val="BodyText"/>
        <w:rPr>
          <w:lang w:val="en-GB"/>
        </w:rPr>
      </w:pPr>
      <w:r>
        <w:rPr>
          <w:lang w:val="en-GB"/>
        </w:rPr>
        <w:t xml:space="preserve">South Australia covers </w:t>
      </w:r>
      <w:r w:rsidR="00E31EE8">
        <w:rPr>
          <w:lang w:val="en-GB"/>
        </w:rPr>
        <w:t>Climate Zone</w:t>
      </w:r>
      <w:r>
        <w:rPr>
          <w:lang w:val="en-GB"/>
        </w:rPr>
        <w:t>s 3</w:t>
      </w:r>
      <w:r>
        <w:rPr>
          <w:lang w:val="en-GB"/>
        </w:rPr>
        <w:noBreakHyphen/>
        <w:t xml:space="preserve">6. Based on South Australian energy prices, the proposed changes to the NCC are estimated to result in a net benefit across most building types and </w:t>
      </w:r>
      <w:r w:rsidR="00E31EE8">
        <w:rPr>
          <w:lang w:val="en-GB"/>
        </w:rPr>
        <w:t>Climate Zone</w:t>
      </w:r>
      <w:r>
        <w:rPr>
          <w:lang w:val="en-GB"/>
        </w:rPr>
        <w:t xml:space="preserve">s. As in other states, the key exception is the healthcare building in </w:t>
      </w:r>
      <w:r w:rsidR="00E31EE8">
        <w:rPr>
          <w:lang w:val="en-GB"/>
        </w:rPr>
        <w:t>Climate Zone</w:t>
      </w:r>
      <w:r>
        <w:rPr>
          <w:lang w:val="en-GB"/>
        </w:rPr>
        <w:t xml:space="preserve"> 6.</w:t>
      </w:r>
    </w:p>
    <w:p w:rsidR="00612FD3" w:rsidRDefault="00612FD3" w:rsidP="0032647A">
      <w:pPr>
        <w:pStyle w:val="Caption"/>
      </w:pPr>
      <w:r w:rsidRPr="00563472">
        <w:fldChar w:fldCharType="begin"/>
      </w:r>
      <w:r w:rsidRPr="00563472">
        <w:instrText xml:space="preserve"> IF 1 = 1 "</w:instrText>
      </w:r>
      <w:r w:rsidRPr="00563472">
        <w:fldChar w:fldCharType="begin"/>
      </w:r>
      <w:r w:rsidRPr="00563472">
        <w:instrText xml:space="preserve"> IF </w:instrText>
      </w:r>
      <w:r w:rsidRPr="00563472">
        <w:rPr>
          <w:noProof/>
        </w:rPr>
        <w:fldChar w:fldCharType="begin"/>
      </w:r>
      <w:r w:rsidRPr="00563472">
        <w:rPr>
          <w:noProof/>
        </w:rPr>
        <w:instrText xml:space="preserve"> STYLEREF "Heading 6" \l \n </w:instrText>
      </w:r>
      <w:r w:rsidRPr="00563472">
        <w:rPr>
          <w:noProof/>
        </w:rPr>
        <w:fldChar w:fldCharType="separate"/>
      </w:r>
      <w:r w:rsidR="00B833F1">
        <w:rPr>
          <w:noProof/>
        </w:rPr>
        <w:instrText>0</w:instrText>
      </w:r>
      <w:r w:rsidRPr="00563472">
        <w:rPr>
          <w:noProof/>
        </w:rPr>
        <w:fldChar w:fldCharType="end"/>
      </w:r>
      <w:r w:rsidRPr="00563472">
        <w:instrText xml:space="preserve"> = 0 "</w:instrText>
      </w:r>
      <w:r w:rsidRPr="00563472">
        <w:fldChar w:fldCharType="begin"/>
      </w:r>
      <w:r w:rsidRPr="00563472">
        <w:instrText xml:space="preserve"> IF </w:instrText>
      </w:r>
      <w:r w:rsidRPr="00563472">
        <w:rPr>
          <w:noProof/>
        </w:rPr>
        <w:fldChar w:fldCharType="begin"/>
      </w:r>
      <w:r w:rsidRPr="00563472">
        <w:rPr>
          <w:noProof/>
        </w:rPr>
        <w:instrText xml:space="preserve"> STYLEREF "Heading 1" \l \n </w:instrText>
      </w:r>
      <w:r w:rsidRPr="00563472">
        <w:rPr>
          <w:noProof/>
        </w:rPr>
        <w:fldChar w:fldCharType="separate"/>
      </w:r>
      <w:r w:rsidR="00B833F1">
        <w:rPr>
          <w:noProof/>
        </w:rPr>
        <w:instrText>8</w:instrText>
      </w:r>
      <w:r w:rsidRPr="00563472">
        <w:rPr>
          <w:noProof/>
        </w:rPr>
        <w:fldChar w:fldCharType="end"/>
      </w:r>
      <w:r w:rsidRPr="00563472">
        <w:instrText xml:space="preserve"> = 0 "" "</w:instrText>
      </w:r>
      <w:r w:rsidRPr="00563472">
        <w:rPr>
          <w:noProof/>
        </w:rPr>
        <w:fldChar w:fldCharType="begin"/>
      </w:r>
      <w:r w:rsidRPr="00563472">
        <w:rPr>
          <w:noProof/>
        </w:rPr>
        <w:instrText xml:space="preserve"> STYLEREF "Heading 1" \l \n </w:instrText>
      </w:r>
      <w:r w:rsidRPr="00563472">
        <w:rPr>
          <w:noProof/>
        </w:rPr>
        <w:fldChar w:fldCharType="separate"/>
      </w:r>
      <w:r w:rsidR="00B833F1">
        <w:rPr>
          <w:noProof/>
        </w:rPr>
        <w:instrText>8</w:instrText>
      </w:r>
      <w:r w:rsidRPr="00563472">
        <w:rPr>
          <w:noProof/>
        </w:rPr>
        <w:fldChar w:fldCharType="end"/>
      </w:r>
      <w:r w:rsidRPr="00563472">
        <w:instrText xml:space="preserve">." </w:instrText>
      </w:r>
      <w:r w:rsidRPr="00563472">
        <w:fldChar w:fldCharType="separate"/>
      </w:r>
      <w:r w:rsidR="00B833F1">
        <w:rPr>
          <w:noProof/>
        </w:rPr>
        <w:instrText>8</w:instrText>
      </w:r>
      <w:r w:rsidR="00B833F1" w:rsidRPr="00563472">
        <w:rPr>
          <w:noProof/>
        </w:rPr>
        <w:instrText>.</w:instrText>
      </w:r>
      <w:r w:rsidRPr="00563472">
        <w:fldChar w:fldCharType="end"/>
      </w:r>
      <w:r w:rsidRPr="00563472">
        <w:instrText>" "</w:instrText>
      </w:r>
      <w:r w:rsidR="001F6F43">
        <w:fldChar w:fldCharType="begin"/>
      </w:r>
      <w:r w:rsidR="001F6F43">
        <w:instrText xml:space="preserve"> STYLEREF "Heading 6" \l \n </w:instrText>
      </w:r>
      <w:r w:rsidR="001F6F43">
        <w:fldChar w:fldCharType="separate"/>
      </w:r>
      <w:r w:rsidRPr="00563472">
        <w:instrText>B</w:instrText>
      </w:r>
      <w:r w:rsidR="001F6F43">
        <w:fldChar w:fldCharType="end"/>
      </w:r>
      <w:r w:rsidRPr="00563472">
        <w:instrText xml:space="preserve">." </w:instrText>
      </w:r>
      <w:r w:rsidRPr="00563472">
        <w:fldChar w:fldCharType="separate"/>
      </w:r>
      <w:r w:rsidR="00EA42ED">
        <w:rPr>
          <w:noProof/>
        </w:rPr>
        <w:instrText>8</w:instrText>
      </w:r>
      <w:r w:rsidR="00EA42ED" w:rsidRPr="00563472">
        <w:rPr>
          <w:noProof/>
        </w:rPr>
        <w:instrText>.</w:instrText>
      </w:r>
      <w:r w:rsidRPr="00563472">
        <w:fldChar w:fldCharType="end"/>
      </w:r>
      <w:r w:rsidRPr="00563472">
        <w:fldChar w:fldCharType="begin"/>
      </w:r>
      <w:r w:rsidRPr="00563472">
        <w:instrText xml:space="preserve"> SEQ Item \* ARABIC \s </w:instrText>
      </w:r>
      <w:r w:rsidRPr="00563472">
        <w:fldChar w:fldCharType="begin"/>
      </w:r>
      <w:r w:rsidRPr="00563472">
        <w:instrText xml:space="preserve"> IF </w:instrText>
      </w:r>
      <w:r w:rsidRPr="00563472">
        <w:rPr>
          <w:noProof/>
        </w:rPr>
        <w:fldChar w:fldCharType="begin"/>
      </w:r>
      <w:r w:rsidRPr="00563472">
        <w:rPr>
          <w:noProof/>
        </w:rPr>
        <w:instrText xml:space="preserve"> STYLEREF "Heading 6" \l \n </w:instrText>
      </w:r>
      <w:r w:rsidRPr="00563472">
        <w:rPr>
          <w:noProof/>
        </w:rPr>
        <w:fldChar w:fldCharType="separate"/>
      </w:r>
      <w:r w:rsidR="00B833F1">
        <w:rPr>
          <w:noProof/>
        </w:rPr>
        <w:instrText>0</w:instrText>
      </w:r>
      <w:r w:rsidRPr="00563472">
        <w:rPr>
          <w:noProof/>
        </w:rPr>
        <w:fldChar w:fldCharType="end"/>
      </w:r>
      <w:r w:rsidRPr="00563472">
        <w:instrText xml:space="preserve"> = 0 "</w:instrText>
      </w:r>
      <w:r w:rsidRPr="00563472">
        <w:fldChar w:fldCharType="begin"/>
      </w:r>
      <w:r w:rsidRPr="00563472">
        <w:instrText xml:space="preserve"> IF </w:instrText>
      </w:r>
      <w:r w:rsidRPr="00563472">
        <w:rPr>
          <w:noProof/>
        </w:rPr>
        <w:fldChar w:fldCharType="begin"/>
      </w:r>
      <w:r w:rsidRPr="00563472">
        <w:rPr>
          <w:noProof/>
        </w:rPr>
        <w:instrText xml:space="preserve"> STYLEREF "Heading 1" \l \n </w:instrText>
      </w:r>
      <w:r w:rsidRPr="00563472">
        <w:rPr>
          <w:noProof/>
        </w:rPr>
        <w:fldChar w:fldCharType="separate"/>
      </w:r>
      <w:r w:rsidR="00B833F1">
        <w:rPr>
          <w:noProof/>
        </w:rPr>
        <w:instrText>8</w:instrText>
      </w:r>
      <w:r w:rsidRPr="00563472">
        <w:rPr>
          <w:noProof/>
        </w:rPr>
        <w:fldChar w:fldCharType="end"/>
      </w:r>
      <w:r w:rsidRPr="00563472">
        <w:instrText xml:space="preserve"> = 0 "" "1" </w:instrText>
      </w:r>
      <w:r w:rsidRPr="00563472">
        <w:fldChar w:fldCharType="separate"/>
      </w:r>
      <w:r w:rsidR="00EA42ED" w:rsidRPr="00563472">
        <w:rPr>
          <w:noProof/>
        </w:rPr>
        <w:instrText>1</w:instrText>
      </w:r>
      <w:r w:rsidRPr="00563472">
        <w:fldChar w:fldCharType="end"/>
      </w:r>
      <w:r w:rsidRPr="00563472">
        <w:instrText xml:space="preserve">" "6" </w:instrText>
      </w:r>
      <w:r w:rsidRPr="00563472">
        <w:fldChar w:fldCharType="separate"/>
      </w:r>
      <w:r w:rsidR="00EA42ED" w:rsidRPr="00563472">
        <w:rPr>
          <w:noProof/>
        </w:rPr>
        <w:instrText>1</w:instrText>
      </w:r>
      <w:r w:rsidRPr="00563472">
        <w:fldChar w:fldCharType="end"/>
      </w:r>
      <w:r w:rsidRPr="00563472">
        <w:instrText xml:space="preserve"> </w:instrText>
      </w:r>
      <w:r w:rsidRPr="00563472">
        <w:fldChar w:fldCharType="separate"/>
      </w:r>
      <w:r w:rsidR="00B833F1">
        <w:rPr>
          <w:noProof/>
        </w:rPr>
        <w:instrText>4</w:instrText>
      </w:r>
      <w:r w:rsidRPr="00563472">
        <w:fldChar w:fldCharType="end"/>
      </w:r>
      <w:r w:rsidRPr="00563472">
        <w:instrText xml:space="preserve">" "" </w:instrText>
      </w:r>
      <w:r w:rsidRPr="00563472">
        <w:fldChar w:fldCharType="separate"/>
      </w:r>
      <w:bookmarkStart w:id="3391" w:name="_Caption6548"/>
      <w:bookmarkStart w:id="3392" w:name="_Caption4294"/>
      <w:bookmarkStart w:id="3393" w:name="_Caption1980"/>
      <w:bookmarkStart w:id="3394" w:name="_Caption3987"/>
      <w:bookmarkStart w:id="3395" w:name="_Caption7833"/>
      <w:bookmarkStart w:id="3396" w:name="_Caption0371"/>
      <w:bookmarkStart w:id="3397" w:name="_Caption9891"/>
      <w:bookmarkStart w:id="3398" w:name="_Caption0475"/>
      <w:bookmarkStart w:id="3399" w:name="_Caption4893"/>
      <w:bookmarkStart w:id="3400" w:name="_Caption8008"/>
      <w:bookmarkStart w:id="3401" w:name="_Caption2064"/>
      <w:bookmarkStart w:id="3402" w:name="_Caption7442"/>
      <w:bookmarkStart w:id="3403" w:name="_Caption4336"/>
      <w:bookmarkStart w:id="3404" w:name="_Caption2498"/>
      <w:bookmarkStart w:id="3405" w:name="_Caption4666"/>
      <w:bookmarkStart w:id="3406" w:name="_Caption9719"/>
      <w:bookmarkStart w:id="3407" w:name="_Caption7812"/>
      <w:bookmarkStart w:id="3408" w:name="_Caption7746"/>
      <w:bookmarkStart w:id="3409" w:name="_Caption3699"/>
      <w:bookmarkStart w:id="3410" w:name="_Caption1115"/>
      <w:bookmarkStart w:id="3411" w:name="_Caption8729"/>
      <w:bookmarkStart w:id="3412" w:name="_Caption8169"/>
      <w:bookmarkStart w:id="3413" w:name="_Caption2892"/>
      <w:bookmarkStart w:id="3414" w:name="_Caption4092"/>
      <w:bookmarkStart w:id="3415" w:name="_Caption1225"/>
      <w:bookmarkStart w:id="3416" w:name="_Caption1118"/>
      <w:bookmarkStart w:id="3417" w:name="_Caption4825"/>
      <w:bookmarkStart w:id="3418" w:name="_Caption8744"/>
      <w:bookmarkStart w:id="3419" w:name="_Caption2813"/>
      <w:bookmarkStart w:id="3420" w:name="_Caption4854"/>
      <w:bookmarkStart w:id="3421" w:name="_Caption3165"/>
      <w:bookmarkStart w:id="3422" w:name="_Caption6511"/>
      <w:bookmarkStart w:id="3423" w:name="_Caption2183"/>
      <w:bookmarkStart w:id="3424" w:name="_Caption1558"/>
      <w:bookmarkStart w:id="3425" w:name="_Caption2133"/>
      <w:bookmarkStart w:id="3426" w:name="_Caption6317"/>
      <w:bookmarkStart w:id="3427" w:name="_Caption7429"/>
      <w:bookmarkStart w:id="3428" w:name="_Caption9568"/>
      <w:bookmarkStart w:id="3429" w:name="_Caption6794"/>
      <w:bookmarkStart w:id="3430" w:name="_Caption8334"/>
      <w:bookmarkStart w:id="3431" w:name="_Caption2458"/>
      <w:bookmarkStart w:id="3432" w:name="_Caption2287"/>
      <w:bookmarkStart w:id="3433" w:name="_Caption9302"/>
      <w:bookmarkStart w:id="3434" w:name="_Caption1648"/>
      <w:bookmarkStart w:id="3435" w:name="_Caption1186"/>
      <w:bookmarkStart w:id="3436" w:name="_Caption1366"/>
      <w:bookmarkStart w:id="3437" w:name="_Caption8191"/>
      <w:bookmarkStart w:id="3438" w:name="_Caption2867"/>
      <w:bookmarkStart w:id="3439" w:name="_Caption7217"/>
      <w:bookmarkStart w:id="3440" w:name="_Caption0665"/>
      <w:bookmarkStart w:id="3441" w:name="_Caption6886"/>
      <w:bookmarkStart w:id="3442" w:name="_Caption8825"/>
      <w:bookmarkStart w:id="3443" w:name="_Caption0073"/>
      <w:bookmarkStart w:id="3444" w:name="_Caption2273"/>
      <w:bookmarkStart w:id="3445" w:name="_Caption6740"/>
      <w:bookmarkStart w:id="3446" w:name="_Caption6076"/>
      <w:bookmarkStart w:id="3447" w:name="_Caption0777"/>
      <w:bookmarkStart w:id="3448" w:name="_Caption5773"/>
      <w:bookmarkStart w:id="3449" w:name="_Caption1113"/>
      <w:bookmarkStart w:id="3450" w:name="_Caption9517"/>
      <w:bookmarkStart w:id="3451" w:name="_Caption4614"/>
      <w:bookmarkStart w:id="3452" w:name="_Caption6774"/>
      <w:bookmarkStart w:id="3453" w:name="_Caption8599"/>
      <w:bookmarkStart w:id="3454" w:name="_Caption7253"/>
      <w:bookmarkStart w:id="3455" w:name="_Caption3465"/>
      <w:bookmarkStart w:id="3456" w:name="_Caption5024"/>
      <w:bookmarkStart w:id="3457" w:name="_Caption9007"/>
      <w:bookmarkStart w:id="3458" w:name="_Toc529869943"/>
      <w:bookmarkStart w:id="3459" w:name="_Toc530748439"/>
      <w:r w:rsidR="00EA42ED">
        <w:rPr>
          <w:noProof/>
        </w:rPr>
        <w:t>8</w:t>
      </w:r>
      <w:r w:rsidR="00EA42ED" w:rsidRPr="00563472">
        <w:rPr>
          <w:noProof/>
        </w:rPr>
        <w:t>.</w:t>
      </w:r>
      <w:r w:rsidR="00EA42ED">
        <w:rPr>
          <w:noProof/>
        </w:rPr>
        <w:t>4</w:t>
      </w:r>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r w:rsidRPr="00563472">
        <w:fldChar w:fldCharType="end"/>
      </w:r>
      <w:r w:rsidRPr="00563472">
        <w:tab/>
        <w:t>Building</w:t>
      </w:r>
      <w:r w:rsidRPr="00563472">
        <w:noBreakHyphen/>
        <w:t>level net impacts — South Australia</w:t>
      </w:r>
      <w:bookmarkEnd w:id="3458"/>
      <w:bookmarkEnd w:id="3459"/>
    </w:p>
    <w:tbl>
      <w:tblPr>
        <w:tblW w:w="7937" w:type="dxa"/>
        <w:tblLayout w:type="fixed"/>
        <w:tblLook w:val="0000" w:firstRow="0" w:lastRow="0" w:firstColumn="0" w:lastColumn="0" w:noHBand="0" w:noVBand="0"/>
        <w:tblCaption w:val="Table 8.4: Building-level net impacts - South Australia"/>
        <w:tblDescription w:val="This table outlines the building level net impacts of the proposed changes to NCC 2019 by building classiciation and climate zone for South Australia. "/>
      </w:tblPr>
      <w:tblGrid>
        <w:gridCol w:w="2456"/>
        <w:gridCol w:w="783"/>
        <w:gridCol w:w="783"/>
        <w:gridCol w:w="783"/>
        <w:gridCol w:w="783"/>
        <w:gridCol w:w="783"/>
        <w:gridCol w:w="783"/>
        <w:gridCol w:w="783"/>
      </w:tblGrid>
      <w:tr w:rsidR="00612FD3" w:rsidRPr="00C661AF" w:rsidTr="00C661AF">
        <w:trPr>
          <w:trHeight w:val="230"/>
          <w:tblHeader/>
        </w:trPr>
        <w:tc>
          <w:tcPr>
            <w:tcW w:w="2456" w:type="dxa"/>
            <w:shd w:val="clear" w:color="auto" w:fill="6F6652"/>
            <w:tcMar>
              <w:left w:w="57" w:type="dxa"/>
              <w:right w:w="57" w:type="dxa"/>
            </w:tcMar>
          </w:tcPr>
          <w:p w:rsidR="00612FD3" w:rsidRPr="00C661AF" w:rsidRDefault="00612FD3" w:rsidP="00301B6D">
            <w:pPr>
              <w:pStyle w:val="TableDataColumnHeading"/>
              <w:jc w:val="left"/>
              <w:rPr>
                <w:lang w:val="en-GB"/>
              </w:rPr>
            </w:pPr>
          </w:p>
        </w:tc>
        <w:tc>
          <w:tcPr>
            <w:tcW w:w="783" w:type="dxa"/>
            <w:shd w:val="clear" w:color="auto" w:fill="6F6652"/>
            <w:tcMar>
              <w:left w:w="57" w:type="dxa"/>
              <w:right w:w="57" w:type="dxa"/>
            </w:tcMar>
          </w:tcPr>
          <w:p w:rsidR="00612FD3" w:rsidRPr="00C661AF" w:rsidRDefault="00612FD3" w:rsidP="00301B6D">
            <w:pPr>
              <w:pStyle w:val="TableDataColumnHeading"/>
              <w:rPr>
                <w:bCs/>
                <w:lang w:val="en-GB"/>
              </w:rPr>
            </w:pPr>
            <w:r w:rsidRPr="00C661AF">
              <w:rPr>
                <w:bCs/>
                <w:lang w:val="en-GB"/>
              </w:rPr>
              <w:t>CZ1</w:t>
            </w:r>
          </w:p>
        </w:tc>
        <w:tc>
          <w:tcPr>
            <w:tcW w:w="783" w:type="dxa"/>
            <w:shd w:val="clear" w:color="auto" w:fill="6F6652"/>
            <w:tcMar>
              <w:left w:w="57" w:type="dxa"/>
              <w:right w:w="57" w:type="dxa"/>
            </w:tcMar>
          </w:tcPr>
          <w:p w:rsidR="00612FD3" w:rsidRPr="00C661AF" w:rsidRDefault="00612FD3" w:rsidP="00301B6D">
            <w:pPr>
              <w:pStyle w:val="TableDataColumnHeading"/>
              <w:rPr>
                <w:bCs/>
                <w:lang w:val="en-GB"/>
              </w:rPr>
            </w:pPr>
            <w:r w:rsidRPr="00C661AF">
              <w:rPr>
                <w:bCs/>
                <w:lang w:val="en-GB"/>
              </w:rPr>
              <w:t>CZ2</w:t>
            </w:r>
          </w:p>
        </w:tc>
        <w:tc>
          <w:tcPr>
            <w:tcW w:w="783" w:type="dxa"/>
            <w:shd w:val="clear" w:color="auto" w:fill="6F6652"/>
            <w:tcMar>
              <w:left w:w="57" w:type="dxa"/>
              <w:right w:w="57" w:type="dxa"/>
            </w:tcMar>
          </w:tcPr>
          <w:p w:rsidR="00612FD3" w:rsidRPr="00C661AF" w:rsidRDefault="00612FD3" w:rsidP="00301B6D">
            <w:pPr>
              <w:pStyle w:val="TableDataColumnHeading"/>
              <w:rPr>
                <w:bCs/>
                <w:lang w:val="en-GB"/>
              </w:rPr>
            </w:pPr>
            <w:r w:rsidRPr="00C661AF">
              <w:rPr>
                <w:bCs/>
                <w:lang w:val="en-GB"/>
              </w:rPr>
              <w:t>CZ3</w:t>
            </w:r>
          </w:p>
        </w:tc>
        <w:tc>
          <w:tcPr>
            <w:tcW w:w="783" w:type="dxa"/>
            <w:shd w:val="clear" w:color="auto" w:fill="6F6652"/>
            <w:tcMar>
              <w:left w:w="57" w:type="dxa"/>
              <w:right w:w="57" w:type="dxa"/>
            </w:tcMar>
          </w:tcPr>
          <w:p w:rsidR="00612FD3" w:rsidRPr="00C661AF" w:rsidRDefault="00612FD3" w:rsidP="00301B6D">
            <w:pPr>
              <w:pStyle w:val="TableDataColumnHeading"/>
              <w:rPr>
                <w:bCs/>
                <w:lang w:val="en-GB"/>
              </w:rPr>
            </w:pPr>
            <w:r w:rsidRPr="00C661AF">
              <w:rPr>
                <w:bCs/>
                <w:lang w:val="en-GB"/>
              </w:rPr>
              <w:t>CZ4</w:t>
            </w:r>
          </w:p>
        </w:tc>
        <w:tc>
          <w:tcPr>
            <w:tcW w:w="783" w:type="dxa"/>
            <w:shd w:val="clear" w:color="auto" w:fill="6F6652"/>
            <w:tcMar>
              <w:left w:w="57" w:type="dxa"/>
              <w:right w:w="57" w:type="dxa"/>
            </w:tcMar>
          </w:tcPr>
          <w:p w:rsidR="00612FD3" w:rsidRPr="00C661AF" w:rsidRDefault="00612FD3" w:rsidP="00301B6D">
            <w:pPr>
              <w:pStyle w:val="TableDataColumnHeading"/>
              <w:rPr>
                <w:bCs/>
                <w:lang w:val="en-GB"/>
              </w:rPr>
            </w:pPr>
            <w:r w:rsidRPr="00C661AF">
              <w:rPr>
                <w:bCs/>
                <w:lang w:val="en-GB"/>
              </w:rPr>
              <w:t>CZ5</w:t>
            </w:r>
          </w:p>
        </w:tc>
        <w:tc>
          <w:tcPr>
            <w:tcW w:w="783" w:type="dxa"/>
            <w:shd w:val="clear" w:color="auto" w:fill="6F6652"/>
            <w:tcMar>
              <w:left w:w="57" w:type="dxa"/>
              <w:right w:w="57" w:type="dxa"/>
            </w:tcMar>
          </w:tcPr>
          <w:p w:rsidR="00612FD3" w:rsidRPr="00C661AF" w:rsidRDefault="00612FD3" w:rsidP="00301B6D">
            <w:pPr>
              <w:pStyle w:val="TableDataColumnHeading"/>
              <w:rPr>
                <w:bCs/>
                <w:lang w:val="en-GB"/>
              </w:rPr>
            </w:pPr>
            <w:r w:rsidRPr="00C661AF">
              <w:rPr>
                <w:bCs/>
                <w:lang w:val="en-GB"/>
              </w:rPr>
              <w:t>CZ6</w:t>
            </w:r>
          </w:p>
        </w:tc>
        <w:tc>
          <w:tcPr>
            <w:tcW w:w="783" w:type="dxa"/>
            <w:shd w:val="clear" w:color="auto" w:fill="6F6652"/>
            <w:tcMar>
              <w:left w:w="57" w:type="dxa"/>
              <w:right w:w="57" w:type="dxa"/>
            </w:tcMar>
          </w:tcPr>
          <w:p w:rsidR="00612FD3" w:rsidRPr="00C661AF" w:rsidRDefault="00612FD3" w:rsidP="00301B6D">
            <w:pPr>
              <w:pStyle w:val="TableDataColumnHeading"/>
              <w:rPr>
                <w:bCs/>
                <w:lang w:val="en-GB"/>
              </w:rPr>
            </w:pPr>
            <w:r w:rsidRPr="00C661AF">
              <w:rPr>
                <w:bCs/>
                <w:lang w:val="en-GB"/>
              </w:rPr>
              <w:t>CZ7</w:t>
            </w:r>
          </w:p>
        </w:tc>
      </w:tr>
      <w:tr w:rsidR="00612FD3" w:rsidTr="00C661AF">
        <w:trPr>
          <w:trHeight w:val="230"/>
          <w:tblHeader/>
        </w:trPr>
        <w:tc>
          <w:tcPr>
            <w:tcW w:w="2456"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jc w:val="left"/>
              <w:rPr>
                <w:lang w:val="en-GB"/>
              </w:rPr>
            </w:pP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D742B2">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D742B2">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D742B2">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D742B2">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D742B2">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D742B2">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D742B2">
              <w:rPr>
                <w:vertAlign w:val="superscript"/>
                <w:lang w:val="en-GB"/>
              </w:rPr>
              <w:t>2</w:t>
            </w:r>
          </w:p>
        </w:tc>
      </w:tr>
      <w:tr w:rsidR="00612FD3" w:rsidTr="00301B6D">
        <w:trPr>
          <w:trHeight w:val="230"/>
        </w:trPr>
        <w:tc>
          <w:tcPr>
            <w:tcW w:w="245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r>
              <w:rPr>
                <w:lang w:val="en-GB"/>
              </w:rPr>
              <w:t>Low scenario</w:t>
            </w: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r>
      <w:tr w:rsidR="00F03986"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F03986" w:rsidRDefault="00F03986" w:rsidP="00F03986">
            <w:pPr>
              <w:pStyle w:val="TableDataEntries"/>
              <w:jc w:val="left"/>
              <w:rPr>
                <w:lang w:val="en-GB"/>
              </w:rPr>
            </w:pPr>
            <w:r>
              <w:rPr>
                <w:lang w:val="en-GB"/>
              </w:rPr>
              <w:t>Hotel</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xml:space="preserve"> 35.92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xml:space="preserve"> 29.16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xml:space="preserve"> 36.73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r>
      <w:tr w:rsidR="00F03986"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F03986" w:rsidRDefault="00F03986" w:rsidP="00F03986">
            <w:pPr>
              <w:pStyle w:val="TableDataEntries"/>
              <w:jc w:val="left"/>
              <w:rPr>
                <w:lang w:val="en-GB"/>
              </w:rPr>
            </w:pPr>
            <w:r>
              <w:rPr>
                <w:lang w:val="en-GB"/>
              </w:rPr>
              <w:t>Office building</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xml:space="preserve"> 1.03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r>
      <w:tr w:rsidR="00F03986"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F03986" w:rsidRDefault="00F03986" w:rsidP="00F03986">
            <w:pPr>
              <w:pStyle w:val="TableDataEntries"/>
              <w:jc w:val="left"/>
              <w:rPr>
                <w:lang w:val="en-GB"/>
              </w:rPr>
            </w:pPr>
            <w:r>
              <w:rPr>
                <w:lang w:val="en-GB"/>
              </w:rPr>
              <w:t>Retail</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xml:space="preserve"> 17.24</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xml:space="preserve"> 39.47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xml:space="preserve"> 21.39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r>
      <w:tr w:rsidR="00F03986"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F03986" w:rsidRDefault="00F03986" w:rsidP="00F03986">
            <w:pPr>
              <w:pStyle w:val="TableDataEntries"/>
              <w:jc w:val="left"/>
              <w:rPr>
                <w:lang w:val="en-GB"/>
              </w:rPr>
            </w:pPr>
            <w:r>
              <w:rPr>
                <w:lang w:val="en-GB"/>
              </w:rPr>
              <w:t>Healthcare</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- 2.06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- 1.43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- 23.46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r>
      <w:tr w:rsidR="00F03986"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F03986" w:rsidRDefault="00F03986" w:rsidP="00F03986">
            <w:pPr>
              <w:pStyle w:val="TableDataEntries"/>
              <w:jc w:val="left"/>
              <w:rPr>
                <w:lang w:val="en-GB"/>
              </w:rPr>
            </w:pPr>
            <w:r>
              <w:rPr>
                <w:lang w:val="en-GB"/>
              </w:rPr>
              <w:t>School</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xml:space="preserve"> 21.55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xml:space="preserve"> 9.67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xml:space="preserve"> 26.54</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r>
      <w:tr w:rsidR="00612FD3" w:rsidTr="00301B6D">
        <w:trPr>
          <w:trHeight w:val="230"/>
        </w:trPr>
        <w:tc>
          <w:tcPr>
            <w:tcW w:w="245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r>
              <w:rPr>
                <w:lang w:val="en-GB"/>
              </w:rPr>
              <w:t>Medium scenario</w:t>
            </w: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Pr="00563472" w:rsidRDefault="00612FD3" w:rsidP="00563472">
            <w:pPr>
              <w:pStyle w:val="TableDataEntries"/>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Pr="00563472" w:rsidRDefault="00612FD3" w:rsidP="00563472">
            <w:pPr>
              <w:pStyle w:val="TableDataEntries"/>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Pr="00563472" w:rsidRDefault="00612FD3" w:rsidP="00563472">
            <w:pPr>
              <w:pStyle w:val="TableDataEntries"/>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Pr="00563472" w:rsidRDefault="00612FD3" w:rsidP="00563472">
            <w:pPr>
              <w:pStyle w:val="TableDataEntries"/>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Pr="00563472" w:rsidRDefault="00612FD3" w:rsidP="00563472">
            <w:pPr>
              <w:pStyle w:val="TableDataEntries"/>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Pr="00563472" w:rsidRDefault="00612FD3" w:rsidP="00563472">
            <w:pPr>
              <w:pStyle w:val="TableDataEntries"/>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Pr="00563472" w:rsidRDefault="00612FD3" w:rsidP="00563472">
            <w:pPr>
              <w:pStyle w:val="TableDataEntries"/>
            </w:pPr>
          </w:p>
        </w:tc>
      </w:tr>
      <w:tr w:rsidR="00563472"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563472" w:rsidRDefault="00563472" w:rsidP="00563472">
            <w:pPr>
              <w:pStyle w:val="TableDataEntries"/>
              <w:jc w:val="left"/>
              <w:rPr>
                <w:lang w:val="en-GB"/>
              </w:rPr>
            </w:pPr>
            <w:r>
              <w:rPr>
                <w:lang w:val="en-GB"/>
              </w:rPr>
              <w:t>Hotel</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53.34</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46.24</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54.71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r>
      <w:tr w:rsidR="00563472"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563472" w:rsidRDefault="00563472" w:rsidP="00563472">
            <w:pPr>
              <w:pStyle w:val="TableDataEntries"/>
              <w:jc w:val="left"/>
              <w:rPr>
                <w:lang w:val="en-GB"/>
              </w:rPr>
            </w:pPr>
            <w:r>
              <w:rPr>
                <w:lang w:val="en-GB"/>
              </w:rPr>
              <w:t>Office building</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7.07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r>
      <w:tr w:rsidR="00563472"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563472" w:rsidRDefault="00563472" w:rsidP="00563472">
            <w:pPr>
              <w:pStyle w:val="TableDataEntries"/>
              <w:jc w:val="left"/>
              <w:rPr>
                <w:lang w:val="en-GB"/>
              </w:rPr>
            </w:pPr>
            <w:r>
              <w:rPr>
                <w:lang w:val="en-GB"/>
              </w:rPr>
              <w:t>Retail</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35.16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62.82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37.27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r>
      <w:tr w:rsidR="00563472"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563472" w:rsidRDefault="00563472" w:rsidP="00563472">
            <w:pPr>
              <w:pStyle w:val="TableDataEntries"/>
              <w:jc w:val="left"/>
              <w:rPr>
                <w:lang w:val="en-GB"/>
              </w:rPr>
            </w:pPr>
            <w:r>
              <w:rPr>
                <w:lang w:val="en-GB"/>
              </w:rPr>
              <w:t>Healthcare</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5.65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5.96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- 21.95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r>
      <w:tr w:rsidR="00563472"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563472" w:rsidRDefault="00563472" w:rsidP="00563472">
            <w:pPr>
              <w:pStyle w:val="TableDataEntries"/>
              <w:jc w:val="left"/>
              <w:rPr>
                <w:lang w:val="en-GB"/>
              </w:rPr>
            </w:pPr>
            <w:r>
              <w:rPr>
                <w:lang w:val="en-GB"/>
              </w:rPr>
              <w:t>School</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41.16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23.55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43.66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r>
      <w:tr w:rsidR="00612FD3" w:rsidTr="00301B6D">
        <w:trPr>
          <w:trHeight w:val="230"/>
        </w:trPr>
        <w:tc>
          <w:tcPr>
            <w:tcW w:w="245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r>
              <w:rPr>
                <w:lang w:val="en-GB"/>
              </w:rPr>
              <w:t>High scenario</w:t>
            </w: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Pr="00563472" w:rsidRDefault="00612FD3" w:rsidP="00563472">
            <w:pPr>
              <w:pStyle w:val="TableDataEntries"/>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Pr="00563472" w:rsidRDefault="00612FD3" w:rsidP="00563472">
            <w:pPr>
              <w:pStyle w:val="TableDataEntries"/>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Pr="00563472" w:rsidRDefault="00612FD3" w:rsidP="00563472">
            <w:pPr>
              <w:pStyle w:val="TableDataEntries"/>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Pr="00563472" w:rsidRDefault="00612FD3" w:rsidP="00563472">
            <w:pPr>
              <w:pStyle w:val="TableDataEntries"/>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Pr="00563472" w:rsidRDefault="00612FD3" w:rsidP="00563472">
            <w:pPr>
              <w:pStyle w:val="TableDataEntries"/>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Pr="00563472" w:rsidRDefault="00612FD3" w:rsidP="00563472">
            <w:pPr>
              <w:pStyle w:val="TableDataEntries"/>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Pr="00563472" w:rsidRDefault="00612FD3" w:rsidP="00563472">
            <w:pPr>
              <w:pStyle w:val="TableDataEntries"/>
            </w:pPr>
          </w:p>
        </w:tc>
      </w:tr>
      <w:tr w:rsidR="00563472"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563472" w:rsidRDefault="00563472" w:rsidP="00563472">
            <w:pPr>
              <w:pStyle w:val="TableDataEntries"/>
              <w:jc w:val="left"/>
              <w:rPr>
                <w:lang w:val="en-GB"/>
              </w:rPr>
            </w:pPr>
            <w:r>
              <w:rPr>
                <w:lang w:val="en-GB"/>
              </w:rPr>
              <w:t>Hotel</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70.75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63.31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72.69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r>
      <w:tr w:rsidR="00563472"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563472" w:rsidRDefault="00563472" w:rsidP="00563472">
            <w:pPr>
              <w:pStyle w:val="TableDataEntries"/>
              <w:jc w:val="left"/>
              <w:rPr>
                <w:lang w:val="en-GB"/>
              </w:rPr>
            </w:pPr>
            <w:r>
              <w:rPr>
                <w:lang w:val="en-GB"/>
              </w:rPr>
              <w:t>Office building</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13.11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r>
      <w:tr w:rsidR="00563472"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563472" w:rsidRDefault="00563472" w:rsidP="00563472">
            <w:pPr>
              <w:pStyle w:val="TableDataEntries"/>
              <w:jc w:val="left"/>
              <w:rPr>
                <w:lang w:val="en-GB"/>
              </w:rPr>
            </w:pPr>
            <w:r>
              <w:rPr>
                <w:lang w:val="en-GB"/>
              </w:rPr>
              <w:t>Retail</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53.08</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86.16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53.14</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r>
      <w:tr w:rsidR="00563472"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563472" w:rsidRDefault="00563472" w:rsidP="00563472">
            <w:pPr>
              <w:pStyle w:val="TableDataEntries"/>
              <w:jc w:val="left"/>
              <w:rPr>
                <w:lang w:val="en-GB"/>
              </w:rPr>
            </w:pPr>
            <w:r>
              <w:rPr>
                <w:lang w:val="en-GB"/>
              </w:rPr>
              <w:t>Healthcare</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13.37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13.36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- 20.43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r>
      <w:tr w:rsidR="00563472" w:rsidTr="00301B6D">
        <w:trPr>
          <w:trHeight w:val="230"/>
        </w:trPr>
        <w:tc>
          <w:tcPr>
            <w:tcW w:w="2456" w:type="dxa"/>
            <w:tcBorders>
              <w:top w:val="single" w:sz="8" w:space="0" w:color="FFFFFF" w:themeColor="background1"/>
              <w:bottom w:val="single" w:sz="6" w:space="0" w:color="6F6652"/>
            </w:tcBorders>
            <w:shd w:val="clear" w:color="auto" w:fill="E9E8E5" w:themeFill="background2"/>
            <w:tcMar>
              <w:left w:w="57" w:type="dxa"/>
              <w:right w:w="57" w:type="dxa"/>
            </w:tcMar>
          </w:tcPr>
          <w:p w:rsidR="00563472" w:rsidRDefault="00563472" w:rsidP="00563472">
            <w:pPr>
              <w:pStyle w:val="TableDataEntries"/>
              <w:jc w:val="left"/>
              <w:rPr>
                <w:lang w:val="en-GB"/>
              </w:rPr>
            </w:pPr>
            <w:r>
              <w:rPr>
                <w:lang w:val="en-GB"/>
              </w:rPr>
              <w:t>School</w:t>
            </w:r>
          </w:p>
        </w:tc>
        <w:tc>
          <w:tcPr>
            <w:tcW w:w="783"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60.76</w:t>
            </w:r>
          </w:p>
        </w:tc>
        <w:tc>
          <w:tcPr>
            <w:tcW w:w="783"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37.43</w:t>
            </w:r>
          </w:p>
        </w:tc>
        <w:tc>
          <w:tcPr>
            <w:tcW w:w="783"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60.78</w:t>
            </w:r>
          </w:p>
        </w:tc>
        <w:tc>
          <w:tcPr>
            <w:tcW w:w="783"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r>
    </w:tbl>
    <w:p w:rsidR="00CA6CF4" w:rsidRDefault="00CA6CF4" w:rsidP="00CA6CF4">
      <w:pPr>
        <w:pStyle w:val="Note"/>
        <w:rPr>
          <w:lang w:bidi="fa-IR"/>
        </w:rPr>
      </w:pPr>
      <w:r w:rsidRPr="007B3E1B">
        <w:rPr>
          <w:i/>
          <w:lang w:bidi="fa-IR"/>
        </w:rPr>
        <w:t>Note:</w:t>
      </w:r>
      <w:r>
        <w:rPr>
          <w:lang w:bidi="fa-IR"/>
        </w:rPr>
        <w:t xml:space="preserve"> Net impacts include the private benefits and costs to building owners/tenants and the global benefits from reduced GHG emissions.</w:t>
      </w:r>
    </w:p>
    <w:p w:rsidR="00612FD3" w:rsidRDefault="00612FD3" w:rsidP="00612FD3">
      <w:pPr>
        <w:pStyle w:val="Source"/>
        <w:rPr>
          <w:lang w:bidi="fa-IR"/>
        </w:rPr>
      </w:pPr>
      <w:r w:rsidRPr="00D742B2">
        <w:rPr>
          <w:i/>
          <w:lang w:bidi="fa-IR"/>
        </w:rPr>
        <w:t>Source:</w:t>
      </w:r>
      <w:r>
        <w:rPr>
          <w:lang w:bidi="fa-IR"/>
        </w:rPr>
        <w:t xml:space="preserve"> CIE based on </w:t>
      </w:r>
      <w:r w:rsidR="003F28DD">
        <w:rPr>
          <w:lang w:bidi="fa-IR"/>
        </w:rPr>
        <w:t>EA</w:t>
      </w:r>
      <w:r>
        <w:rPr>
          <w:lang w:bidi="fa-IR"/>
        </w:rPr>
        <w:t xml:space="preserve"> modelling.</w:t>
      </w:r>
    </w:p>
    <w:p w:rsidR="00612FD3" w:rsidRDefault="00612FD3" w:rsidP="00914293">
      <w:pPr>
        <w:pStyle w:val="Heading4"/>
        <w:rPr>
          <w:lang w:val="en-GB"/>
        </w:rPr>
      </w:pPr>
      <w:r>
        <w:rPr>
          <w:lang w:val="en-GB"/>
        </w:rPr>
        <w:t>Western Australia</w:t>
      </w:r>
    </w:p>
    <w:p w:rsidR="00612FD3" w:rsidRDefault="00612FD3" w:rsidP="00612FD3">
      <w:pPr>
        <w:pStyle w:val="BodyText"/>
        <w:rPr>
          <w:lang w:val="en-GB"/>
        </w:rPr>
      </w:pPr>
      <w:r>
        <w:rPr>
          <w:lang w:val="en-GB"/>
        </w:rPr>
        <w:t xml:space="preserve">Western Australia spans </w:t>
      </w:r>
      <w:r w:rsidR="00E31EE8">
        <w:rPr>
          <w:lang w:val="en-GB"/>
        </w:rPr>
        <w:t>Climate Zone</w:t>
      </w:r>
      <w:r>
        <w:rPr>
          <w:lang w:val="en-GB"/>
        </w:rPr>
        <w:t>s 1 and 3</w:t>
      </w:r>
      <w:r>
        <w:rPr>
          <w:lang w:val="en-GB"/>
        </w:rPr>
        <w:noBreakHyphen/>
        <w:t xml:space="preserve">6. </w:t>
      </w:r>
    </w:p>
    <w:p w:rsidR="00612FD3" w:rsidRDefault="00612FD3" w:rsidP="00612FD3">
      <w:pPr>
        <w:pStyle w:val="Caption"/>
      </w:pPr>
      <w:r w:rsidRPr="00563472">
        <w:fldChar w:fldCharType="begin"/>
      </w:r>
      <w:r w:rsidRPr="00563472">
        <w:instrText xml:space="preserve"> IF 1 = 1 "</w:instrText>
      </w:r>
      <w:r w:rsidRPr="00563472">
        <w:fldChar w:fldCharType="begin"/>
      </w:r>
      <w:r w:rsidRPr="00563472">
        <w:instrText xml:space="preserve"> IF </w:instrText>
      </w:r>
      <w:r w:rsidRPr="00563472">
        <w:rPr>
          <w:noProof/>
        </w:rPr>
        <w:fldChar w:fldCharType="begin"/>
      </w:r>
      <w:r w:rsidRPr="00563472">
        <w:rPr>
          <w:noProof/>
        </w:rPr>
        <w:instrText xml:space="preserve"> STYLEREF "Heading 6" \l \n </w:instrText>
      </w:r>
      <w:r w:rsidRPr="00563472">
        <w:rPr>
          <w:noProof/>
        </w:rPr>
        <w:fldChar w:fldCharType="separate"/>
      </w:r>
      <w:r w:rsidR="00B833F1">
        <w:rPr>
          <w:noProof/>
        </w:rPr>
        <w:instrText>0</w:instrText>
      </w:r>
      <w:r w:rsidRPr="00563472">
        <w:rPr>
          <w:noProof/>
        </w:rPr>
        <w:fldChar w:fldCharType="end"/>
      </w:r>
      <w:r w:rsidRPr="00563472">
        <w:instrText xml:space="preserve"> = 0 "</w:instrText>
      </w:r>
      <w:r w:rsidRPr="00563472">
        <w:fldChar w:fldCharType="begin"/>
      </w:r>
      <w:r w:rsidRPr="00563472">
        <w:instrText xml:space="preserve"> IF </w:instrText>
      </w:r>
      <w:r w:rsidRPr="00563472">
        <w:rPr>
          <w:noProof/>
        </w:rPr>
        <w:fldChar w:fldCharType="begin"/>
      </w:r>
      <w:r w:rsidRPr="00563472">
        <w:rPr>
          <w:noProof/>
        </w:rPr>
        <w:instrText xml:space="preserve"> STYLEREF "Heading 1" \l \n </w:instrText>
      </w:r>
      <w:r w:rsidRPr="00563472">
        <w:rPr>
          <w:noProof/>
        </w:rPr>
        <w:fldChar w:fldCharType="separate"/>
      </w:r>
      <w:r w:rsidR="00B833F1">
        <w:rPr>
          <w:noProof/>
        </w:rPr>
        <w:instrText>8</w:instrText>
      </w:r>
      <w:r w:rsidRPr="00563472">
        <w:rPr>
          <w:noProof/>
        </w:rPr>
        <w:fldChar w:fldCharType="end"/>
      </w:r>
      <w:r w:rsidRPr="00563472">
        <w:instrText xml:space="preserve"> = 0 "" "</w:instrText>
      </w:r>
      <w:r w:rsidRPr="00563472">
        <w:rPr>
          <w:noProof/>
        </w:rPr>
        <w:fldChar w:fldCharType="begin"/>
      </w:r>
      <w:r w:rsidRPr="00563472">
        <w:rPr>
          <w:noProof/>
        </w:rPr>
        <w:instrText xml:space="preserve"> STYLEREF "Heading 1" \l \n </w:instrText>
      </w:r>
      <w:r w:rsidRPr="00563472">
        <w:rPr>
          <w:noProof/>
        </w:rPr>
        <w:fldChar w:fldCharType="separate"/>
      </w:r>
      <w:r w:rsidR="00B833F1">
        <w:rPr>
          <w:noProof/>
        </w:rPr>
        <w:instrText>8</w:instrText>
      </w:r>
      <w:r w:rsidRPr="00563472">
        <w:rPr>
          <w:noProof/>
        </w:rPr>
        <w:fldChar w:fldCharType="end"/>
      </w:r>
      <w:r w:rsidRPr="00563472">
        <w:instrText xml:space="preserve">." </w:instrText>
      </w:r>
      <w:r w:rsidRPr="00563472">
        <w:fldChar w:fldCharType="separate"/>
      </w:r>
      <w:r w:rsidR="00B833F1">
        <w:rPr>
          <w:noProof/>
        </w:rPr>
        <w:instrText>8</w:instrText>
      </w:r>
      <w:r w:rsidR="00B833F1" w:rsidRPr="00563472">
        <w:rPr>
          <w:noProof/>
        </w:rPr>
        <w:instrText>.</w:instrText>
      </w:r>
      <w:r w:rsidRPr="00563472">
        <w:fldChar w:fldCharType="end"/>
      </w:r>
      <w:r w:rsidRPr="00563472">
        <w:instrText>" "</w:instrText>
      </w:r>
      <w:r w:rsidR="001F6F43">
        <w:fldChar w:fldCharType="begin"/>
      </w:r>
      <w:r w:rsidR="001F6F43">
        <w:instrText xml:space="preserve"> STYLEREF "Heading 6" \l \n </w:instrText>
      </w:r>
      <w:r w:rsidR="001F6F43">
        <w:fldChar w:fldCharType="separate"/>
      </w:r>
      <w:r w:rsidRPr="00563472">
        <w:instrText>B</w:instrText>
      </w:r>
      <w:r w:rsidR="001F6F43">
        <w:fldChar w:fldCharType="end"/>
      </w:r>
      <w:r w:rsidRPr="00563472">
        <w:instrText xml:space="preserve">." </w:instrText>
      </w:r>
      <w:r w:rsidRPr="00563472">
        <w:fldChar w:fldCharType="separate"/>
      </w:r>
      <w:r w:rsidR="00EA42ED">
        <w:rPr>
          <w:noProof/>
        </w:rPr>
        <w:instrText>8</w:instrText>
      </w:r>
      <w:r w:rsidR="00EA42ED" w:rsidRPr="00563472">
        <w:rPr>
          <w:noProof/>
        </w:rPr>
        <w:instrText>.</w:instrText>
      </w:r>
      <w:r w:rsidRPr="00563472">
        <w:fldChar w:fldCharType="end"/>
      </w:r>
      <w:r w:rsidRPr="00563472">
        <w:fldChar w:fldCharType="begin"/>
      </w:r>
      <w:r w:rsidRPr="00563472">
        <w:instrText xml:space="preserve"> SEQ Item \* ARABIC \s </w:instrText>
      </w:r>
      <w:r w:rsidRPr="00563472">
        <w:fldChar w:fldCharType="begin"/>
      </w:r>
      <w:r w:rsidRPr="00563472">
        <w:instrText xml:space="preserve"> IF </w:instrText>
      </w:r>
      <w:r w:rsidRPr="00563472">
        <w:rPr>
          <w:noProof/>
        </w:rPr>
        <w:fldChar w:fldCharType="begin"/>
      </w:r>
      <w:r w:rsidRPr="00563472">
        <w:rPr>
          <w:noProof/>
        </w:rPr>
        <w:instrText xml:space="preserve"> STYLEREF "Heading 6" \l \n </w:instrText>
      </w:r>
      <w:r w:rsidRPr="00563472">
        <w:rPr>
          <w:noProof/>
        </w:rPr>
        <w:fldChar w:fldCharType="separate"/>
      </w:r>
      <w:r w:rsidR="00B833F1">
        <w:rPr>
          <w:noProof/>
        </w:rPr>
        <w:instrText>0</w:instrText>
      </w:r>
      <w:r w:rsidRPr="00563472">
        <w:rPr>
          <w:noProof/>
        </w:rPr>
        <w:fldChar w:fldCharType="end"/>
      </w:r>
      <w:r w:rsidRPr="00563472">
        <w:instrText xml:space="preserve"> = 0 "</w:instrText>
      </w:r>
      <w:r w:rsidRPr="00563472">
        <w:fldChar w:fldCharType="begin"/>
      </w:r>
      <w:r w:rsidRPr="00563472">
        <w:instrText xml:space="preserve"> IF </w:instrText>
      </w:r>
      <w:r w:rsidRPr="00563472">
        <w:rPr>
          <w:noProof/>
        </w:rPr>
        <w:fldChar w:fldCharType="begin"/>
      </w:r>
      <w:r w:rsidRPr="00563472">
        <w:rPr>
          <w:noProof/>
        </w:rPr>
        <w:instrText xml:space="preserve"> STYLEREF "Heading 1" \l \n </w:instrText>
      </w:r>
      <w:r w:rsidRPr="00563472">
        <w:rPr>
          <w:noProof/>
        </w:rPr>
        <w:fldChar w:fldCharType="separate"/>
      </w:r>
      <w:r w:rsidR="00B833F1">
        <w:rPr>
          <w:noProof/>
        </w:rPr>
        <w:instrText>8</w:instrText>
      </w:r>
      <w:r w:rsidRPr="00563472">
        <w:rPr>
          <w:noProof/>
        </w:rPr>
        <w:fldChar w:fldCharType="end"/>
      </w:r>
      <w:r w:rsidRPr="00563472">
        <w:instrText xml:space="preserve"> = 0 "" "1" </w:instrText>
      </w:r>
      <w:r w:rsidRPr="00563472">
        <w:fldChar w:fldCharType="separate"/>
      </w:r>
      <w:r w:rsidR="00EA42ED" w:rsidRPr="00563472">
        <w:rPr>
          <w:noProof/>
        </w:rPr>
        <w:instrText>1</w:instrText>
      </w:r>
      <w:r w:rsidRPr="00563472">
        <w:fldChar w:fldCharType="end"/>
      </w:r>
      <w:r w:rsidRPr="00563472">
        <w:instrText xml:space="preserve">" "6" </w:instrText>
      </w:r>
      <w:r w:rsidRPr="00563472">
        <w:fldChar w:fldCharType="separate"/>
      </w:r>
      <w:r w:rsidR="00EA42ED" w:rsidRPr="00563472">
        <w:rPr>
          <w:noProof/>
        </w:rPr>
        <w:instrText>1</w:instrText>
      </w:r>
      <w:r w:rsidRPr="00563472">
        <w:fldChar w:fldCharType="end"/>
      </w:r>
      <w:r w:rsidRPr="00563472">
        <w:instrText xml:space="preserve"> </w:instrText>
      </w:r>
      <w:r w:rsidRPr="00563472">
        <w:fldChar w:fldCharType="separate"/>
      </w:r>
      <w:r w:rsidR="00B833F1">
        <w:rPr>
          <w:noProof/>
        </w:rPr>
        <w:instrText>5</w:instrText>
      </w:r>
      <w:r w:rsidRPr="00563472">
        <w:fldChar w:fldCharType="end"/>
      </w:r>
      <w:r w:rsidRPr="00563472">
        <w:instrText xml:space="preserve">" "" </w:instrText>
      </w:r>
      <w:r w:rsidRPr="00563472">
        <w:fldChar w:fldCharType="separate"/>
      </w:r>
      <w:bookmarkStart w:id="3460" w:name="_Caption8434"/>
      <w:bookmarkStart w:id="3461" w:name="_Caption1072"/>
      <w:bookmarkStart w:id="3462" w:name="_Caption1575"/>
      <w:bookmarkStart w:id="3463" w:name="_Caption6778"/>
      <w:bookmarkStart w:id="3464" w:name="_Caption1164"/>
      <w:bookmarkStart w:id="3465" w:name="_Caption7647"/>
      <w:bookmarkStart w:id="3466" w:name="_Caption4461"/>
      <w:bookmarkStart w:id="3467" w:name="_Caption2487"/>
      <w:bookmarkStart w:id="3468" w:name="_Caption6802"/>
      <w:bookmarkStart w:id="3469" w:name="_Caption5986"/>
      <w:bookmarkStart w:id="3470" w:name="_Caption2835"/>
      <w:bookmarkStart w:id="3471" w:name="_Caption5969"/>
      <w:bookmarkStart w:id="3472" w:name="_Caption0494"/>
      <w:bookmarkStart w:id="3473" w:name="_Caption7986"/>
      <w:bookmarkStart w:id="3474" w:name="_Caption2161"/>
      <w:bookmarkStart w:id="3475" w:name="_Caption3884"/>
      <w:bookmarkStart w:id="3476" w:name="_Caption3358"/>
      <w:bookmarkStart w:id="3477" w:name="_Caption5302"/>
      <w:bookmarkStart w:id="3478" w:name="_Caption0757"/>
      <w:bookmarkStart w:id="3479" w:name="_Caption4328"/>
      <w:bookmarkStart w:id="3480" w:name="_Caption7485"/>
      <w:bookmarkStart w:id="3481" w:name="_Caption3726"/>
      <w:bookmarkStart w:id="3482" w:name="_Caption4350"/>
      <w:bookmarkStart w:id="3483" w:name="_Caption1022"/>
      <w:bookmarkStart w:id="3484" w:name="_Caption7510"/>
      <w:bookmarkStart w:id="3485" w:name="_Caption3003"/>
      <w:bookmarkStart w:id="3486" w:name="_Caption2310"/>
      <w:bookmarkStart w:id="3487" w:name="_Caption4947"/>
      <w:bookmarkStart w:id="3488" w:name="_Caption6880"/>
      <w:bookmarkStart w:id="3489" w:name="_Caption3254"/>
      <w:bookmarkStart w:id="3490" w:name="_Caption2959"/>
      <w:bookmarkStart w:id="3491" w:name="_Caption5192"/>
      <w:bookmarkStart w:id="3492" w:name="_Caption2709"/>
      <w:bookmarkStart w:id="3493" w:name="_Caption4352"/>
      <w:bookmarkStart w:id="3494" w:name="_Caption1843"/>
      <w:bookmarkStart w:id="3495" w:name="_Caption0357"/>
      <w:bookmarkStart w:id="3496" w:name="_Caption7397"/>
      <w:bookmarkStart w:id="3497" w:name="_Caption0588"/>
      <w:bookmarkStart w:id="3498" w:name="_Caption0989"/>
      <w:bookmarkStart w:id="3499" w:name="_Caption6758"/>
      <w:bookmarkStart w:id="3500" w:name="_Caption0677"/>
      <w:bookmarkStart w:id="3501" w:name="_Caption2011"/>
      <w:bookmarkStart w:id="3502" w:name="_Caption5489"/>
      <w:bookmarkStart w:id="3503" w:name="_Caption0970"/>
      <w:bookmarkStart w:id="3504" w:name="_Caption4679"/>
      <w:bookmarkStart w:id="3505" w:name="_Caption7623"/>
      <w:bookmarkStart w:id="3506" w:name="_Caption5593"/>
      <w:bookmarkStart w:id="3507" w:name="_Caption0539"/>
      <w:bookmarkStart w:id="3508" w:name="_Caption3842"/>
      <w:bookmarkStart w:id="3509" w:name="_Caption6533"/>
      <w:bookmarkStart w:id="3510" w:name="_Caption7050"/>
      <w:bookmarkStart w:id="3511" w:name="_Caption8981"/>
      <w:bookmarkStart w:id="3512" w:name="_Caption6105"/>
      <w:bookmarkStart w:id="3513" w:name="_Caption7376"/>
      <w:bookmarkStart w:id="3514" w:name="_Caption8353"/>
      <w:bookmarkStart w:id="3515" w:name="_Caption6772"/>
      <w:bookmarkStart w:id="3516" w:name="_Caption9244"/>
      <w:bookmarkStart w:id="3517" w:name="_Caption8395"/>
      <w:bookmarkStart w:id="3518" w:name="_Caption4991"/>
      <w:bookmarkStart w:id="3519" w:name="_Caption1345"/>
      <w:bookmarkStart w:id="3520" w:name="_Caption7506"/>
      <w:bookmarkStart w:id="3521" w:name="_Caption3166"/>
      <w:bookmarkStart w:id="3522" w:name="_Caption7300"/>
      <w:bookmarkStart w:id="3523" w:name="_Caption0699"/>
      <w:bookmarkStart w:id="3524" w:name="_Caption5370"/>
      <w:bookmarkStart w:id="3525" w:name="_Caption5388"/>
      <w:bookmarkStart w:id="3526" w:name="_Caption2443"/>
      <w:bookmarkStart w:id="3527" w:name="_Toc529869944"/>
      <w:bookmarkStart w:id="3528" w:name="_Toc530748440"/>
      <w:r w:rsidR="00EA42ED">
        <w:rPr>
          <w:noProof/>
        </w:rPr>
        <w:t>8</w:t>
      </w:r>
      <w:r w:rsidR="00EA42ED" w:rsidRPr="00563472">
        <w:rPr>
          <w:noProof/>
        </w:rPr>
        <w:t>.</w:t>
      </w:r>
      <w:r w:rsidR="00EA42ED">
        <w:rPr>
          <w:noProof/>
        </w:rPr>
        <w:t>5</w:t>
      </w:r>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r w:rsidRPr="00563472">
        <w:fldChar w:fldCharType="end"/>
      </w:r>
      <w:r w:rsidRPr="00563472">
        <w:tab/>
        <w:t>Building</w:t>
      </w:r>
      <w:r w:rsidRPr="00563472">
        <w:noBreakHyphen/>
        <w:t>level net impacts — Western Australia</w:t>
      </w:r>
      <w:bookmarkEnd w:id="3527"/>
      <w:bookmarkEnd w:id="3528"/>
    </w:p>
    <w:tbl>
      <w:tblPr>
        <w:tblW w:w="7937" w:type="dxa"/>
        <w:tblLayout w:type="fixed"/>
        <w:tblLook w:val="0000" w:firstRow="0" w:lastRow="0" w:firstColumn="0" w:lastColumn="0" w:noHBand="0" w:noVBand="0"/>
        <w:tblCaption w:val="Table 8.5: Building-level net impacts - Western Australia"/>
        <w:tblDescription w:val="This table outlines the building level net impacts of the proposed changes to NCC 2019 by building classiciation and climate zone for Western Australia. "/>
      </w:tblPr>
      <w:tblGrid>
        <w:gridCol w:w="2456"/>
        <w:gridCol w:w="783"/>
        <w:gridCol w:w="783"/>
        <w:gridCol w:w="783"/>
        <w:gridCol w:w="783"/>
        <w:gridCol w:w="783"/>
        <w:gridCol w:w="783"/>
        <w:gridCol w:w="783"/>
      </w:tblGrid>
      <w:tr w:rsidR="00612FD3" w:rsidRPr="00C661AF" w:rsidTr="00C661AF">
        <w:trPr>
          <w:trHeight w:val="230"/>
          <w:tblHeader/>
        </w:trPr>
        <w:tc>
          <w:tcPr>
            <w:tcW w:w="2456" w:type="dxa"/>
            <w:shd w:val="clear" w:color="auto" w:fill="6F6652"/>
            <w:tcMar>
              <w:left w:w="57" w:type="dxa"/>
              <w:right w:w="57" w:type="dxa"/>
            </w:tcMar>
          </w:tcPr>
          <w:p w:rsidR="00612FD3" w:rsidRPr="00C661AF" w:rsidRDefault="00612FD3" w:rsidP="00301B6D">
            <w:pPr>
              <w:pStyle w:val="TableDataColumnHeading"/>
              <w:jc w:val="left"/>
              <w:rPr>
                <w:lang w:val="en-GB"/>
              </w:rPr>
            </w:pPr>
          </w:p>
        </w:tc>
        <w:tc>
          <w:tcPr>
            <w:tcW w:w="783" w:type="dxa"/>
            <w:shd w:val="clear" w:color="auto" w:fill="6F6652"/>
            <w:tcMar>
              <w:left w:w="57" w:type="dxa"/>
              <w:right w:w="57" w:type="dxa"/>
            </w:tcMar>
          </w:tcPr>
          <w:p w:rsidR="00612FD3" w:rsidRPr="00C661AF" w:rsidRDefault="00612FD3" w:rsidP="00301B6D">
            <w:pPr>
              <w:pStyle w:val="TableDataColumnHeading"/>
              <w:rPr>
                <w:bCs/>
                <w:lang w:val="en-GB"/>
              </w:rPr>
            </w:pPr>
            <w:r w:rsidRPr="00C661AF">
              <w:rPr>
                <w:bCs/>
                <w:lang w:val="en-GB"/>
              </w:rPr>
              <w:t>CZ1</w:t>
            </w:r>
          </w:p>
        </w:tc>
        <w:tc>
          <w:tcPr>
            <w:tcW w:w="783" w:type="dxa"/>
            <w:shd w:val="clear" w:color="auto" w:fill="6F6652"/>
            <w:tcMar>
              <w:left w:w="57" w:type="dxa"/>
              <w:right w:w="57" w:type="dxa"/>
            </w:tcMar>
          </w:tcPr>
          <w:p w:rsidR="00612FD3" w:rsidRPr="00C661AF" w:rsidRDefault="00612FD3" w:rsidP="00301B6D">
            <w:pPr>
              <w:pStyle w:val="TableDataColumnHeading"/>
              <w:rPr>
                <w:bCs/>
                <w:lang w:val="en-GB"/>
              </w:rPr>
            </w:pPr>
            <w:r w:rsidRPr="00C661AF">
              <w:rPr>
                <w:bCs/>
                <w:lang w:val="en-GB"/>
              </w:rPr>
              <w:t>CZ2</w:t>
            </w:r>
          </w:p>
        </w:tc>
        <w:tc>
          <w:tcPr>
            <w:tcW w:w="783" w:type="dxa"/>
            <w:shd w:val="clear" w:color="auto" w:fill="6F6652"/>
            <w:tcMar>
              <w:left w:w="57" w:type="dxa"/>
              <w:right w:w="57" w:type="dxa"/>
            </w:tcMar>
          </w:tcPr>
          <w:p w:rsidR="00612FD3" w:rsidRPr="00C661AF" w:rsidRDefault="00612FD3" w:rsidP="00301B6D">
            <w:pPr>
              <w:pStyle w:val="TableDataColumnHeading"/>
              <w:rPr>
                <w:bCs/>
                <w:lang w:val="en-GB"/>
              </w:rPr>
            </w:pPr>
            <w:r w:rsidRPr="00C661AF">
              <w:rPr>
                <w:bCs/>
                <w:lang w:val="en-GB"/>
              </w:rPr>
              <w:t>CZ3</w:t>
            </w:r>
          </w:p>
        </w:tc>
        <w:tc>
          <w:tcPr>
            <w:tcW w:w="783" w:type="dxa"/>
            <w:shd w:val="clear" w:color="auto" w:fill="6F6652"/>
            <w:tcMar>
              <w:left w:w="57" w:type="dxa"/>
              <w:right w:w="57" w:type="dxa"/>
            </w:tcMar>
          </w:tcPr>
          <w:p w:rsidR="00612FD3" w:rsidRPr="00C661AF" w:rsidRDefault="00612FD3" w:rsidP="00301B6D">
            <w:pPr>
              <w:pStyle w:val="TableDataColumnHeading"/>
              <w:rPr>
                <w:bCs/>
                <w:lang w:val="en-GB"/>
              </w:rPr>
            </w:pPr>
            <w:r w:rsidRPr="00C661AF">
              <w:rPr>
                <w:bCs/>
                <w:lang w:val="en-GB"/>
              </w:rPr>
              <w:t>CZ4</w:t>
            </w:r>
          </w:p>
        </w:tc>
        <w:tc>
          <w:tcPr>
            <w:tcW w:w="783" w:type="dxa"/>
            <w:shd w:val="clear" w:color="auto" w:fill="6F6652"/>
            <w:tcMar>
              <w:left w:w="57" w:type="dxa"/>
              <w:right w:w="57" w:type="dxa"/>
            </w:tcMar>
          </w:tcPr>
          <w:p w:rsidR="00612FD3" w:rsidRPr="00C661AF" w:rsidRDefault="00612FD3" w:rsidP="00301B6D">
            <w:pPr>
              <w:pStyle w:val="TableDataColumnHeading"/>
              <w:rPr>
                <w:bCs/>
                <w:lang w:val="en-GB"/>
              </w:rPr>
            </w:pPr>
            <w:r w:rsidRPr="00C661AF">
              <w:rPr>
                <w:bCs/>
                <w:lang w:val="en-GB"/>
              </w:rPr>
              <w:t>CZ5</w:t>
            </w:r>
          </w:p>
        </w:tc>
        <w:tc>
          <w:tcPr>
            <w:tcW w:w="783" w:type="dxa"/>
            <w:shd w:val="clear" w:color="auto" w:fill="6F6652"/>
            <w:tcMar>
              <w:left w:w="57" w:type="dxa"/>
              <w:right w:w="57" w:type="dxa"/>
            </w:tcMar>
          </w:tcPr>
          <w:p w:rsidR="00612FD3" w:rsidRPr="00C661AF" w:rsidRDefault="00612FD3" w:rsidP="00301B6D">
            <w:pPr>
              <w:pStyle w:val="TableDataColumnHeading"/>
              <w:rPr>
                <w:bCs/>
                <w:lang w:val="en-GB"/>
              </w:rPr>
            </w:pPr>
            <w:r w:rsidRPr="00C661AF">
              <w:rPr>
                <w:bCs/>
                <w:lang w:val="en-GB"/>
              </w:rPr>
              <w:t>CZ6</w:t>
            </w:r>
          </w:p>
        </w:tc>
        <w:tc>
          <w:tcPr>
            <w:tcW w:w="783" w:type="dxa"/>
            <w:shd w:val="clear" w:color="auto" w:fill="6F6652"/>
            <w:tcMar>
              <w:left w:w="57" w:type="dxa"/>
              <w:right w:w="57" w:type="dxa"/>
            </w:tcMar>
          </w:tcPr>
          <w:p w:rsidR="00612FD3" w:rsidRPr="00C661AF" w:rsidRDefault="00612FD3" w:rsidP="00301B6D">
            <w:pPr>
              <w:pStyle w:val="TableDataColumnHeading"/>
              <w:rPr>
                <w:bCs/>
                <w:lang w:val="en-GB"/>
              </w:rPr>
            </w:pPr>
            <w:r w:rsidRPr="00C661AF">
              <w:rPr>
                <w:bCs/>
                <w:lang w:val="en-GB"/>
              </w:rPr>
              <w:t>CZ7</w:t>
            </w:r>
          </w:p>
        </w:tc>
      </w:tr>
      <w:tr w:rsidR="00612FD3" w:rsidTr="00C661AF">
        <w:trPr>
          <w:trHeight w:val="230"/>
          <w:tblHeader/>
        </w:trPr>
        <w:tc>
          <w:tcPr>
            <w:tcW w:w="2456"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jc w:val="left"/>
              <w:rPr>
                <w:lang w:val="en-GB"/>
              </w:rPr>
            </w:pP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D742B2">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D742B2">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D742B2">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D742B2">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D742B2">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D742B2">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D742B2">
              <w:rPr>
                <w:vertAlign w:val="superscript"/>
                <w:lang w:val="en-GB"/>
              </w:rPr>
              <w:t>2</w:t>
            </w:r>
          </w:p>
        </w:tc>
      </w:tr>
      <w:tr w:rsidR="00612FD3" w:rsidTr="00C661AF">
        <w:trPr>
          <w:trHeight w:val="230"/>
        </w:trPr>
        <w:tc>
          <w:tcPr>
            <w:tcW w:w="245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r>
              <w:rPr>
                <w:lang w:val="en-GB"/>
              </w:rPr>
              <w:t>Low scenario</w:t>
            </w: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r>
      <w:tr w:rsidR="00F03986" w:rsidTr="00C661AF">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F03986" w:rsidRDefault="00F03986" w:rsidP="00F03986">
            <w:pPr>
              <w:pStyle w:val="TableDataEntries"/>
              <w:jc w:val="left"/>
              <w:rPr>
                <w:lang w:val="en-GB"/>
              </w:rPr>
            </w:pPr>
            <w:r>
              <w:rPr>
                <w:lang w:val="en-GB"/>
              </w:rPr>
              <w:t>Hotel</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xml:space="preserve"> 30.57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xml:space="preserve"> 34.07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xml:space="preserve"> 36.65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xml:space="preserve"> 30.53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xml:space="preserve"> 37.70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r>
      <w:tr w:rsidR="00F03986" w:rsidTr="00C661AF">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F03986" w:rsidRDefault="00F03986" w:rsidP="00F03986">
            <w:pPr>
              <w:pStyle w:val="TableDataEntries"/>
              <w:jc w:val="left"/>
              <w:rPr>
                <w:lang w:val="en-GB"/>
              </w:rPr>
            </w:pPr>
            <w:r>
              <w:rPr>
                <w:lang w:val="en-GB"/>
              </w:rPr>
              <w:t>Office building</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xml:space="preserve"> 1.01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r>
      <w:tr w:rsidR="00F03986" w:rsidTr="00C661AF">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F03986" w:rsidRDefault="00F03986" w:rsidP="00F03986">
            <w:pPr>
              <w:pStyle w:val="TableDataEntries"/>
              <w:jc w:val="left"/>
              <w:rPr>
                <w:lang w:val="en-GB"/>
              </w:rPr>
            </w:pPr>
            <w:r>
              <w:rPr>
                <w:lang w:val="en-GB"/>
              </w:rPr>
              <w:t>Retail</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xml:space="preserve"> 48.08</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xml:space="preserve"> 35.64</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xml:space="preserve"> 20.43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xml:space="preserve"> 42.31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xml:space="preserve"> 26.48</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r>
      <w:tr w:rsidR="00F03986" w:rsidTr="00C661AF">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F03986" w:rsidRDefault="00F03986" w:rsidP="00F03986">
            <w:pPr>
              <w:pStyle w:val="TableDataEntries"/>
              <w:jc w:val="left"/>
              <w:rPr>
                <w:lang w:val="en-GB"/>
              </w:rPr>
            </w:pPr>
            <w:r>
              <w:rPr>
                <w:lang w:val="en-GB"/>
              </w:rPr>
              <w:t>Healthcare</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xml:space="preserve"> 24.59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xml:space="preserve"> 13.35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- 1.34</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- 0.81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- 21.46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r>
      <w:tr w:rsidR="00F03986" w:rsidTr="00C661AF">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F03986" w:rsidRDefault="00F03986" w:rsidP="00F03986">
            <w:pPr>
              <w:pStyle w:val="TableDataEntries"/>
              <w:jc w:val="left"/>
              <w:rPr>
                <w:lang w:val="en-GB"/>
              </w:rPr>
            </w:pPr>
            <w:r>
              <w:rPr>
                <w:lang w:val="en-GB"/>
              </w:rPr>
              <w:t>School</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xml:space="preserve"> 82.65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xml:space="preserve"> 44.84</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xml:space="preserve"> 21.04</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xml:space="preserve"> 9.60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xml:space="preserve"> 25.44</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r>
      <w:tr w:rsidR="00612FD3" w:rsidTr="00C661AF">
        <w:trPr>
          <w:trHeight w:val="230"/>
        </w:trPr>
        <w:tc>
          <w:tcPr>
            <w:tcW w:w="245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r>
              <w:rPr>
                <w:lang w:val="en-GB"/>
              </w:rPr>
              <w:t>Medium scenario</w:t>
            </w: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Pr="00563472" w:rsidRDefault="00612FD3" w:rsidP="00563472">
            <w:pPr>
              <w:pStyle w:val="TableDataEntries"/>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Pr="00563472" w:rsidRDefault="00612FD3" w:rsidP="00563472">
            <w:pPr>
              <w:pStyle w:val="TableDataEntries"/>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Pr="00563472" w:rsidRDefault="00612FD3" w:rsidP="00563472">
            <w:pPr>
              <w:pStyle w:val="TableDataEntries"/>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Pr="00563472" w:rsidRDefault="00612FD3" w:rsidP="00563472">
            <w:pPr>
              <w:pStyle w:val="TableDataEntries"/>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Pr="00563472" w:rsidRDefault="00612FD3" w:rsidP="00563472">
            <w:pPr>
              <w:pStyle w:val="TableDataEntries"/>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Pr="00563472" w:rsidRDefault="00612FD3" w:rsidP="00563472">
            <w:pPr>
              <w:pStyle w:val="TableDataEntries"/>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Pr="00563472" w:rsidRDefault="00612FD3" w:rsidP="00563472">
            <w:pPr>
              <w:pStyle w:val="TableDataEntries"/>
            </w:pPr>
          </w:p>
        </w:tc>
      </w:tr>
      <w:tr w:rsidR="00563472" w:rsidTr="00C661AF">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563472" w:rsidRDefault="00563472" w:rsidP="00563472">
            <w:pPr>
              <w:pStyle w:val="TableDataEntries"/>
              <w:jc w:val="left"/>
              <w:rPr>
                <w:lang w:val="en-GB"/>
              </w:rPr>
            </w:pPr>
            <w:r>
              <w:rPr>
                <w:lang w:val="en-GB"/>
              </w:rPr>
              <w:t>Hotel</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40.73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50.62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54.42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48.28</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56.16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r>
      <w:tr w:rsidR="00563472" w:rsidTr="00C661AF">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563472" w:rsidRDefault="00563472" w:rsidP="00563472">
            <w:pPr>
              <w:pStyle w:val="TableDataEntries"/>
              <w:jc w:val="left"/>
              <w:rPr>
                <w:lang w:val="en-GB"/>
              </w:rPr>
            </w:pPr>
            <w:r>
              <w:rPr>
                <w:lang w:val="en-GB"/>
              </w:rPr>
              <w:t>Office building</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7.04</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r>
      <w:tr w:rsidR="00563472" w:rsidTr="00C661AF">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563472" w:rsidRDefault="00563472" w:rsidP="00563472">
            <w:pPr>
              <w:pStyle w:val="TableDataEntries"/>
              <w:jc w:val="left"/>
              <w:rPr>
                <w:lang w:val="en-GB"/>
              </w:rPr>
            </w:pPr>
            <w:r>
              <w:rPr>
                <w:lang w:val="en-GB"/>
              </w:rPr>
              <w:t>Retail</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72.34</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60.55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39.94</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67.07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44.90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r>
      <w:tr w:rsidR="00563472" w:rsidTr="00C661AF">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563472" w:rsidRDefault="00563472" w:rsidP="00563472">
            <w:pPr>
              <w:pStyle w:val="TableDataEntries"/>
              <w:jc w:val="left"/>
              <w:rPr>
                <w:lang w:val="en-GB"/>
              </w:rPr>
            </w:pPr>
            <w:r>
              <w:rPr>
                <w:lang w:val="en-GB"/>
              </w:rPr>
              <w:t>Healthcare</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44.19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28.01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6.73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6.91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- 18.94</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r>
      <w:tr w:rsidR="00563472" w:rsidTr="00C661AF">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563472" w:rsidRDefault="00563472" w:rsidP="00563472">
            <w:pPr>
              <w:pStyle w:val="TableDataEntries"/>
              <w:jc w:val="left"/>
              <w:rPr>
                <w:lang w:val="en-GB"/>
              </w:rPr>
            </w:pPr>
            <w:r>
              <w:rPr>
                <w:lang w:val="en-GB"/>
              </w:rPr>
              <w:t>School</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126.79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73.34</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40.38</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23.46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42.01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r>
      <w:tr w:rsidR="00612FD3" w:rsidTr="00C661AF">
        <w:trPr>
          <w:trHeight w:val="230"/>
        </w:trPr>
        <w:tc>
          <w:tcPr>
            <w:tcW w:w="245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r>
              <w:rPr>
                <w:lang w:val="en-GB"/>
              </w:rPr>
              <w:t>High scenario</w:t>
            </w: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Pr="00563472" w:rsidRDefault="00612FD3" w:rsidP="00563472">
            <w:pPr>
              <w:pStyle w:val="TableDataEntries"/>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Pr="00563472" w:rsidRDefault="00612FD3" w:rsidP="00563472">
            <w:pPr>
              <w:pStyle w:val="TableDataEntries"/>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Pr="00563472" w:rsidRDefault="00612FD3" w:rsidP="00563472">
            <w:pPr>
              <w:pStyle w:val="TableDataEntries"/>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Pr="00563472" w:rsidRDefault="00612FD3" w:rsidP="00563472">
            <w:pPr>
              <w:pStyle w:val="TableDataEntries"/>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Pr="00563472" w:rsidRDefault="00612FD3" w:rsidP="00563472">
            <w:pPr>
              <w:pStyle w:val="TableDataEntries"/>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Pr="00563472" w:rsidRDefault="00612FD3" w:rsidP="00563472">
            <w:pPr>
              <w:pStyle w:val="TableDataEntries"/>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Pr="00563472" w:rsidRDefault="00612FD3" w:rsidP="00563472">
            <w:pPr>
              <w:pStyle w:val="TableDataEntries"/>
            </w:pPr>
          </w:p>
        </w:tc>
      </w:tr>
      <w:tr w:rsidR="00563472" w:rsidTr="00C661AF">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563472" w:rsidRDefault="00563472" w:rsidP="00563472">
            <w:pPr>
              <w:pStyle w:val="TableDataEntries"/>
              <w:jc w:val="left"/>
              <w:rPr>
                <w:lang w:val="en-GB"/>
              </w:rPr>
            </w:pPr>
            <w:r>
              <w:rPr>
                <w:lang w:val="en-GB"/>
              </w:rPr>
              <w:t>Hotel</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50.89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67.18</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72.19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66.03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74.63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r>
      <w:tr w:rsidR="00563472" w:rsidTr="00C661AF">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563472" w:rsidRDefault="00563472" w:rsidP="00563472">
            <w:pPr>
              <w:pStyle w:val="TableDataEntries"/>
              <w:jc w:val="left"/>
              <w:rPr>
                <w:lang w:val="en-GB"/>
              </w:rPr>
            </w:pPr>
            <w:r>
              <w:rPr>
                <w:lang w:val="en-GB"/>
              </w:rPr>
              <w:t>Office building</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13.07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r>
      <w:tr w:rsidR="00563472" w:rsidTr="00C661AF">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563472" w:rsidRDefault="00563472" w:rsidP="00563472">
            <w:pPr>
              <w:pStyle w:val="TableDataEntries"/>
              <w:jc w:val="left"/>
              <w:rPr>
                <w:lang w:val="en-GB"/>
              </w:rPr>
            </w:pPr>
            <w:r>
              <w:rPr>
                <w:lang w:val="en-GB"/>
              </w:rPr>
              <w:t>Retail</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96.61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85.45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59.45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91.83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63.32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r>
      <w:tr w:rsidR="00563472" w:rsidTr="00C661AF">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563472" w:rsidRDefault="00563472" w:rsidP="00563472">
            <w:pPr>
              <w:pStyle w:val="TableDataEntries"/>
              <w:jc w:val="left"/>
              <w:rPr>
                <w:lang w:val="en-GB"/>
              </w:rPr>
            </w:pPr>
            <w:r>
              <w:rPr>
                <w:lang w:val="en-GB"/>
              </w:rPr>
              <w:t>Healthcare</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63.79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42.67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14.80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14.62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- 16.42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r>
      <w:tr w:rsidR="00563472" w:rsidTr="00C661AF">
        <w:trPr>
          <w:trHeight w:val="230"/>
        </w:trPr>
        <w:tc>
          <w:tcPr>
            <w:tcW w:w="2456" w:type="dxa"/>
            <w:tcBorders>
              <w:top w:val="single" w:sz="8" w:space="0" w:color="FFFFFF" w:themeColor="background1"/>
              <w:bottom w:val="single" w:sz="6" w:space="0" w:color="6F6652"/>
            </w:tcBorders>
            <w:shd w:val="clear" w:color="auto" w:fill="E9E8E5" w:themeFill="background2"/>
            <w:tcMar>
              <w:left w:w="57" w:type="dxa"/>
              <w:right w:w="57" w:type="dxa"/>
            </w:tcMar>
          </w:tcPr>
          <w:p w:rsidR="00563472" w:rsidRDefault="00563472" w:rsidP="00563472">
            <w:pPr>
              <w:pStyle w:val="TableDataEntries"/>
              <w:jc w:val="left"/>
              <w:rPr>
                <w:lang w:val="en-GB"/>
              </w:rPr>
            </w:pPr>
            <w:r>
              <w:rPr>
                <w:lang w:val="en-GB"/>
              </w:rPr>
              <w:t>School</w:t>
            </w:r>
          </w:p>
        </w:tc>
        <w:tc>
          <w:tcPr>
            <w:tcW w:w="783"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170.92</w:t>
            </w:r>
          </w:p>
        </w:tc>
        <w:tc>
          <w:tcPr>
            <w:tcW w:w="783"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101.84</w:t>
            </w:r>
          </w:p>
        </w:tc>
        <w:tc>
          <w:tcPr>
            <w:tcW w:w="783"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59.73</w:t>
            </w:r>
          </w:p>
        </w:tc>
        <w:tc>
          <w:tcPr>
            <w:tcW w:w="783"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37.31</w:t>
            </w:r>
          </w:p>
        </w:tc>
        <w:tc>
          <w:tcPr>
            <w:tcW w:w="783"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58.58</w:t>
            </w:r>
          </w:p>
        </w:tc>
        <w:tc>
          <w:tcPr>
            <w:tcW w:w="783"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r>
    </w:tbl>
    <w:p w:rsidR="00CA6CF4" w:rsidRDefault="00CA6CF4" w:rsidP="00CA6CF4">
      <w:pPr>
        <w:pStyle w:val="Note"/>
        <w:rPr>
          <w:lang w:bidi="fa-IR"/>
        </w:rPr>
      </w:pPr>
      <w:r w:rsidRPr="007B3E1B">
        <w:rPr>
          <w:i/>
          <w:lang w:bidi="fa-IR"/>
        </w:rPr>
        <w:t>Note:</w:t>
      </w:r>
      <w:r>
        <w:rPr>
          <w:lang w:bidi="fa-IR"/>
        </w:rPr>
        <w:t xml:space="preserve"> Net impacts include the private benefits and costs to building owners/tenants and the global benefits from reduced GHG emissions.</w:t>
      </w:r>
    </w:p>
    <w:p w:rsidR="00612FD3" w:rsidRDefault="00612FD3" w:rsidP="00612FD3">
      <w:pPr>
        <w:pStyle w:val="Source"/>
        <w:rPr>
          <w:lang w:bidi="fa-IR"/>
        </w:rPr>
      </w:pPr>
      <w:r w:rsidRPr="00D742B2">
        <w:rPr>
          <w:i/>
          <w:lang w:bidi="fa-IR"/>
        </w:rPr>
        <w:t>Source:</w:t>
      </w:r>
      <w:r>
        <w:rPr>
          <w:lang w:bidi="fa-IR"/>
        </w:rPr>
        <w:t xml:space="preserve"> CIE based on </w:t>
      </w:r>
      <w:r w:rsidR="003F28DD">
        <w:rPr>
          <w:lang w:bidi="fa-IR"/>
        </w:rPr>
        <w:t>EA</w:t>
      </w:r>
      <w:r>
        <w:rPr>
          <w:lang w:bidi="fa-IR"/>
        </w:rPr>
        <w:t xml:space="preserve"> modelling.</w:t>
      </w:r>
    </w:p>
    <w:p w:rsidR="00612FD3" w:rsidRDefault="00612FD3" w:rsidP="00914293">
      <w:pPr>
        <w:pStyle w:val="Heading4"/>
        <w:rPr>
          <w:lang w:val="en-GB"/>
        </w:rPr>
      </w:pPr>
      <w:r>
        <w:rPr>
          <w:lang w:val="en-GB"/>
        </w:rPr>
        <w:t>Tasmania</w:t>
      </w:r>
    </w:p>
    <w:p w:rsidR="00612FD3" w:rsidRDefault="00612FD3" w:rsidP="00612FD3">
      <w:pPr>
        <w:pStyle w:val="BodyText"/>
        <w:rPr>
          <w:lang w:val="en-GB"/>
        </w:rPr>
      </w:pPr>
      <w:r>
        <w:rPr>
          <w:lang w:val="en-GB"/>
        </w:rPr>
        <w:t xml:space="preserve">Most of Tasmania is in </w:t>
      </w:r>
      <w:r w:rsidR="00E31EE8">
        <w:rPr>
          <w:lang w:val="en-GB"/>
        </w:rPr>
        <w:t>Climate Zone</w:t>
      </w:r>
      <w:r>
        <w:rPr>
          <w:lang w:val="en-GB"/>
        </w:rPr>
        <w:t xml:space="preserve"> 7 (except a small proportion in </w:t>
      </w:r>
      <w:r w:rsidR="00E31EE8">
        <w:rPr>
          <w:lang w:val="en-GB"/>
        </w:rPr>
        <w:t>Climate Zone</w:t>
      </w:r>
      <w:r>
        <w:rPr>
          <w:lang w:val="en-GB"/>
        </w:rPr>
        <w:t xml:space="preserve"> 8 which has not been modelled). As in other states, the proposed changes to the NCC are estimated to result in a net cost for retail and healthcare buildings in </w:t>
      </w:r>
      <w:r w:rsidR="00E31EE8">
        <w:rPr>
          <w:lang w:val="en-GB"/>
        </w:rPr>
        <w:t>Climate Zone</w:t>
      </w:r>
      <w:r>
        <w:rPr>
          <w:lang w:val="en-GB"/>
        </w:rPr>
        <w:t xml:space="preserve"> 7. There are estimated to be net benefits for the remaining building types.</w:t>
      </w:r>
    </w:p>
    <w:p w:rsidR="00612FD3" w:rsidRDefault="00612FD3" w:rsidP="00612FD3">
      <w:pPr>
        <w:pStyle w:val="Caption"/>
      </w:pPr>
      <w:r w:rsidRPr="00563472">
        <w:fldChar w:fldCharType="begin"/>
      </w:r>
      <w:r w:rsidRPr="00563472">
        <w:instrText xml:space="preserve"> IF 1 = 1 "</w:instrText>
      </w:r>
      <w:r w:rsidRPr="00563472">
        <w:fldChar w:fldCharType="begin"/>
      </w:r>
      <w:r w:rsidRPr="00563472">
        <w:instrText xml:space="preserve"> IF </w:instrText>
      </w:r>
      <w:r w:rsidRPr="00563472">
        <w:rPr>
          <w:noProof/>
        </w:rPr>
        <w:fldChar w:fldCharType="begin"/>
      </w:r>
      <w:r w:rsidRPr="00563472">
        <w:rPr>
          <w:noProof/>
        </w:rPr>
        <w:instrText xml:space="preserve"> STYLEREF "Heading 6" \l \n </w:instrText>
      </w:r>
      <w:r w:rsidRPr="00563472">
        <w:rPr>
          <w:noProof/>
        </w:rPr>
        <w:fldChar w:fldCharType="separate"/>
      </w:r>
      <w:r w:rsidR="00B833F1">
        <w:rPr>
          <w:noProof/>
        </w:rPr>
        <w:instrText>0</w:instrText>
      </w:r>
      <w:r w:rsidRPr="00563472">
        <w:rPr>
          <w:noProof/>
        </w:rPr>
        <w:fldChar w:fldCharType="end"/>
      </w:r>
      <w:r w:rsidRPr="00563472">
        <w:instrText xml:space="preserve"> = 0 "</w:instrText>
      </w:r>
      <w:r w:rsidRPr="00563472">
        <w:fldChar w:fldCharType="begin"/>
      </w:r>
      <w:r w:rsidRPr="00563472">
        <w:instrText xml:space="preserve"> IF </w:instrText>
      </w:r>
      <w:r w:rsidRPr="00563472">
        <w:rPr>
          <w:noProof/>
        </w:rPr>
        <w:fldChar w:fldCharType="begin"/>
      </w:r>
      <w:r w:rsidRPr="00563472">
        <w:rPr>
          <w:noProof/>
        </w:rPr>
        <w:instrText xml:space="preserve"> STYLEREF "Heading 1" \l \n </w:instrText>
      </w:r>
      <w:r w:rsidRPr="00563472">
        <w:rPr>
          <w:noProof/>
        </w:rPr>
        <w:fldChar w:fldCharType="separate"/>
      </w:r>
      <w:r w:rsidR="00B833F1">
        <w:rPr>
          <w:noProof/>
        </w:rPr>
        <w:instrText>8</w:instrText>
      </w:r>
      <w:r w:rsidRPr="00563472">
        <w:rPr>
          <w:noProof/>
        </w:rPr>
        <w:fldChar w:fldCharType="end"/>
      </w:r>
      <w:r w:rsidRPr="00563472">
        <w:instrText xml:space="preserve"> = 0 "" "</w:instrText>
      </w:r>
      <w:r w:rsidRPr="00563472">
        <w:rPr>
          <w:noProof/>
        </w:rPr>
        <w:fldChar w:fldCharType="begin"/>
      </w:r>
      <w:r w:rsidRPr="00563472">
        <w:rPr>
          <w:noProof/>
        </w:rPr>
        <w:instrText xml:space="preserve"> STYLEREF "Heading 1" \l \n </w:instrText>
      </w:r>
      <w:r w:rsidRPr="00563472">
        <w:rPr>
          <w:noProof/>
        </w:rPr>
        <w:fldChar w:fldCharType="separate"/>
      </w:r>
      <w:r w:rsidR="00B833F1">
        <w:rPr>
          <w:noProof/>
        </w:rPr>
        <w:instrText>8</w:instrText>
      </w:r>
      <w:r w:rsidRPr="00563472">
        <w:rPr>
          <w:noProof/>
        </w:rPr>
        <w:fldChar w:fldCharType="end"/>
      </w:r>
      <w:r w:rsidRPr="00563472">
        <w:instrText xml:space="preserve">." </w:instrText>
      </w:r>
      <w:r w:rsidRPr="00563472">
        <w:fldChar w:fldCharType="separate"/>
      </w:r>
      <w:r w:rsidR="00B833F1">
        <w:rPr>
          <w:noProof/>
        </w:rPr>
        <w:instrText>8</w:instrText>
      </w:r>
      <w:r w:rsidR="00B833F1" w:rsidRPr="00563472">
        <w:rPr>
          <w:noProof/>
        </w:rPr>
        <w:instrText>.</w:instrText>
      </w:r>
      <w:r w:rsidRPr="00563472">
        <w:fldChar w:fldCharType="end"/>
      </w:r>
      <w:r w:rsidRPr="00563472">
        <w:instrText>" "</w:instrText>
      </w:r>
      <w:r w:rsidR="001F6F43">
        <w:fldChar w:fldCharType="begin"/>
      </w:r>
      <w:r w:rsidR="001F6F43">
        <w:instrText xml:space="preserve"> STYLEREF "Heading 6" \l \n </w:instrText>
      </w:r>
      <w:r w:rsidR="001F6F43">
        <w:fldChar w:fldCharType="separate"/>
      </w:r>
      <w:r w:rsidRPr="00563472">
        <w:instrText>B</w:instrText>
      </w:r>
      <w:r w:rsidR="001F6F43">
        <w:fldChar w:fldCharType="end"/>
      </w:r>
      <w:r w:rsidRPr="00563472">
        <w:instrText xml:space="preserve">." </w:instrText>
      </w:r>
      <w:r w:rsidRPr="00563472">
        <w:fldChar w:fldCharType="separate"/>
      </w:r>
      <w:r w:rsidR="00EA42ED">
        <w:rPr>
          <w:noProof/>
        </w:rPr>
        <w:instrText>8</w:instrText>
      </w:r>
      <w:r w:rsidR="00EA42ED" w:rsidRPr="00563472">
        <w:rPr>
          <w:noProof/>
        </w:rPr>
        <w:instrText>.</w:instrText>
      </w:r>
      <w:r w:rsidRPr="00563472">
        <w:fldChar w:fldCharType="end"/>
      </w:r>
      <w:r w:rsidRPr="00563472">
        <w:fldChar w:fldCharType="begin"/>
      </w:r>
      <w:r w:rsidRPr="00563472">
        <w:instrText xml:space="preserve"> SEQ Item \* ARABIC \s </w:instrText>
      </w:r>
      <w:r w:rsidRPr="00563472">
        <w:fldChar w:fldCharType="begin"/>
      </w:r>
      <w:r w:rsidRPr="00563472">
        <w:instrText xml:space="preserve"> IF </w:instrText>
      </w:r>
      <w:r w:rsidRPr="00563472">
        <w:rPr>
          <w:noProof/>
        </w:rPr>
        <w:fldChar w:fldCharType="begin"/>
      </w:r>
      <w:r w:rsidRPr="00563472">
        <w:rPr>
          <w:noProof/>
        </w:rPr>
        <w:instrText xml:space="preserve"> STYLEREF "Heading 6" \l \n </w:instrText>
      </w:r>
      <w:r w:rsidRPr="00563472">
        <w:rPr>
          <w:noProof/>
        </w:rPr>
        <w:fldChar w:fldCharType="separate"/>
      </w:r>
      <w:r w:rsidR="00B833F1">
        <w:rPr>
          <w:noProof/>
        </w:rPr>
        <w:instrText>0</w:instrText>
      </w:r>
      <w:r w:rsidRPr="00563472">
        <w:rPr>
          <w:noProof/>
        </w:rPr>
        <w:fldChar w:fldCharType="end"/>
      </w:r>
      <w:r w:rsidRPr="00563472">
        <w:instrText xml:space="preserve"> = 0 "</w:instrText>
      </w:r>
      <w:r w:rsidRPr="00563472">
        <w:fldChar w:fldCharType="begin"/>
      </w:r>
      <w:r w:rsidRPr="00563472">
        <w:instrText xml:space="preserve"> IF </w:instrText>
      </w:r>
      <w:r w:rsidRPr="00563472">
        <w:rPr>
          <w:noProof/>
        </w:rPr>
        <w:fldChar w:fldCharType="begin"/>
      </w:r>
      <w:r w:rsidRPr="00563472">
        <w:rPr>
          <w:noProof/>
        </w:rPr>
        <w:instrText xml:space="preserve"> STYLEREF "Heading 1" \l \n </w:instrText>
      </w:r>
      <w:r w:rsidRPr="00563472">
        <w:rPr>
          <w:noProof/>
        </w:rPr>
        <w:fldChar w:fldCharType="separate"/>
      </w:r>
      <w:r w:rsidR="00B833F1">
        <w:rPr>
          <w:noProof/>
        </w:rPr>
        <w:instrText>8</w:instrText>
      </w:r>
      <w:r w:rsidRPr="00563472">
        <w:rPr>
          <w:noProof/>
        </w:rPr>
        <w:fldChar w:fldCharType="end"/>
      </w:r>
      <w:r w:rsidRPr="00563472">
        <w:instrText xml:space="preserve"> = 0 "" "1" </w:instrText>
      </w:r>
      <w:r w:rsidRPr="00563472">
        <w:fldChar w:fldCharType="separate"/>
      </w:r>
      <w:r w:rsidR="00EA42ED" w:rsidRPr="00563472">
        <w:rPr>
          <w:noProof/>
        </w:rPr>
        <w:instrText>1</w:instrText>
      </w:r>
      <w:r w:rsidRPr="00563472">
        <w:fldChar w:fldCharType="end"/>
      </w:r>
      <w:r w:rsidRPr="00563472">
        <w:instrText xml:space="preserve">" "6" </w:instrText>
      </w:r>
      <w:r w:rsidRPr="00563472">
        <w:fldChar w:fldCharType="separate"/>
      </w:r>
      <w:r w:rsidR="00EA42ED" w:rsidRPr="00563472">
        <w:rPr>
          <w:noProof/>
        </w:rPr>
        <w:instrText>1</w:instrText>
      </w:r>
      <w:r w:rsidRPr="00563472">
        <w:fldChar w:fldCharType="end"/>
      </w:r>
      <w:r w:rsidRPr="00563472">
        <w:instrText xml:space="preserve"> </w:instrText>
      </w:r>
      <w:r w:rsidRPr="00563472">
        <w:fldChar w:fldCharType="separate"/>
      </w:r>
      <w:r w:rsidR="00B833F1">
        <w:rPr>
          <w:noProof/>
        </w:rPr>
        <w:instrText>6</w:instrText>
      </w:r>
      <w:r w:rsidRPr="00563472">
        <w:fldChar w:fldCharType="end"/>
      </w:r>
      <w:r w:rsidRPr="00563472">
        <w:instrText xml:space="preserve">" "" </w:instrText>
      </w:r>
      <w:r w:rsidRPr="00563472">
        <w:fldChar w:fldCharType="separate"/>
      </w:r>
      <w:bookmarkStart w:id="3529" w:name="_Caption5686"/>
      <w:bookmarkStart w:id="3530" w:name="_Caption9066"/>
      <w:bookmarkStart w:id="3531" w:name="_Caption9423"/>
      <w:bookmarkStart w:id="3532" w:name="_Caption3525"/>
      <w:bookmarkStart w:id="3533" w:name="_Caption5480"/>
      <w:bookmarkStart w:id="3534" w:name="_Caption0874"/>
      <w:bookmarkStart w:id="3535" w:name="_Caption8471"/>
      <w:bookmarkStart w:id="3536" w:name="_Caption3796"/>
      <w:bookmarkStart w:id="3537" w:name="_Caption1178"/>
      <w:bookmarkStart w:id="3538" w:name="_Caption1913"/>
      <w:bookmarkStart w:id="3539" w:name="_Caption9876"/>
      <w:bookmarkStart w:id="3540" w:name="_Caption5895"/>
      <w:bookmarkStart w:id="3541" w:name="_Caption6764"/>
      <w:bookmarkStart w:id="3542" w:name="_Caption1849"/>
      <w:bookmarkStart w:id="3543" w:name="_Caption3373"/>
      <w:bookmarkStart w:id="3544" w:name="_Caption3024"/>
      <w:bookmarkStart w:id="3545" w:name="_Caption5522"/>
      <w:bookmarkStart w:id="3546" w:name="_Caption1714"/>
      <w:bookmarkStart w:id="3547" w:name="_Caption2185"/>
      <w:bookmarkStart w:id="3548" w:name="_Caption3903"/>
      <w:bookmarkStart w:id="3549" w:name="_Caption5493"/>
      <w:bookmarkStart w:id="3550" w:name="_Caption6263"/>
      <w:bookmarkStart w:id="3551" w:name="_Caption8106"/>
      <w:bookmarkStart w:id="3552" w:name="_Caption6075"/>
      <w:bookmarkStart w:id="3553" w:name="_Caption1149"/>
      <w:bookmarkStart w:id="3554" w:name="_Caption9380"/>
      <w:bookmarkStart w:id="3555" w:name="_Caption0315"/>
      <w:bookmarkStart w:id="3556" w:name="_Caption2494"/>
      <w:bookmarkStart w:id="3557" w:name="_Caption8531"/>
      <w:bookmarkStart w:id="3558" w:name="_Caption5928"/>
      <w:bookmarkStart w:id="3559" w:name="_Caption5445"/>
      <w:bookmarkStart w:id="3560" w:name="_Caption0474"/>
      <w:bookmarkStart w:id="3561" w:name="_Caption0587"/>
      <w:bookmarkStart w:id="3562" w:name="_Caption3861"/>
      <w:bookmarkStart w:id="3563" w:name="_Caption2211"/>
      <w:bookmarkStart w:id="3564" w:name="_Caption3029"/>
      <w:bookmarkStart w:id="3565" w:name="_Caption0744"/>
      <w:bookmarkStart w:id="3566" w:name="_Caption4414"/>
      <w:bookmarkStart w:id="3567" w:name="_Caption5749"/>
      <w:bookmarkStart w:id="3568" w:name="_Caption1642"/>
      <w:bookmarkStart w:id="3569" w:name="_Caption9536"/>
      <w:bookmarkStart w:id="3570" w:name="_Caption8557"/>
      <w:bookmarkStart w:id="3571" w:name="_Caption4195"/>
      <w:bookmarkStart w:id="3572" w:name="_Caption2537"/>
      <w:bookmarkStart w:id="3573" w:name="_Caption2025"/>
      <w:bookmarkStart w:id="3574" w:name="_Caption2050"/>
      <w:bookmarkStart w:id="3575" w:name="_Caption5409"/>
      <w:bookmarkStart w:id="3576" w:name="_Caption3396"/>
      <w:bookmarkStart w:id="3577" w:name="_Caption6001"/>
      <w:bookmarkStart w:id="3578" w:name="_Caption9796"/>
      <w:bookmarkStart w:id="3579" w:name="_Caption1286"/>
      <w:bookmarkStart w:id="3580" w:name="_Caption3200"/>
      <w:bookmarkStart w:id="3581" w:name="_Caption0607"/>
      <w:bookmarkStart w:id="3582" w:name="_Caption0257"/>
      <w:bookmarkStart w:id="3583" w:name="_Caption0232"/>
      <w:bookmarkStart w:id="3584" w:name="_Caption9206"/>
      <w:bookmarkStart w:id="3585" w:name="_Caption7660"/>
      <w:bookmarkStart w:id="3586" w:name="_Caption2849"/>
      <w:bookmarkStart w:id="3587" w:name="_Caption0991"/>
      <w:bookmarkStart w:id="3588" w:name="_Caption7188"/>
      <w:bookmarkStart w:id="3589" w:name="_Caption7945"/>
      <w:bookmarkStart w:id="3590" w:name="_Caption8717"/>
      <w:bookmarkStart w:id="3591" w:name="_Caption1301"/>
      <w:bookmarkStart w:id="3592" w:name="_Caption0147"/>
      <w:bookmarkStart w:id="3593" w:name="_Caption3470"/>
      <w:bookmarkStart w:id="3594" w:name="_Caption2909"/>
      <w:bookmarkStart w:id="3595" w:name="_Caption6413"/>
      <w:bookmarkStart w:id="3596" w:name="_Toc529869945"/>
      <w:bookmarkStart w:id="3597" w:name="_Toc530748441"/>
      <w:r w:rsidR="00EA42ED">
        <w:rPr>
          <w:noProof/>
        </w:rPr>
        <w:t>8</w:t>
      </w:r>
      <w:r w:rsidR="00EA42ED" w:rsidRPr="00563472">
        <w:rPr>
          <w:noProof/>
        </w:rPr>
        <w:t>.</w:t>
      </w:r>
      <w:r w:rsidR="00EA42ED">
        <w:rPr>
          <w:noProof/>
        </w:rPr>
        <w:t>6</w:t>
      </w:r>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r w:rsidRPr="00563472">
        <w:fldChar w:fldCharType="end"/>
      </w:r>
      <w:r w:rsidRPr="00563472">
        <w:tab/>
        <w:t>Building</w:t>
      </w:r>
      <w:r w:rsidRPr="00563472">
        <w:noBreakHyphen/>
        <w:t>level net impacts — Tasmania</w:t>
      </w:r>
      <w:bookmarkEnd w:id="3596"/>
      <w:bookmarkEnd w:id="3597"/>
    </w:p>
    <w:tbl>
      <w:tblPr>
        <w:tblW w:w="7937" w:type="dxa"/>
        <w:tblLayout w:type="fixed"/>
        <w:tblLook w:val="0000" w:firstRow="0" w:lastRow="0" w:firstColumn="0" w:lastColumn="0" w:noHBand="0" w:noVBand="0"/>
        <w:tblCaption w:val="Table 8.6: Building - level net impacts - Tasmania"/>
        <w:tblDescription w:val="This table outlines the building level net impacts of the proposed changes to NCC 2019 by building classiciation and climate zone for Tasmania. "/>
      </w:tblPr>
      <w:tblGrid>
        <w:gridCol w:w="2456"/>
        <w:gridCol w:w="783"/>
        <w:gridCol w:w="783"/>
        <w:gridCol w:w="783"/>
        <w:gridCol w:w="783"/>
        <w:gridCol w:w="783"/>
        <w:gridCol w:w="783"/>
        <w:gridCol w:w="783"/>
      </w:tblGrid>
      <w:tr w:rsidR="00612FD3" w:rsidTr="00301B6D">
        <w:trPr>
          <w:trHeight w:val="230"/>
          <w:tblHeader/>
        </w:trPr>
        <w:tc>
          <w:tcPr>
            <w:tcW w:w="2456" w:type="dxa"/>
            <w:shd w:val="clear" w:color="auto" w:fill="6F6652"/>
            <w:tcMar>
              <w:left w:w="57" w:type="dxa"/>
              <w:right w:w="57" w:type="dxa"/>
            </w:tcMar>
          </w:tcPr>
          <w:p w:rsidR="00612FD3" w:rsidRDefault="00612FD3" w:rsidP="00301B6D">
            <w:pPr>
              <w:pStyle w:val="TableDataColumnHeading"/>
              <w:jc w:val="left"/>
              <w:rPr>
                <w:lang w:val="en-GB"/>
              </w:rPr>
            </w:pPr>
          </w:p>
        </w:tc>
        <w:tc>
          <w:tcPr>
            <w:tcW w:w="783" w:type="dxa"/>
            <w:shd w:val="clear" w:color="auto" w:fill="6F6652"/>
            <w:tcMar>
              <w:left w:w="57" w:type="dxa"/>
              <w:right w:w="57" w:type="dxa"/>
            </w:tcMar>
          </w:tcPr>
          <w:p w:rsidR="00612FD3" w:rsidRDefault="00612FD3" w:rsidP="00301B6D">
            <w:pPr>
              <w:pStyle w:val="TableDataColumnHeading"/>
              <w:rPr>
                <w:b/>
                <w:bCs/>
                <w:lang w:val="en-GB"/>
              </w:rPr>
            </w:pPr>
            <w:r>
              <w:rPr>
                <w:b/>
                <w:bCs/>
                <w:lang w:val="en-GB"/>
              </w:rPr>
              <w:t>CZ1</w:t>
            </w:r>
          </w:p>
        </w:tc>
        <w:tc>
          <w:tcPr>
            <w:tcW w:w="783" w:type="dxa"/>
            <w:shd w:val="clear" w:color="auto" w:fill="6F6652"/>
            <w:tcMar>
              <w:left w:w="57" w:type="dxa"/>
              <w:right w:w="57" w:type="dxa"/>
            </w:tcMar>
          </w:tcPr>
          <w:p w:rsidR="00612FD3" w:rsidRDefault="00612FD3" w:rsidP="00301B6D">
            <w:pPr>
              <w:pStyle w:val="TableDataColumnHeading"/>
              <w:rPr>
                <w:b/>
                <w:bCs/>
                <w:lang w:val="en-GB"/>
              </w:rPr>
            </w:pPr>
            <w:r>
              <w:rPr>
                <w:b/>
                <w:bCs/>
                <w:lang w:val="en-GB"/>
              </w:rPr>
              <w:t>CZ2</w:t>
            </w:r>
          </w:p>
        </w:tc>
        <w:tc>
          <w:tcPr>
            <w:tcW w:w="783" w:type="dxa"/>
            <w:shd w:val="clear" w:color="auto" w:fill="6F6652"/>
            <w:tcMar>
              <w:left w:w="57" w:type="dxa"/>
              <w:right w:w="57" w:type="dxa"/>
            </w:tcMar>
          </w:tcPr>
          <w:p w:rsidR="00612FD3" w:rsidRDefault="00612FD3" w:rsidP="00301B6D">
            <w:pPr>
              <w:pStyle w:val="TableDataColumnHeading"/>
              <w:rPr>
                <w:b/>
                <w:bCs/>
                <w:lang w:val="en-GB"/>
              </w:rPr>
            </w:pPr>
            <w:r>
              <w:rPr>
                <w:b/>
                <w:bCs/>
                <w:lang w:val="en-GB"/>
              </w:rPr>
              <w:t>CZ3</w:t>
            </w:r>
          </w:p>
        </w:tc>
        <w:tc>
          <w:tcPr>
            <w:tcW w:w="783" w:type="dxa"/>
            <w:shd w:val="clear" w:color="auto" w:fill="6F6652"/>
            <w:tcMar>
              <w:left w:w="57" w:type="dxa"/>
              <w:right w:w="57" w:type="dxa"/>
            </w:tcMar>
          </w:tcPr>
          <w:p w:rsidR="00612FD3" w:rsidRDefault="00612FD3" w:rsidP="00301B6D">
            <w:pPr>
              <w:pStyle w:val="TableDataColumnHeading"/>
              <w:rPr>
                <w:b/>
                <w:bCs/>
                <w:lang w:val="en-GB"/>
              </w:rPr>
            </w:pPr>
            <w:r>
              <w:rPr>
                <w:b/>
                <w:bCs/>
                <w:lang w:val="en-GB"/>
              </w:rPr>
              <w:t>CZ4</w:t>
            </w:r>
          </w:p>
        </w:tc>
        <w:tc>
          <w:tcPr>
            <w:tcW w:w="783" w:type="dxa"/>
            <w:shd w:val="clear" w:color="auto" w:fill="6F6652"/>
            <w:tcMar>
              <w:left w:w="57" w:type="dxa"/>
              <w:right w:w="57" w:type="dxa"/>
            </w:tcMar>
          </w:tcPr>
          <w:p w:rsidR="00612FD3" w:rsidRDefault="00612FD3" w:rsidP="00301B6D">
            <w:pPr>
              <w:pStyle w:val="TableDataColumnHeading"/>
              <w:rPr>
                <w:b/>
                <w:bCs/>
                <w:lang w:val="en-GB"/>
              </w:rPr>
            </w:pPr>
            <w:r>
              <w:rPr>
                <w:b/>
                <w:bCs/>
                <w:lang w:val="en-GB"/>
              </w:rPr>
              <w:t>CZ5</w:t>
            </w:r>
          </w:p>
        </w:tc>
        <w:tc>
          <w:tcPr>
            <w:tcW w:w="783" w:type="dxa"/>
            <w:shd w:val="clear" w:color="auto" w:fill="6F6652"/>
            <w:tcMar>
              <w:left w:w="57" w:type="dxa"/>
              <w:right w:w="57" w:type="dxa"/>
            </w:tcMar>
          </w:tcPr>
          <w:p w:rsidR="00612FD3" w:rsidRDefault="00612FD3" w:rsidP="00301B6D">
            <w:pPr>
              <w:pStyle w:val="TableDataColumnHeading"/>
              <w:rPr>
                <w:b/>
                <w:bCs/>
                <w:lang w:val="en-GB"/>
              </w:rPr>
            </w:pPr>
            <w:r>
              <w:rPr>
                <w:b/>
                <w:bCs/>
                <w:lang w:val="en-GB"/>
              </w:rPr>
              <w:t>CZ6</w:t>
            </w:r>
          </w:p>
        </w:tc>
        <w:tc>
          <w:tcPr>
            <w:tcW w:w="783" w:type="dxa"/>
            <w:shd w:val="clear" w:color="auto" w:fill="6F6652"/>
            <w:tcMar>
              <w:left w:w="57" w:type="dxa"/>
              <w:right w:w="57" w:type="dxa"/>
            </w:tcMar>
          </w:tcPr>
          <w:p w:rsidR="00612FD3" w:rsidRDefault="00612FD3" w:rsidP="00301B6D">
            <w:pPr>
              <w:pStyle w:val="TableDataColumnHeading"/>
              <w:rPr>
                <w:b/>
                <w:bCs/>
                <w:lang w:val="en-GB"/>
              </w:rPr>
            </w:pPr>
            <w:r>
              <w:rPr>
                <w:b/>
                <w:bCs/>
                <w:lang w:val="en-GB"/>
              </w:rPr>
              <w:t>CZ7</w:t>
            </w:r>
          </w:p>
        </w:tc>
      </w:tr>
      <w:tr w:rsidR="00612FD3" w:rsidTr="00301B6D">
        <w:trPr>
          <w:trHeight w:val="230"/>
          <w:tblHeader/>
        </w:trPr>
        <w:tc>
          <w:tcPr>
            <w:tcW w:w="2456"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jc w:val="left"/>
              <w:rPr>
                <w:lang w:val="en-GB"/>
              </w:rPr>
            </w:pP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D742B2">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D742B2">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D742B2">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D742B2">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D742B2">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D742B2">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D742B2">
              <w:rPr>
                <w:vertAlign w:val="superscript"/>
                <w:lang w:val="en-GB"/>
              </w:rPr>
              <w:t>2</w:t>
            </w:r>
          </w:p>
        </w:tc>
      </w:tr>
      <w:tr w:rsidR="00612FD3" w:rsidTr="00301B6D">
        <w:trPr>
          <w:trHeight w:val="230"/>
        </w:trPr>
        <w:tc>
          <w:tcPr>
            <w:tcW w:w="245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r>
              <w:rPr>
                <w:lang w:val="en-GB"/>
              </w:rPr>
              <w:t>Low scenario</w:t>
            </w: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r>
      <w:tr w:rsidR="00F03986"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F03986" w:rsidRDefault="00F03986" w:rsidP="00F03986">
            <w:pPr>
              <w:pStyle w:val="TableDataEntries"/>
              <w:jc w:val="left"/>
              <w:rPr>
                <w:lang w:val="en-GB"/>
              </w:rPr>
            </w:pPr>
            <w:r>
              <w:rPr>
                <w:lang w:val="en-GB"/>
              </w:rPr>
              <w:t>Hotel</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xml:space="preserve"> 39.26</w:t>
            </w:r>
          </w:p>
        </w:tc>
      </w:tr>
      <w:tr w:rsidR="00F03986"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F03986" w:rsidRDefault="00F03986" w:rsidP="00F03986">
            <w:pPr>
              <w:pStyle w:val="TableDataEntries"/>
              <w:jc w:val="left"/>
              <w:rPr>
                <w:lang w:val="en-GB"/>
              </w:rPr>
            </w:pPr>
            <w:r>
              <w:rPr>
                <w:lang w:val="en-GB"/>
              </w:rPr>
              <w:t>Office building</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xml:space="preserve"> 5.24</w:t>
            </w:r>
          </w:p>
        </w:tc>
      </w:tr>
      <w:tr w:rsidR="00F03986"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F03986" w:rsidRDefault="00F03986" w:rsidP="00F03986">
            <w:pPr>
              <w:pStyle w:val="TableDataEntries"/>
              <w:jc w:val="left"/>
              <w:rPr>
                <w:lang w:val="en-GB"/>
              </w:rPr>
            </w:pPr>
            <w:r>
              <w:rPr>
                <w:lang w:val="en-GB"/>
              </w:rPr>
              <w:t>Retail</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- 15.23</w:t>
            </w:r>
          </w:p>
        </w:tc>
      </w:tr>
      <w:tr w:rsidR="00F03986"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F03986" w:rsidRDefault="00F03986" w:rsidP="00F03986">
            <w:pPr>
              <w:pStyle w:val="TableDataEntries"/>
              <w:jc w:val="left"/>
              <w:rPr>
                <w:lang w:val="en-GB"/>
              </w:rPr>
            </w:pPr>
            <w:r>
              <w:rPr>
                <w:lang w:val="en-GB"/>
              </w:rPr>
              <w:t>Healthcare</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- 21.93</w:t>
            </w:r>
          </w:p>
        </w:tc>
      </w:tr>
      <w:tr w:rsidR="00F03986"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F03986" w:rsidRDefault="00F03986" w:rsidP="00F03986">
            <w:pPr>
              <w:pStyle w:val="TableDataEntries"/>
              <w:jc w:val="left"/>
              <w:rPr>
                <w:lang w:val="en-GB"/>
              </w:rPr>
            </w:pPr>
            <w:r>
              <w:rPr>
                <w:lang w:val="en-GB"/>
              </w:rPr>
              <w:t>School</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xml:space="preserve"> 28.75</w:t>
            </w:r>
          </w:p>
        </w:tc>
      </w:tr>
      <w:tr w:rsidR="00612FD3" w:rsidTr="00301B6D">
        <w:trPr>
          <w:trHeight w:val="230"/>
        </w:trPr>
        <w:tc>
          <w:tcPr>
            <w:tcW w:w="245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r>
              <w:rPr>
                <w:lang w:val="en-GB"/>
              </w:rPr>
              <w:t>Medium scenario</w:t>
            </w: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612FD3" w:rsidRPr="00563472" w:rsidRDefault="00612FD3" w:rsidP="00563472">
            <w:pPr>
              <w:pStyle w:val="TableDataEntries"/>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612FD3" w:rsidRPr="00563472" w:rsidRDefault="00612FD3" w:rsidP="00563472">
            <w:pPr>
              <w:pStyle w:val="TableDataEntries"/>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612FD3" w:rsidRPr="00563472" w:rsidRDefault="00612FD3" w:rsidP="00563472">
            <w:pPr>
              <w:pStyle w:val="TableDataEntries"/>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612FD3" w:rsidRPr="00563472" w:rsidRDefault="00612FD3" w:rsidP="00563472">
            <w:pPr>
              <w:pStyle w:val="TableDataEntries"/>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612FD3" w:rsidRPr="00563472" w:rsidRDefault="00612FD3" w:rsidP="00563472">
            <w:pPr>
              <w:pStyle w:val="TableDataEntries"/>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612FD3" w:rsidRPr="00563472" w:rsidRDefault="00612FD3" w:rsidP="00563472">
            <w:pPr>
              <w:pStyle w:val="TableDataEntries"/>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612FD3" w:rsidRPr="00563472" w:rsidRDefault="00612FD3" w:rsidP="00563472">
            <w:pPr>
              <w:pStyle w:val="TableDataEntries"/>
            </w:pPr>
          </w:p>
        </w:tc>
      </w:tr>
      <w:tr w:rsidR="00563472"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563472" w:rsidRDefault="00563472" w:rsidP="00563472">
            <w:pPr>
              <w:pStyle w:val="TableDataEntries"/>
              <w:jc w:val="left"/>
              <w:rPr>
                <w:lang w:val="en-GB"/>
              </w:rPr>
            </w:pPr>
            <w:r>
              <w:rPr>
                <w:lang w:val="en-GB"/>
              </w:rPr>
              <w:t>Hotel</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52.56</w:t>
            </w:r>
          </w:p>
        </w:tc>
      </w:tr>
      <w:tr w:rsidR="00563472"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563472" w:rsidRDefault="00563472" w:rsidP="00563472">
            <w:pPr>
              <w:pStyle w:val="TableDataEntries"/>
              <w:jc w:val="left"/>
              <w:rPr>
                <w:lang w:val="en-GB"/>
              </w:rPr>
            </w:pPr>
            <w:r>
              <w:rPr>
                <w:lang w:val="en-GB"/>
              </w:rPr>
              <w:t>Office building</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8.72</w:t>
            </w:r>
          </w:p>
        </w:tc>
      </w:tr>
      <w:tr w:rsidR="00563472"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563472" w:rsidRDefault="00563472" w:rsidP="00563472">
            <w:pPr>
              <w:pStyle w:val="TableDataEntries"/>
              <w:jc w:val="left"/>
              <w:rPr>
                <w:lang w:val="en-GB"/>
              </w:rPr>
            </w:pPr>
            <w:r>
              <w:rPr>
                <w:lang w:val="en-GB"/>
              </w:rPr>
              <w:t>Retail</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- 14.53</w:t>
            </w:r>
          </w:p>
        </w:tc>
      </w:tr>
      <w:tr w:rsidR="00563472"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563472" w:rsidRDefault="00563472" w:rsidP="00563472">
            <w:pPr>
              <w:pStyle w:val="TableDataEntries"/>
              <w:jc w:val="left"/>
              <w:rPr>
                <w:lang w:val="en-GB"/>
              </w:rPr>
            </w:pPr>
            <w:r>
              <w:rPr>
                <w:lang w:val="en-GB"/>
              </w:rPr>
              <w:t>Healthcare</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- 18.72</w:t>
            </w:r>
          </w:p>
        </w:tc>
      </w:tr>
      <w:tr w:rsidR="00563472"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563472" w:rsidRDefault="00563472" w:rsidP="00563472">
            <w:pPr>
              <w:pStyle w:val="TableDataEntries"/>
              <w:jc w:val="left"/>
              <w:rPr>
                <w:lang w:val="en-GB"/>
              </w:rPr>
            </w:pPr>
            <w:r>
              <w:rPr>
                <w:lang w:val="en-GB"/>
              </w:rPr>
              <w:t>School</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47.48</w:t>
            </w:r>
          </w:p>
        </w:tc>
      </w:tr>
      <w:tr w:rsidR="00612FD3" w:rsidTr="00301B6D">
        <w:trPr>
          <w:trHeight w:val="230"/>
        </w:trPr>
        <w:tc>
          <w:tcPr>
            <w:tcW w:w="245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r>
              <w:rPr>
                <w:lang w:val="en-GB"/>
              </w:rPr>
              <w:t>High scenario</w:t>
            </w: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612FD3" w:rsidRPr="00563472" w:rsidRDefault="00612FD3" w:rsidP="00563472">
            <w:pPr>
              <w:pStyle w:val="TableDataEntries"/>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612FD3" w:rsidRPr="00563472" w:rsidRDefault="00612FD3" w:rsidP="00563472">
            <w:pPr>
              <w:pStyle w:val="TableDataEntries"/>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612FD3" w:rsidRPr="00563472" w:rsidRDefault="00612FD3" w:rsidP="00563472">
            <w:pPr>
              <w:pStyle w:val="TableDataEntries"/>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612FD3" w:rsidRPr="00563472" w:rsidRDefault="00612FD3" w:rsidP="00563472">
            <w:pPr>
              <w:pStyle w:val="TableDataEntries"/>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612FD3" w:rsidRPr="00563472" w:rsidRDefault="00612FD3" w:rsidP="00563472">
            <w:pPr>
              <w:pStyle w:val="TableDataEntries"/>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612FD3" w:rsidRPr="00563472" w:rsidRDefault="00612FD3" w:rsidP="00563472">
            <w:pPr>
              <w:pStyle w:val="TableDataEntries"/>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612FD3" w:rsidRPr="00563472" w:rsidRDefault="00612FD3" w:rsidP="00563472">
            <w:pPr>
              <w:pStyle w:val="TableDataEntries"/>
            </w:pPr>
          </w:p>
        </w:tc>
      </w:tr>
      <w:tr w:rsidR="00563472"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563472" w:rsidRDefault="00563472" w:rsidP="00563472">
            <w:pPr>
              <w:pStyle w:val="TableDataEntries"/>
              <w:jc w:val="left"/>
              <w:rPr>
                <w:lang w:val="en-GB"/>
              </w:rPr>
            </w:pPr>
            <w:r>
              <w:rPr>
                <w:lang w:val="en-GB"/>
              </w:rPr>
              <w:t>Hotel</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65.87</w:t>
            </w:r>
          </w:p>
        </w:tc>
      </w:tr>
      <w:tr w:rsidR="00563472"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563472" w:rsidRDefault="00563472" w:rsidP="00563472">
            <w:pPr>
              <w:pStyle w:val="TableDataEntries"/>
              <w:jc w:val="left"/>
              <w:rPr>
                <w:lang w:val="en-GB"/>
              </w:rPr>
            </w:pPr>
            <w:r>
              <w:rPr>
                <w:lang w:val="en-GB"/>
              </w:rPr>
              <w:t>Office building</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12.21</w:t>
            </w:r>
          </w:p>
        </w:tc>
      </w:tr>
      <w:tr w:rsidR="00563472"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563472" w:rsidRDefault="00563472" w:rsidP="00563472">
            <w:pPr>
              <w:pStyle w:val="TableDataEntries"/>
              <w:jc w:val="left"/>
              <w:rPr>
                <w:lang w:val="en-GB"/>
              </w:rPr>
            </w:pPr>
            <w:r>
              <w:rPr>
                <w:lang w:val="en-GB"/>
              </w:rPr>
              <w:t>Retail</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- 13.84</w:t>
            </w:r>
          </w:p>
        </w:tc>
      </w:tr>
      <w:tr w:rsidR="00563472"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563472" w:rsidRDefault="00563472" w:rsidP="00563472">
            <w:pPr>
              <w:pStyle w:val="TableDataEntries"/>
              <w:jc w:val="left"/>
              <w:rPr>
                <w:lang w:val="en-GB"/>
              </w:rPr>
            </w:pPr>
            <w:r>
              <w:rPr>
                <w:lang w:val="en-GB"/>
              </w:rPr>
              <w:t>Healthcare</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- 15.51</w:t>
            </w:r>
          </w:p>
        </w:tc>
      </w:tr>
      <w:tr w:rsidR="00563472" w:rsidTr="00301B6D">
        <w:trPr>
          <w:trHeight w:val="230"/>
        </w:trPr>
        <w:tc>
          <w:tcPr>
            <w:tcW w:w="2456" w:type="dxa"/>
            <w:tcBorders>
              <w:top w:val="single" w:sz="8" w:space="0" w:color="FFFFFF" w:themeColor="background1"/>
              <w:bottom w:val="single" w:sz="6" w:space="0" w:color="6F6652"/>
            </w:tcBorders>
            <w:shd w:val="clear" w:color="auto" w:fill="E9E8E5" w:themeFill="background2"/>
            <w:tcMar>
              <w:left w:w="57" w:type="dxa"/>
              <w:right w:w="57" w:type="dxa"/>
            </w:tcMar>
          </w:tcPr>
          <w:p w:rsidR="00563472" w:rsidRDefault="00563472" w:rsidP="00563472">
            <w:pPr>
              <w:pStyle w:val="TableDataEntries"/>
              <w:jc w:val="left"/>
              <w:rPr>
                <w:lang w:val="en-GB"/>
              </w:rPr>
            </w:pPr>
            <w:r>
              <w:rPr>
                <w:lang w:val="en-GB"/>
              </w:rPr>
              <w:t>School</w:t>
            </w:r>
          </w:p>
        </w:tc>
        <w:tc>
          <w:tcPr>
            <w:tcW w:w="783"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66.21</w:t>
            </w:r>
          </w:p>
        </w:tc>
      </w:tr>
    </w:tbl>
    <w:p w:rsidR="00CA6CF4" w:rsidRDefault="00CA6CF4" w:rsidP="00CA6CF4">
      <w:pPr>
        <w:pStyle w:val="Note"/>
        <w:rPr>
          <w:lang w:bidi="fa-IR"/>
        </w:rPr>
      </w:pPr>
      <w:r w:rsidRPr="007B3E1B">
        <w:rPr>
          <w:i/>
          <w:lang w:bidi="fa-IR"/>
        </w:rPr>
        <w:t>Note:</w:t>
      </w:r>
      <w:r>
        <w:rPr>
          <w:lang w:bidi="fa-IR"/>
        </w:rPr>
        <w:t xml:space="preserve"> Net impacts include the private benefits and costs to building owners/tenants and the global benefits from reduced GHG emissions.</w:t>
      </w:r>
    </w:p>
    <w:p w:rsidR="00612FD3" w:rsidRDefault="00612FD3" w:rsidP="00612FD3">
      <w:pPr>
        <w:pStyle w:val="Source"/>
        <w:rPr>
          <w:lang w:bidi="fa-IR"/>
        </w:rPr>
      </w:pPr>
      <w:r w:rsidRPr="00D742B2">
        <w:rPr>
          <w:i/>
          <w:lang w:bidi="fa-IR"/>
        </w:rPr>
        <w:t>Source:</w:t>
      </w:r>
      <w:r>
        <w:rPr>
          <w:lang w:bidi="fa-IR"/>
        </w:rPr>
        <w:t xml:space="preserve"> CIE based on </w:t>
      </w:r>
      <w:r w:rsidR="003F28DD">
        <w:rPr>
          <w:lang w:bidi="fa-IR"/>
        </w:rPr>
        <w:t>EA</w:t>
      </w:r>
      <w:r>
        <w:rPr>
          <w:lang w:bidi="fa-IR"/>
        </w:rPr>
        <w:t xml:space="preserve"> modelling.</w:t>
      </w:r>
    </w:p>
    <w:p w:rsidR="00612FD3" w:rsidRDefault="00612FD3" w:rsidP="0030137D">
      <w:pPr>
        <w:pStyle w:val="Heading4"/>
        <w:rPr>
          <w:lang w:val="en-GB"/>
        </w:rPr>
      </w:pPr>
      <w:r>
        <w:rPr>
          <w:lang w:val="en-GB"/>
        </w:rPr>
        <w:t>Australian Capital Territory</w:t>
      </w:r>
    </w:p>
    <w:p w:rsidR="00612FD3" w:rsidRDefault="00104F9D" w:rsidP="00612FD3">
      <w:pPr>
        <w:pStyle w:val="BodyText"/>
        <w:rPr>
          <w:lang w:val="en-GB"/>
        </w:rPr>
      </w:pPr>
      <w:r>
        <w:rPr>
          <w:lang w:val="en-GB"/>
        </w:rPr>
        <w:t>As for</w:t>
      </w:r>
      <w:r w:rsidR="00612FD3">
        <w:rPr>
          <w:lang w:val="en-GB"/>
        </w:rPr>
        <w:t xml:space="preserve"> Tasmania, the ACT is entirely in </w:t>
      </w:r>
      <w:r w:rsidR="00E31EE8">
        <w:rPr>
          <w:lang w:val="en-GB"/>
        </w:rPr>
        <w:t>Climate Zone</w:t>
      </w:r>
      <w:r w:rsidR="00612FD3">
        <w:rPr>
          <w:lang w:val="en-GB"/>
        </w:rPr>
        <w:t xml:space="preserve"> 7. As such, there are estimated to be net costs for retail and healthcare buildings, but net benefits in the remaining buildings.</w:t>
      </w:r>
    </w:p>
    <w:p w:rsidR="00612FD3" w:rsidRDefault="00612FD3" w:rsidP="00612FD3">
      <w:pPr>
        <w:pStyle w:val="Caption"/>
      </w:pPr>
      <w:r w:rsidRPr="00563472">
        <w:fldChar w:fldCharType="begin"/>
      </w:r>
      <w:r w:rsidRPr="00563472">
        <w:instrText xml:space="preserve"> IF 1 = 1 "</w:instrText>
      </w:r>
      <w:r w:rsidRPr="00563472">
        <w:fldChar w:fldCharType="begin"/>
      </w:r>
      <w:r w:rsidRPr="00563472">
        <w:instrText xml:space="preserve"> IF </w:instrText>
      </w:r>
      <w:r w:rsidRPr="00563472">
        <w:rPr>
          <w:noProof/>
        </w:rPr>
        <w:fldChar w:fldCharType="begin"/>
      </w:r>
      <w:r w:rsidRPr="00563472">
        <w:rPr>
          <w:noProof/>
        </w:rPr>
        <w:instrText xml:space="preserve"> STYLEREF "Heading 6" \l \n </w:instrText>
      </w:r>
      <w:r w:rsidRPr="00563472">
        <w:rPr>
          <w:noProof/>
        </w:rPr>
        <w:fldChar w:fldCharType="separate"/>
      </w:r>
      <w:r w:rsidR="00B833F1">
        <w:rPr>
          <w:noProof/>
        </w:rPr>
        <w:instrText>0</w:instrText>
      </w:r>
      <w:r w:rsidRPr="00563472">
        <w:rPr>
          <w:noProof/>
        </w:rPr>
        <w:fldChar w:fldCharType="end"/>
      </w:r>
      <w:r w:rsidRPr="00563472">
        <w:instrText xml:space="preserve"> = 0 "</w:instrText>
      </w:r>
      <w:r w:rsidRPr="00563472">
        <w:fldChar w:fldCharType="begin"/>
      </w:r>
      <w:r w:rsidRPr="00563472">
        <w:instrText xml:space="preserve"> IF </w:instrText>
      </w:r>
      <w:r w:rsidRPr="00563472">
        <w:rPr>
          <w:noProof/>
        </w:rPr>
        <w:fldChar w:fldCharType="begin"/>
      </w:r>
      <w:r w:rsidRPr="00563472">
        <w:rPr>
          <w:noProof/>
        </w:rPr>
        <w:instrText xml:space="preserve"> STYLEREF "Heading 1" \l \n </w:instrText>
      </w:r>
      <w:r w:rsidRPr="00563472">
        <w:rPr>
          <w:noProof/>
        </w:rPr>
        <w:fldChar w:fldCharType="separate"/>
      </w:r>
      <w:r w:rsidR="00B833F1">
        <w:rPr>
          <w:noProof/>
        </w:rPr>
        <w:instrText>8</w:instrText>
      </w:r>
      <w:r w:rsidRPr="00563472">
        <w:rPr>
          <w:noProof/>
        </w:rPr>
        <w:fldChar w:fldCharType="end"/>
      </w:r>
      <w:r w:rsidRPr="00563472">
        <w:instrText xml:space="preserve"> = 0 "" "</w:instrText>
      </w:r>
      <w:r w:rsidRPr="00563472">
        <w:rPr>
          <w:noProof/>
        </w:rPr>
        <w:fldChar w:fldCharType="begin"/>
      </w:r>
      <w:r w:rsidRPr="00563472">
        <w:rPr>
          <w:noProof/>
        </w:rPr>
        <w:instrText xml:space="preserve"> STYLEREF "Heading 1" \l \n </w:instrText>
      </w:r>
      <w:r w:rsidRPr="00563472">
        <w:rPr>
          <w:noProof/>
        </w:rPr>
        <w:fldChar w:fldCharType="separate"/>
      </w:r>
      <w:r w:rsidR="00B833F1">
        <w:rPr>
          <w:noProof/>
        </w:rPr>
        <w:instrText>8</w:instrText>
      </w:r>
      <w:r w:rsidRPr="00563472">
        <w:rPr>
          <w:noProof/>
        </w:rPr>
        <w:fldChar w:fldCharType="end"/>
      </w:r>
      <w:r w:rsidRPr="00563472">
        <w:instrText xml:space="preserve">." </w:instrText>
      </w:r>
      <w:r w:rsidRPr="00563472">
        <w:fldChar w:fldCharType="separate"/>
      </w:r>
      <w:r w:rsidR="00B833F1">
        <w:rPr>
          <w:noProof/>
        </w:rPr>
        <w:instrText>8</w:instrText>
      </w:r>
      <w:r w:rsidR="00B833F1" w:rsidRPr="00563472">
        <w:rPr>
          <w:noProof/>
        </w:rPr>
        <w:instrText>.</w:instrText>
      </w:r>
      <w:r w:rsidRPr="00563472">
        <w:fldChar w:fldCharType="end"/>
      </w:r>
      <w:r w:rsidRPr="00563472">
        <w:instrText>" "</w:instrText>
      </w:r>
      <w:r w:rsidR="001F6F43">
        <w:fldChar w:fldCharType="begin"/>
      </w:r>
      <w:r w:rsidR="001F6F43">
        <w:instrText xml:space="preserve"> STYLEREF "Heading 6" \l \n </w:instrText>
      </w:r>
      <w:r w:rsidR="001F6F43">
        <w:fldChar w:fldCharType="separate"/>
      </w:r>
      <w:r w:rsidRPr="00563472">
        <w:instrText>B</w:instrText>
      </w:r>
      <w:r w:rsidR="001F6F43">
        <w:fldChar w:fldCharType="end"/>
      </w:r>
      <w:r w:rsidRPr="00563472">
        <w:instrText xml:space="preserve">." </w:instrText>
      </w:r>
      <w:r w:rsidRPr="00563472">
        <w:fldChar w:fldCharType="separate"/>
      </w:r>
      <w:r w:rsidR="00EA42ED">
        <w:rPr>
          <w:noProof/>
        </w:rPr>
        <w:instrText>8</w:instrText>
      </w:r>
      <w:r w:rsidR="00EA42ED" w:rsidRPr="00563472">
        <w:rPr>
          <w:noProof/>
        </w:rPr>
        <w:instrText>.</w:instrText>
      </w:r>
      <w:r w:rsidRPr="00563472">
        <w:fldChar w:fldCharType="end"/>
      </w:r>
      <w:r w:rsidRPr="00563472">
        <w:fldChar w:fldCharType="begin"/>
      </w:r>
      <w:r w:rsidRPr="00563472">
        <w:instrText xml:space="preserve"> SEQ Item \* ARABIC \s </w:instrText>
      </w:r>
      <w:r w:rsidRPr="00563472">
        <w:fldChar w:fldCharType="begin"/>
      </w:r>
      <w:r w:rsidRPr="00563472">
        <w:instrText xml:space="preserve"> IF </w:instrText>
      </w:r>
      <w:r w:rsidRPr="00563472">
        <w:rPr>
          <w:noProof/>
        </w:rPr>
        <w:fldChar w:fldCharType="begin"/>
      </w:r>
      <w:r w:rsidRPr="00563472">
        <w:rPr>
          <w:noProof/>
        </w:rPr>
        <w:instrText xml:space="preserve"> STYLEREF "Heading 6" \l \n </w:instrText>
      </w:r>
      <w:r w:rsidRPr="00563472">
        <w:rPr>
          <w:noProof/>
        </w:rPr>
        <w:fldChar w:fldCharType="separate"/>
      </w:r>
      <w:r w:rsidR="00B833F1">
        <w:rPr>
          <w:noProof/>
        </w:rPr>
        <w:instrText>0</w:instrText>
      </w:r>
      <w:r w:rsidRPr="00563472">
        <w:rPr>
          <w:noProof/>
        </w:rPr>
        <w:fldChar w:fldCharType="end"/>
      </w:r>
      <w:r w:rsidRPr="00563472">
        <w:instrText xml:space="preserve"> = 0 "</w:instrText>
      </w:r>
      <w:r w:rsidRPr="00563472">
        <w:fldChar w:fldCharType="begin"/>
      </w:r>
      <w:r w:rsidRPr="00563472">
        <w:instrText xml:space="preserve"> IF </w:instrText>
      </w:r>
      <w:r w:rsidRPr="00563472">
        <w:rPr>
          <w:noProof/>
        </w:rPr>
        <w:fldChar w:fldCharType="begin"/>
      </w:r>
      <w:r w:rsidRPr="00563472">
        <w:rPr>
          <w:noProof/>
        </w:rPr>
        <w:instrText xml:space="preserve"> STYLEREF "Heading 1" \l \n </w:instrText>
      </w:r>
      <w:r w:rsidRPr="00563472">
        <w:rPr>
          <w:noProof/>
        </w:rPr>
        <w:fldChar w:fldCharType="separate"/>
      </w:r>
      <w:r w:rsidR="00B833F1">
        <w:rPr>
          <w:noProof/>
        </w:rPr>
        <w:instrText>8</w:instrText>
      </w:r>
      <w:r w:rsidRPr="00563472">
        <w:rPr>
          <w:noProof/>
        </w:rPr>
        <w:fldChar w:fldCharType="end"/>
      </w:r>
      <w:r w:rsidRPr="00563472">
        <w:instrText xml:space="preserve"> = 0 "" "1" </w:instrText>
      </w:r>
      <w:r w:rsidRPr="00563472">
        <w:fldChar w:fldCharType="separate"/>
      </w:r>
      <w:r w:rsidR="00EA42ED" w:rsidRPr="00563472">
        <w:rPr>
          <w:noProof/>
        </w:rPr>
        <w:instrText>1</w:instrText>
      </w:r>
      <w:r w:rsidRPr="00563472">
        <w:fldChar w:fldCharType="end"/>
      </w:r>
      <w:r w:rsidRPr="00563472">
        <w:instrText xml:space="preserve">" "6" </w:instrText>
      </w:r>
      <w:r w:rsidRPr="00563472">
        <w:fldChar w:fldCharType="separate"/>
      </w:r>
      <w:r w:rsidR="00EA42ED" w:rsidRPr="00563472">
        <w:rPr>
          <w:noProof/>
        </w:rPr>
        <w:instrText>1</w:instrText>
      </w:r>
      <w:r w:rsidRPr="00563472">
        <w:fldChar w:fldCharType="end"/>
      </w:r>
      <w:r w:rsidRPr="00563472">
        <w:instrText xml:space="preserve"> </w:instrText>
      </w:r>
      <w:r w:rsidRPr="00563472">
        <w:fldChar w:fldCharType="separate"/>
      </w:r>
      <w:r w:rsidR="00B833F1">
        <w:rPr>
          <w:noProof/>
        </w:rPr>
        <w:instrText>7</w:instrText>
      </w:r>
      <w:r w:rsidRPr="00563472">
        <w:fldChar w:fldCharType="end"/>
      </w:r>
      <w:r w:rsidRPr="00563472">
        <w:instrText xml:space="preserve">" "" </w:instrText>
      </w:r>
      <w:r w:rsidRPr="00563472">
        <w:fldChar w:fldCharType="separate"/>
      </w:r>
      <w:bookmarkStart w:id="3598" w:name="_Caption2907"/>
      <w:bookmarkStart w:id="3599" w:name="_Caption8494"/>
      <w:bookmarkStart w:id="3600" w:name="_Caption2035"/>
      <w:bookmarkStart w:id="3601" w:name="_Caption5222"/>
      <w:bookmarkStart w:id="3602" w:name="_Caption1332"/>
      <w:bookmarkStart w:id="3603" w:name="_Caption4905"/>
      <w:bookmarkStart w:id="3604" w:name="_Caption1257"/>
      <w:bookmarkStart w:id="3605" w:name="_Caption9424"/>
      <w:bookmarkStart w:id="3606" w:name="_Caption6670"/>
      <w:bookmarkStart w:id="3607" w:name="_Caption8035"/>
      <w:bookmarkStart w:id="3608" w:name="_Caption3250"/>
      <w:bookmarkStart w:id="3609" w:name="_Caption4734"/>
      <w:bookmarkStart w:id="3610" w:name="_Caption4982"/>
      <w:bookmarkStart w:id="3611" w:name="_Caption5142"/>
      <w:bookmarkStart w:id="3612" w:name="_Caption8919"/>
      <w:bookmarkStart w:id="3613" w:name="_Caption6091"/>
      <w:bookmarkStart w:id="3614" w:name="_Caption4033"/>
      <w:bookmarkStart w:id="3615" w:name="_Caption1855"/>
      <w:bookmarkStart w:id="3616" w:name="_Caption8454"/>
      <w:bookmarkStart w:id="3617" w:name="_Caption2060"/>
      <w:bookmarkStart w:id="3618" w:name="_Caption3130"/>
      <w:bookmarkStart w:id="3619" w:name="_Caption1500"/>
      <w:bookmarkStart w:id="3620" w:name="_Caption9493"/>
      <w:bookmarkStart w:id="3621" w:name="_Caption4911"/>
      <w:bookmarkStart w:id="3622" w:name="_Caption0690"/>
      <w:bookmarkStart w:id="3623" w:name="_Caption3186"/>
      <w:bookmarkStart w:id="3624" w:name="_Caption9743"/>
      <w:bookmarkStart w:id="3625" w:name="_Caption7303"/>
      <w:bookmarkStart w:id="3626" w:name="_Caption5335"/>
      <w:bookmarkStart w:id="3627" w:name="_Caption6323"/>
      <w:bookmarkStart w:id="3628" w:name="_Caption8164"/>
      <w:bookmarkStart w:id="3629" w:name="_Caption6770"/>
      <w:bookmarkStart w:id="3630" w:name="_Caption5706"/>
      <w:bookmarkStart w:id="3631" w:name="_Caption4731"/>
      <w:bookmarkStart w:id="3632" w:name="_Caption0473"/>
      <w:bookmarkStart w:id="3633" w:name="_Caption2684"/>
      <w:bookmarkStart w:id="3634" w:name="_Caption9236"/>
      <w:bookmarkStart w:id="3635" w:name="_Caption6018"/>
      <w:bookmarkStart w:id="3636" w:name="_Caption5734"/>
      <w:bookmarkStart w:id="3637" w:name="_Caption7019"/>
      <w:bookmarkStart w:id="3638" w:name="_Caption9805"/>
      <w:bookmarkStart w:id="3639" w:name="_Caption6067"/>
      <w:bookmarkStart w:id="3640" w:name="_Caption4201"/>
      <w:bookmarkStart w:id="3641" w:name="_Caption7820"/>
      <w:bookmarkStart w:id="3642" w:name="_Caption5331"/>
      <w:bookmarkStart w:id="3643" w:name="_Caption7576"/>
      <w:bookmarkStart w:id="3644" w:name="_Caption1327"/>
      <w:bookmarkStart w:id="3645" w:name="_Caption1094"/>
      <w:bookmarkStart w:id="3646" w:name="_Caption7678"/>
      <w:bookmarkStart w:id="3647" w:name="_Caption2062"/>
      <w:bookmarkStart w:id="3648" w:name="_Caption3012"/>
      <w:bookmarkStart w:id="3649" w:name="_Caption3650"/>
      <w:bookmarkStart w:id="3650" w:name="_Caption6647"/>
      <w:bookmarkStart w:id="3651" w:name="_Caption8533"/>
      <w:bookmarkStart w:id="3652" w:name="_Caption9541"/>
      <w:bookmarkStart w:id="3653" w:name="_Caption7581"/>
      <w:bookmarkStart w:id="3654" w:name="_Caption0801"/>
      <w:bookmarkStart w:id="3655" w:name="_Caption9097"/>
      <w:bookmarkStart w:id="3656" w:name="_Caption5348"/>
      <w:bookmarkStart w:id="3657" w:name="_Caption7882"/>
      <w:bookmarkStart w:id="3658" w:name="_Caption3305"/>
      <w:bookmarkStart w:id="3659" w:name="_Caption6029"/>
      <w:bookmarkStart w:id="3660" w:name="_Caption8668"/>
      <w:bookmarkStart w:id="3661" w:name="_Caption4896"/>
      <w:bookmarkStart w:id="3662" w:name="_Caption4013"/>
      <w:bookmarkStart w:id="3663" w:name="_Caption7800"/>
      <w:bookmarkStart w:id="3664" w:name="_Caption3328"/>
      <w:bookmarkStart w:id="3665" w:name="_Toc529869946"/>
      <w:bookmarkStart w:id="3666" w:name="_Toc530748442"/>
      <w:r w:rsidR="00EA42ED">
        <w:rPr>
          <w:noProof/>
        </w:rPr>
        <w:t>8</w:t>
      </w:r>
      <w:r w:rsidR="00EA42ED" w:rsidRPr="00563472">
        <w:rPr>
          <w:noProof/>
        </w:rPr>
        <w:t>.</w:t>
      </w:r>
      <w:r w:rsidR="00EA42ED">
        <w:rPr>
          <w:noProof/>
        </w:rPr>
        <w:t>7</w:t>
      </w:r>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r w:rsidRPr="00563472">
        <w:fldChar w:fldCharType="end"/>
      </w:r>
      <w:r w:rsidRPr="00563472">
        <w:tab/>
        <w:t>Building</w:t>
      </w:r>
      <w:r w:rsidRPr="00563472">
        <w:noBreakHyphen/>
        <w:t>level net impacts — Australian Capital Territory</w:t>
      </w:r>
      <w:bookmarkEnd w:id="3665"/>
      <w:bookmarkEnd w:id="3666"/>
    </w:p>
    <w:tbl>
      <w:tblPr>
        <w:tblW w:w="7937" w:type="dxa"/>
        <w:tblLayout w:type="fixed"/>
        <w:tblLook w:val="0000" w:firstRow="0" w:lastRow="0" w:firstColumn="0" w:lastColumn="0" w:noHBand="0" w:noVBand="0"/>
        <w:tblCaption w:val="Table 8.7: Building-level net impacts - ACT"/>
        <w:tblDescription w:val="This table outlines the building level net impacts of the proposed changes to NCC 2019 by building classiciation and climate zone for Australian Capital Territory."/>
      </w:tblPr>
      <w:tblGrid>
        <w:gridCol w:w="2456"/>
        <w:gridCol w:w="783"/>
        <w:gridCol w:w="783"/>
        <w:gridCol w:w="783"/>
        <w:gridCol w:w="783"/>
        <w:gridCol w:w="783"/>
        <w:gridCol w:w="783"/>
        <w:gridCol w:w="783"/>
      </w:tblGrid>
      <w:tr w:rsidR="00612FD3" w:rsidRPr="00C661AF" w:rsidTr="00301B6D">
        <w:trPr>
          <w:trHeight w:val="230"/>
          <w:tblHeader/>
        </w:trPr>
        <w:tc>
          <w:tcPr>
            <w:tcW w:w="2456" w:type="dxa"/>
            <w:shd w:val="clear" w:color="auto" w:fill="6F6652"/>
            <w:tcMar>
              <w:left w:w="57" w:type="dxa"/>
              <w:right w:w="57" w:type="dxa"/>
            </w:tcMar>
          </w:tcPr>
          <w:p w:rsidR="00612FD3" w:rsidRPr="00C661AF" w:rsidRDefault="00612FD3" w:rsidP="00301B6D">
            <w:pPr>
              <w:pStyle w:val="TableDataColumnHeading"/>
              <w:jc w:val="left"/>
              <w:rPr>
                <w:lang w:val="en-GB"/>
              </w:rPr>
            </w:pPr>
          </w:p>
        </w:tc>
        <w:tc>
          <w:tcPr>
            <w:tcW w:w="783" w:type="dxa"/>
            <w:shd w:val="clear" w:color="auto" w:fill="6F6652"/>
            <w:tcMar>
              <w:left w:w="57" w:type="dxa"/>
              <w:right w:w="57" w:type="dxa"/>
            </w:tcMar>
          </w:tcPr>
          <w:p w:rsidR="00612FD3" w:rsidRPr="00C661AF" w:rsidRDefault="00612FD3" w:rsidP="00301B6D">
            <w:pPr>
              <w:pStyle w:val="TableDataColumnHeading"/>
              <w:rPr>
                <w:bCs/>
                <w:lang w:val="en-GB"/>
              </w:rPr>
            </w:pPr>
            <w:r w:rsidRPr="00C661AF">
              <w:rPr>
                <w:bCs/>
                <w:lang w:val="en-GB"/>
              </w:rPr>
              <w:t>CZ1</w:t>
            </w:r>
          </w:p>
        </w:tc>
        <w:tc>
          <w:tcPr>
            <w:tcW w:w="783" w:type="dxa"/>
            <w:shd w:val="clear" w:color="auto" w:fill="6F6652"/>
            <w:tcMar>
              <w:left w:w="57" w:type="dxa"/>
              <w:right w:w="57" w:type="dxa"/>
            </w:tcMar>
          </w:tcPr>
          <w:p w:rsidR="00612FD3" w:rsidRPr="00C661AF" w:rsidRDefault="00612FD3" w:rsidP="00301B6D">
            <w:pPr>
              <w:pStyle w:val="TableDataColumnHeading"/>
              <w:rPr>
                <w:bCs/>
                <w:lang w:val="en-GB"/>
              </w:rPr>
            </w:pPr>
            <w:r w:rsidRPr="00C661AF">
              <w:rPr>
                <w:bCs/>
                <w:lang w:val="en-GB"/>
              </w:rPr>
              <w:t>CZ2</w:t>
            </w:r>
          </w:p>
        </w:tc>
        <w:tc>
          <w:tcPr>
            <w:tcW w:w="783" w:type="dxa"/>
            <w:shd w:val="clear" w:color="auto" w:fill="6F6652"/>
            <w:tcMar>
              <w:left w:w="57" w:type="dxa"/>
              <w:right w:w="57" w:type="dxa"/>
            </w:tcMar>
          </w:tcPr>
          <w:p w:rsidR="00612FD3" w:rsidRPr="00C661AF" w:rsidRDefault="00612FD3" w:rsidP="00301B6D">
            <w:pPr>
              <w:pStyle w:val="TableDataColumnHeading"/>
              <w:rPr>
                <w:bCs/>
                <w:lang w:val="en-GB"/>
              </w:rPr>
            </w:pPr>
            <w:r w:rsidRPr="00C661AF">
              <w:rPr>
                <w:bCs/>
                <w:lang w:val="en-GB"/>
              </w:rPr>
              <w:t>CZ3</w:t>
            </w:r>
          </w:p>
        </w:tc>
        <w:tc>
          <w:tcPr>
            <w:tcW w:w="783" w:type="dxa"/>
            <w:shd w:val="clear" w:color="auto" w:fill="6F6652"/>
            <w:tcMar>
              <w:left w:w="57" w:type="dxa"/>
              <w:right w:w="57" w:type="dxa"/>
            </w:tcMar>
          </w:tcPr>
          <w:p w:rsidR="00612FD3" w:rsidRPr="00C661AF" w:rsidRDefault="00612FD3" w:rsidP="00301B6D">
            <w:pPr>
              <w:pStyle w:val="TableDataColumnHeading"/>
              <w:rPr>
                <w:bCs/>
                <w:lang w:val="en-GB"/>
              </w:rPr>
            </w:pPr>
            <w:r w:rsidRPr="00C661AF">
              <w:rPr>
                <w:bCs/>
                <w:lang w:val="en-GB"/>
              </w:rPr>
              <w:t>CZ4</w:t>
            </w:r>
          </w:p>
        </w:tc>
        <w:tc>
          <w:tcPr>
            <w:tcW w:w="783" w:type="dxa"/>
            <w:shd w:val="clear" w:color="auto" w:fill="6F6652"/>
            <w:tcMar>
              <w:left w:w="57" w:type="dxa"/>
              <w:right w:w="57" w:type="dxa"/>
            </w:tcMar>
          </w:tcPr>
          <w:p w:rsidR="00612FD3" w:rsidRPr="00C661AF" w:rsidRDefault="00612FD3" w:rsidP="00301B6D">
            <w:pPr>
              <w:pStyle w:val="TableDataColumnHeading"/>
              <w:rPr>
                <w:bCs/>
                <w:lang w:val="en-GB"/>
              </w:rPr>
            </w:pPr>
            <w:r w:rsidRPr="00C661AF">
              <w:rPr>
                <w:bCs/>
                <w:lang w:val="en-GB"/>
              </w:rPr>
              <w:t>CZ5</w:t>
            </w:r>
          </w:p>
        </w:tc>
        <w:tc>
          <w:tcPr>
            <w:tcW w:w="783" w:type="dxa"/>
            <w:shd w:val="clear" w:color="auto" w:fill="6F6652"/>
            <w:tcMar>
              <w:left w:w="57" w:type="dxa"/>
              <w:right w:w="57" w:type="dxa"/>
            </w:tcMar>
          </w:tcPr>
          <w:p w:rsidR="00612FD3" w:rsidRPr="00C661AF" w:rsidRDefault="00612FD3" w:rsidP="00301B6D">
            <w:pPr>
              <w:pStyle w:val="TableDataColumnHeading"/>
              <w:rPr>
                <w:bCs/>
                <w:lang w:val="en-GB"/>
              </w:rPr>
            </w:pPr>
            <w:r w:rsidRPr="00C661AF">
              <w:rPr>
                <w:bCs/>
                <w:lang w:val="en-GB"/>
              </w:rPr>
              <w:t>CZ6</w:t>
            </w:r>
          </w:p>
        </w:tc>
        <w:tc>
          <w:tcPr>
            <w:tcW w:w="783" w:type="dxa"/>
            <w:shd w:val="clear" w:color="auto" w:fill="6F6652"/>
            <w:tcMar>
              <w:left w:w="57" w:type="dxa"/>
              <w:right w:w="57" w:type="dxa"/>
            </w:tcMar>
          </w:tcPr>
          <w:p w:rsidR="00612FD3" w:rsidRPr="00C661AF" w:rsidRDefault="00612FD3" w:rsidP="00301B6D">
            <w:pPr>
              <w:pStyle w:val="TableDataColumnHeading"/>
              <w:rPr>
                <w:bCs/>
                <w:lang w:val="en-GB"/>
              </w:rPr>
            </w:pPr>
            <w:r w:rsidRPr="00C661AF">
              <w:rPr>
                <w:bCs/>
                <w:lang w:val="en-GB"/>
              </w:rPr>
              <w:t>CZ7</w:t>
            </w:r>
          </w:p>
        </w:tc>
      </w:tr>
      <w:tr w:rsidR="00612FD3" w:rsidTr="00301B6D">
        <w:trPr>
          <w:trHeight w:val="230"/>
          <w:tblHeader/>
        </w:trPr>
        <w:tc>
          <w:tcPr>
            <w:tcW w:w="2456"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jc w:val="left"/>
              <w:rPr>
                <w:lang w:val="en-GB"/>
              </w:rPr>
            </w:pP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D742B2">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D742B2">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D742B2">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D742B2">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D742B2">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D742B2">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D742B2">
              <w:rPr>
                <w:vertAlign w:val="superscript"/>
                <w:lang w:val="en-GB"/>
              </w:rPr>
              <w:t>2</w:t>
            </w:r>
          </w:p>
        </w:tc>
      </w:tr>
      <w:tr w:rsidR="00612FD3" w:rsidTr="00301B6D">
        <w:trPr>
          <w:trHeight w:val="230"/>
        </w:trPr>
        <w:tc>
          <w:tcPr>
            <w:tcW w:w="245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r>
              <w:rPr>
                <w:lang w:val="en-GB"/>
              </w:rPr>
              <w:t>Low scenario</w:t>
            </w: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r>
      <w:tr w:rsidR="00F03986"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F03986" w:rsidRDefault="00F03986" w:rsidP="00F03986">
            <w:pPr>
              <w:pStyle w:val="TableDataEntries"/>
              <w:jc w:val="left"/>
              <w:rPr>
                <w:lang w:val="en-GB"/>
              </w:rPr>
            </w:pPr>
            <w:r>
              <w:rPr>
                <w:lang w:val="en-GB"/>
              </w:rPr>
              <w:t>Hotel</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xml:space="preserve"> 42.57</w:t>
            </w:r>
          </w:p>
        </w:tc>
      </w:tr>
      <w:tr w:rsidR="00F03986"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F03986" w:rsidRDefault="00F03986" w:rsidP="00F03986">
            <w:pPr>
              <w:pStyle w:val="TableDataEntries"/>
              <w:jc w:val="left"/>
              <w:rPr>
                <w:lang w:val="en-GB"/>
              </w:rPr>
            </w:pPr>
            <w:r>
              <w:rPr>
                <w:lang w:val="en-GB"/>
              </w:rPr>
              <w:t>Office building</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xml:space="preserve"> 5.97</w:t>
            </w:r>
          </w:p>
        </w:tc>
      </w:tr>
      <w:tr w:rsidR="00F03986"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F03986" w:rsidRDefault="00F03986" w:rsidP="00F03986">
            <w:pPr>
              <w:pStyle w:val="TableDataEntries"/>
              <w:jc w:val="left"/>
              <w:rPr>
                <w:lang w:val="en-GB"/>
              </w:rPr>
            </w:pPr>
            <w:r>
              <w:rPr>
                <w:lang w:val="en-GB"/>
              </w:rPr>
              <w:t>Retail</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- 15.84</w:t>
            </w:r>
          </w:p>
        </w:tc>
      </w:tr>
      <w:tr w:rsidR="00F03986"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F03986" w:rsidRDefault="00F03986" w:rsidP="00F03986">
            <w:pPr>
              <w:pStyle w:val="TableDataEntries"/>
              <w:jc w:val="left"/>
              <w:rPr>
                <w:lang w:val="en-GB"/>
              </w:rPr>
            </w:pPr>
            <w:r>
              <w:rPr>
                <w:lang w:val="en-GB"/>
              </w:rPr>
              <w:t>Healthcare</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- 20.05</w:t>
            </w:r>
          </w:p>
        </w:tc>
      </w:tr>
      <w:tr w:rsidR="00F03986"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F03986" w:rsidRDefault="00F03986" w:rsidP="00F03986">
            <w:pPr>
              <w:pStyle w:val="TableDataEntries"/>
              <w:jc w:val="left"/>
              <w:rPr>
                <w:lang w:val="en-GB"/>
              </w:rPr>
            </w:pPr>
            <w:r>
              <w:rPr>
                <w:lang w:val="en-GB"/>
              </w:rPr>
              <w:t>School</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xml:space="preserve"> 33.00</w:t>
            </w:r>
          </w:p>
        </w:tc>
      </w:tr>
      <w:tr w:rsidR="00612FD3" w:rsidTr="00301B6D">
        <w:trPr>
          <w:trHeight w:val="230"/>
        </w:trPr>
        <w:tc>
          <w:tcPr>
            <w:tcW w:w="245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r>
              <w:rPr>
                <w:lang w:val="en-GB"/>
              </w:rPr>
              <w:t>Medium scenario</w:t>
            </w: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Pr="00563472" w:rsidRDefault="00612FD3" w:rsidP="00563472">
            <w:pPr>
              <w:pStyle w:val="TableDataEntries"/>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Pr="00563472" w:rsidRDefault="00612FD3" w:rsidP="00563472">
            <w:pPr>
              <w:pStyle w:val="TableDataEntries"/>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Pr="00563472" w:rsidRDefault="00612FD3" w:rsidP="00563472">
            <w:pPr>
              <w:pStyle w:val="TableDataEntries"/>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Pr="00563472" w:rsidRDefault="00612FD3" w:rsidP="00563472">
            <w:pPr>
              <w:pStyle w:val="TableDataEntries"/>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Pr="00563472" w:rsidRDefault="00612FD3" w:rsidP="00563472">
            <w:pPr>
              <w:pStyle w:val="TableDataEntries"/>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Pr="00563472" w:rsidRDefault="00612FD3" w:rsidP="00563472">
            <w:pPr>
              <w:pStyle w:val="TableDataEntries"/>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Pr="00563472" w:rsidRDefault="00612FD3" w:rsidP="00563472">
            <w:pPr>
              <w:pStyle w:val="TableDataEntries"/>
            </w:pPr>
          </w:p>
        </w:tc>
      </w:tr>
      <w:tr w:rsidR="00563472"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563472" w:rsidRDefault="00563472" w:rsidP="00563472">
            <w:pPr>
              <w:pStyle w:val="TableDataEntries"/>
              <w:jc w:val="left"/>
              <w:rPr>
                <w:lang w:val="en-GB"/>
              </w:rPr>
            </w:pPr>
            <w:r>
              <w:rPr>
                <w:lang w:val="en-GB"/>
              </w:rPr>
              <w:t>Hotel</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57.53</w:t>
            </w:r>
          </w:p>
        </w:tc>
      </w:tr>
      <w:tr w:rsidR="00563472"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563472" w:rsidRDefault="00563472" w:rsidP="00563472">
            <w:pPr>
              <w:pStyle w:val="TableDataEntries"/>
              <w:jc w:val="left"/>
              <w:rPr>
                <w:lang w:val="en-GB"/>
              </w:rPr>
            </w:pPr>
            <w:r>
              <w:rPr>
                <w:lang w:val="en-GB"/>
              </w:rPr>
              <w:t>Office building</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9.82</w:t>
            </w:r>
          </w:p>
        </w:tc>
      </w:tr>
      <w:tr w:rsidR="00563472"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563472" w:rsidRDefault="00563472" w:rsidP="00563472">
            <w:pPr>
              <w:pStyle w:val="TableDataEntries"/>
              <w:jc w:val="left"/>
              <w:rPr>
                <w:lang w:val="en-GB"/>
              </w:rPr>
            </w:pPr>
            <w:r>
              <w:rPr>
                <w:lang w:val="en-GB"/>
              </w:rPr>
              <w:t>Retail</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- 15.45</w:t>
            </w:r>
          </w:p>
        </w:tc>
      </w:tr>
      <w:tr w:rsidR="00563472"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563472" w:rsidRDefault="00563472" w:rsidP="00563472">
            <w:pPr>
              <w:pStyle w:val="TableDataEntries"/>
              <w:jc w:val="left"/>
              <w:rPr>
                <w:lang w:val="en-GB"/>
              </w:rPr>
            </w:pPr>
            <w:r>
              <w:rPr>
                <w:lang w:val="en-GB"/>
              </w:rPr>
              <w:t>Healthcare</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- 15.91</w:t>
            </w:r>
          </w:p>
        </w:tc>
      </w:tr>
      <w:tr w:rsidR="00563472"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563472" w:rsidRDefault="00563472" w:rsidP="00563472">
            <w:pPr>
              <w:pStyle w:val="TableDataEntries"/>
              <w:jc w:val="left"/>
              <w:rPr>
                <w:lang w:val="en-GB"/>
              </w:rPr>
            </w:pPr>
            <w:r>
              <w:rPr>
                <w:lang w:val="en-GB"/>
              </w:rPr>
              <w:t>School</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53.86</w:t>
            </w:r>
          </w:p>
        </w:tc>
      </w:tr>
      <w:tr w:rsidR="00612FD3" w:rsidTr="00301B6D">
        <w:trPr>
          <w:trHeight w:val="230"/>
        </w:trPr>
        <w:tc>
          <w:tcPr>
            <w:tcW w:w="245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r>
              <w:rPr>
                <w:lang w:val="en-GB"/>
              </w:rPr>
              <w:t>High scenario</w:t>
            </w: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Pr="00563472" w:rsidRDefault="00612FD3" w:rsidP="00563472">
            <w:pPr>
              <w:pStyle w:val="TableDataEntries"/>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Pr="00563472" w:rsidRDefault="00612FD3" w:rsidP="00563472">
            <w:pPr>
              <w:pStyle w:val="TableDataEntries"/>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Pr="00563472" w:rsidRDefault="00612FD3" w:rsidP="00563472">
            <w:pPr>
              <w:pStyle w:val="TableDataEntries"/>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Pr="00563472" w:rsidRDefault="00612FD3" w:rsidP="00563472">
            <w:pPr>
              <w:pStyle w:val="TableDataEntries"/>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Pr="00563472" w:rsidRDefault="00612FD3" w:rsidP="00563472">
            <w:pPr>
              <w:pStyle w:val="TableDataEntries"/>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Pr="00563472" w:rsidRDefault="00612FD3" w:rsidP="00563472">
            <w:pPr>
              <w:pStyle w:val="TableDataEntries"/>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Pr="00563472" w:rsidRDefault="00612FD3" w:rsidP="00563472">
            <w:pPr>
              <w:pStyle w:val="TableDataEntries"/>
            </w:pPr>
          </w:p>
        </w:tc>
      </w:tr>
      <w:tr w:rsidR="00563472"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563472" w:rsidRDefault="00563472" w:rsidP="00563472">
            <w:pPr>
              <w:pStyle w:val="TableDataEntries"/>
              <w:jc w:val="left"/>
              <w:rPr>
                <w:lang w:val="en-GB"/>
              </w:rPr>
            </w:pPr>
            <w:r>
              <w:rPr>
                <w:lang w:val="en-GB"/>
              </w:rPr>
              <w:t>Hotel</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72.49</w:t>
            </w:r>
          </w:p>
        </w:tc>
      </w:tr>
      <w:tr w:rsidR="00563472"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563472" w:rsidRDefault="00563472" w:rsidP="00563472">
            <w:pPr>
              <w:pStyle w:val="TableDataEntries"/>
              <w:jc w:val="left"/>
              <w:rPr>
                <w:lang w:val="en-GB"/>
              </w:rPr>
            </w:pPr>
            <w:r>
              <w:rPr>
                <w:lang w:val="en-GB"/>
              </w:rPr>
              <w:t>Office building</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13.67</w:t>
            </w:r>
          </w:p>
        </w:tc>
      </w:tr>
      <w:tr w:rsidR="00563472"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563472" w:rsidRDefault="00563472" w:rsidP="00563472">
            <w:pPr>
              <w:pStyle w:val="TableDataEntries"/>
              <w:jc w:val="left"/>
              <w:rPr>
                <w:lang w:val="en-GB"/>
              </w:rPr>
            </w:pPr>
            <w:r>
              <w:rPr>
                <w:lang w:val="en-GB"/>
              </w:rPr>
              <w:t>Retail</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- 15.07</w:t>
            </w:r>
          </w:p>
        </w:tc>
      </w:tr>
      <w:tr w:rsidR="00563472"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563472" w:rsidRDefault="00563472" w:rsidP="00563472">
            <w:pPr>
              <w:pStyle w:val="TableDataEntries"/>
              <w:jc w:val="left"/>
              <w:rPr>
                <w:lang w:val="en-GB"/>
              </w:rPr>
            </w:pPr>
            <w:r>
              <w:rPr>
                <w:lang w:val="en-GB"/>
              </w:rPr>
              <w:t>Healthcare</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- 11.77</w:t>
            </w:r>
          </w:p>
        </w:tc>
      </w:tr>
      <w:tr w:rsidR="00563472" w:rsidTr="00301B6D">
        <w:trPr>
          <w:trHeight w:val="230"/>
        </w:trPr>
        <w:tc>
          <w:tcPr>
            <w:tcW w:w="2456" w:type="dxa"/>
            <w:tcBorders>
              <w:top w:val="single" w:sz="8" w:space="0" w:color="FFFFFF" w:themeColor="background1"/>
              <w:bottom w:val="single" w:sz="6" w:space="0" w:color="6F6652"/>
            </w:tcBorders>
            <w:shd w:val="clear" w:color="auto" w:fill="E9E8E5" w:themeFill="background2"/>
            <w:tcMar>
              <w:left w:w="57" w:type="dxa"/>
              <w:right w:w="57" w:type="dxa"/>
            </w:tcMar>
          </w:tcPr>
          <w:p w:rsidR="00563472" w:rsidRDefault="00563472" w:rsidP="00563472">
            <w:pPr>
              <w:pStyle w:val="TableDataEntries"/>
              <w:jc w:val="left"/>
              <w:rPr>
                <w:lang w:val="en-GB"/>
              </w:rPr>
            </w:pPr>
            <w:r>
              <w:rPr>
                <w:lang w:val="en-GB"/>
              </w:rPr>
              <w:t>School</w:t>
            </w:r>
          </w:p>
        </w:tc>
        <w:tc>
          <w:tcPr>
            <w:tcW w:w="783"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74.72</w:t>
            </w:r>
          </w:p>
        </w:tc>
      </w:tr>
    </w:tbl>
    <w:p w:rsidR="00CA6CF4" w:rsidRDefault="00CA6CF4" w:rsidP="00CA6CF4">
      <w:pPr>
        <w:pStyle w:val="Note"/>
        <w:rPr>
          <w:lang w:bidi="fa-IR"/>
        </w:rPr>
      </w:pPr>
      <w:r w:rsidRPr="007B3E1B">
        <w:rPr>
          <w:i/>
          <w:lang w:bidi="fa-IR"/>
        </w:rPr>
        <w:t>Note:</w:t>
      </w:r>
      <w:r>
        <w:rPr>
          <w:lang w:bidi="fa-IR"/>
        </w:rPr>
        <w:t xml:space="preserve"> Net impacts include the private benefits and costs to building owners/tenants and the global benefits from reduced GHG emissions.</w:t>
      </w:r>
    </w:p>
    <w:p w:rsidR="00612FD3" w:rsidRDefault="00612FD3" w:rsidP="00612FD3">
      <w:pPr>
        <w:pStyle w:val="Source"/>
        <w:rPr>
          <w:lang w:bidi="fa-IR"/>
        </w:rPr>
      </w:pPr>
      <w:r w:rsidRPr="00D742B2">
        <w:rPr>
          <w:i/>
          <w:lang w:bidi="fa-IR"/>
        </w:rPr>
        <w:t>Source:</w:t>
      </w:r>
      <w:r>
        <w:rPr>
          <w:lang w:bidi="fa-IR"/>
        </w:rPr>
        <w:t xml:space="preserve"> CIE based on </w:t>
      </w:r>
      <w:r w:rsidR="003F28DD">
        <w:rPr>
          <w:lang w:bidi="fa-IR"/>
        </w:rPr>
        <w:t>EA</w:t>
      </w:r>
      <w:r>
        <w:rPr>
          <w:lang w:bidi="fa-IR"/>
        </w:rPr>
        <w:t xml:space="preserve"> modelling.</w:t>
      </w:r>
    </w:p>
    <w:p w:rsidR="00612FD3" w:rsidRDefault="00612FD3" w:rsidP="0030137D">
      <w:pPr>
        <w:pStyle w:val="Heading4"/>
        <w:rPr>
          <w:lang w:val="en-GB"/>
        </w:rPr>
      </w:pPr>
      <w:r>
        <w:rPr>
          <w:lang w:val="en-GB"/>
        </w:rPr>
        <w:t>Northern Territory</w:t>
      </w:r>
    </w:p>
    <w:p w:rsidR="00612FD3" w:rsidRDefault="00612FD3" w:rsidP="00612FD3">
      <w:pPr>
        <w:pStyle w:val="BodyText"/>
        <w:rPr>
          <w:lang w:val="en-GB"/>
        </w:rPr>
      </w:pPr>
      <w:r>
        <w:rPr>
          <w:lang w:val="en-GB"/>
        </w:rPr>
        <w:t xml:space="preserve">The Northern Territory spans </w:t>
      </w:r>
      <w:r w:rsidR="00E31EE8">
        <w:rPr>
          <w:lang w:val="en-GB"/>
        </w:rPr>
        <w:t>Climate Zone</w:t>
      </w:r>
      <w:r>
        <w:rPr>
          <w:lang w:val="en-GB"/>
        </w:rPr>
        <w:t xml:space="preserve">s 1 and 3. The net benefits from the proposed changes to the NCC tend to be higher in these </w:t>
      </w:r>
      <w:r w:rsidR="00E31EE8">
        <w:rPr>
          <w:lang w:val="en-GB"/>
        </w:rPr>
        <w:t>Climate Zone</w:t>
      </w:r>
      <w:r>
        <w:rPr>
          <w:lang w:val="en-GB"/>
        </w:rPr>
        <w:t>s.</w:t>
      </w:r>
    </w:p>
    <w:p w:rsidR="00612FD3" w:rsidRDefault="00612FD3" w:rsidP="00612FD3">
      <w:pPr>
        <w:pStyle w:val="Caption"/>
      </w:pPr>
      <w:r w:rsidRPr="00563472">
        <w:fldChar w:fldCharType="begin"/>
      </w:r>
      <w:r w:rsidRPr="00563472">
        <w:instrText xml:space="preserve"> IF 1 = 1 "</w:instrText>
      </w:r>
      <w:r w:rsidRPr="00563472">
        <w:fldChar w:fldCharType="begin"/>
      </w:r>
      <w:r w:rsidRPr="00563472">
        <w:instrText xml:space="preserve"> IF </w:instrText>
      </w:r>
      <w:r w:rsidRPr="00563472">
        <w:rPr>
          <w:noProof/>
        </w:rPr>
        <w:fldChar w:fldCharType="begin"/>
      </w:r>
      <w:r w:rsidRPr="00563472">
        <w:rPr>
          <w:noProof/>
        </w:rPr>
        <w:instrText xml:space="preserve"> STYLEREF "Heading 6" \l \n </w:instrText>
      </w:r>
      <w:r w:rsidRPr="00563472">
        <w:rPr>
          <w:noProof/>
        </w:rPr>
        <w:fldChar w:fldCharType="separate"/>
      </w:r>
      <w:r w:rsidR="00B833F1">
        <w:rPr>
          <w:noProof/>
        </w:rPr>
        <w:instrText>0</w:instrText>
      </w:r>
      <w:r w:rsidRPr="00563472">
        <w:rPr>
          <w:noProof/>
        </w:rPr>
        <w:fldChar w:fldCharType="end"/>
      </w:r>
      <w:r w:rsidRPr="00563472">
        <w:instrText xml:space="preserve"> = 0 "</w:instrText>
      </w:r>
      <w:r w:rsidRPr="00563472">
        <w:fldChar w:fldCharType="begin"/>
      </w:r>
      <w:r w:rsidRPr="00563472">
        <w:instrText xml:space="preserve"> IF </w:instrText>
      </w:r>
      <w:r w:rsidRPr="00563472">
        <w:rPr>
          <w:noProof/>
        </w:rPr>
        <w:fldChar w:fldCharType="begin"/>
      </w:r>
      <w:r w:rsidRPr="00563472">
        <w:rPr>
          <w:noProof/>
        </w:rPr>
        <w:instrText xml:space="preserve"> STYLEREF "Heading 1" \l \n </w:instrText>
      </w:r>
      <w:r w:rsidRPr="00563472">
        <w:rPr>
          <w:noProof/>
        </w:rPr>
        <w:fldChar w:fldCharType="separate"/>
      </w:r>
      <w:r w:rsidR="00B833F1">
        <w:rPr>
          <w:noProof/>
        </w:rPr>
        <w:instrText>8</w:instrText>
      </w:r>
      <w:r w:rsidRPr="00563472">
        <w:rPr>
          <w:noProof/>
        </w:rPr>
        <w:fldChar w:fldCharType="end"/>
      </w:r>
      <w:r w:rsidRPr="00563472">
        <w:instrText xml:space="preserve"> = 0 "" "</w:instrText>
      </w:r>
      <w:r w:rsidRPr="00563472">
        <w:rPr>
          <w:noProof/>
        </w:rPr>
        <w:fldChar w:fldCharType="begin"/>
      </w:r>
      <w:r w:rsidRPr="00563472">
        <w:rPr>
          <w:noProof/>
        </w:rPr>
        <w:instrText xml:space="preserve"> STYLEREF "Heading 1" \l \n </w:instrText>
      </w:r>
      <w:r w:rsidRPr="00563472">
        <w:rPr>
          <w:noProof/>
        </w:rPr>
        <w:fldChar w:fldCharType="separate"/>
      </w:r>
      <w:r w:rsidR="00B833F1">
        <w:rPr>
          <w:noProof/>
        </w:rPr>
        <w:instrText>8</w:instrText>
      </w:r>
      <w:r w:rsidRPr="00563472">
        <w:rPr>
          <w:noProof/>
        </w:rPr>
        <w:fldChar w:fldCharType="end"/>
      </w:r>
      <w:r w:rsidRPr="00563472">
        <w:instrText xml:space="preserve">." </w:instrText>
      </w:r>
      <w:r w:rsidRPr="00563472">
        <w:fldChar w:fldCharType="separate"/>
      </w:r>
      <w:r w:rsidR="00B833F1">
        <w:rPr>
          <w:noProof/>
        </w:rPr>
        <w:instrText>8</w:instrText>
      </w:r>
      <w:r w:rsidR="00B833F1" w:rsidRPr="00563472">
        <w:rPr>
          <w:noProof/>
        </w:rPr>
        <w:instrText>.</w:instrText>
      </w:r>
      <w:r w:rsidRPr="00563472">
        <w:fldChar w:fldCharType="end"/>
      </w:r>
      <w:r w:rsidRPr="00563472">
        <w:instrText>" "</w:instrText>
      </w:r>
      <w:r w:rsidR="001F6F43">
        <w:fldChar w:fldCharType="begin"/>
      </w:r>
      <w:r w:rsidR="001F6F43">
        <w:instrText xml:space="preserve"> STYLEREF "Heading 6" \l \n </w:instrText>
      </w:r>
      <w:r w:rsidR="001F6F43">
        <w:fldChar w:fldCharType="separate"/>
      </w:r>
      <w:r w:rsidRPr="00563472">
        <w:instrText>B</w:instrText>
      </w:r>
      <w:r w:rsidR="001F6F43">
        <w:fldChar w:fldCharType="end"/>
      </w:r>
      <w:r w:rsidRPr="00563472">
        <w:instrText xml:space="preserve">." </w:instrText>
      </w:r>
      <w:r w:rsidRPr="00563472">
        <w:fldChar w:fldCharType="separate"/>
      </w:r>
      <w:r w:rsidR="00EA42ED">
        <w:rPr>
          <w:noProof/>
        </w:rPr>
        <w:instrText>8</w:instrText>
      </w:r>
      <w:r w:rsidR="00EA42ED" w:rsidRPr="00563472">
        <w:rPr>
          <w:noProof/>
        </w:rPr>
        <w:instrText>.</w:instrText>
      </w:r>
      <w:r w:rsidRPr="00563472">
        <w:fldChar w:fldCharType="end"/>
      </w:r>
      <w:r w:rsidRPr="00563472">
        <w:fldChar w:fldCharType="begin"/>
      </w:r>
      <w:r w:rsidRPr="00563472">
        <w:instrText xml:space="preserve"> SEQ Item \* ARABIC \s </w:instrText>
      </w:r>
      <w:r w:rsidRPr="00563472">
        <w:fldChar w:fldCharType="begin"/>
      </w:r>
      <w:r w:rsidRPr="00563472">
        <w:instrText xml:space="preserve"> IF </w:instrText>
      </w:r>
      <w:r w:rsidRPr="00563472">
        <w:rPr>
          <w:noProof/>
        </w:rPr>
        <w:fldChar w:fldCharType="begin"/>
      </w:r>
      <w:r w:rsidRPr="00563472">
        <w:rPr>
          <w:noProof/>
        </w:rPr>
        <w:instrText xml:space="preserve"> STYLEREF "Heading 6" \l \n </w:instrText>
      </w:r>
      <w:r w:rsidRPr="00563472">
        <w:rPr>
          <w:noProof/>
        </w:rPr>
        <w:fldChar w:fldCharType="separate"/>
      </w:r>
      <w:r w:rsidR="00B833F1">
        <w:rPr>
          <w:noProof/>
        </w:rPr>
        <w:instrText>0</w:instrText>
      </w:r>
      <w:r w:rsidRPr="00563472">
        <w:rPr>
          <w:noProof/>
        </w:rPr>
        <w:fldChar w:fldCharType="end"/>
      </w:r>
      <w:r w:rsidRPr="00563472">
        <w:instrText xml:space="preserve"> = 0 "</w:instrText>
      </w:r>
      <w:r w:rsidRPr="00563472">
        <w:fldChar w:fldCharType="begin"/>
      </w:r>
      <w:r w:rsidRPr="00563472">
        <w:instrText xml:space="preserve"> IF </w:instrText>
      </w:r>
      <w:r w:rsidRPr="00563472">
        <w:rPr>
          <w:noProof/>
        </w:rPr>
        <w:fldChar w:fldCharType="begin"/>
      </w:r>
      <w:r w:rsidRPr="00563472">
        <w:rPr>
          <w:noProof/>
        </w:rPr>
        <w:instrText xml:space="preserve"> STYLEREF "Heading 1" \l \n </w:instrText>
      </w:r>
      <w:r w:rsidRPr="00563472">
        <w:rPr>
          <w:noProof/>
        </w:rPr>
        <w:fldChar w:fldCharType="separate"/>
      </w:r>
      <w:r w:rsidR="00B833F1">
        <w:rPr>
          <w:noProof/>
        </w:rPr>
        <w:instrText>8</w:instrText>
      </w:r>
      <w:r w:rsidRPr="00563472">
        <w:rPr>
          <w:noProof/>
        </w:rPr>
        <w:fldChar w:fldCharType="end"/>
      </w:r>
      <w:r w:rsidRPr="00563472">
        <w:instrText xml:space="preserve"> = 0 "" "1" </w:instrText>
      </w:r>
      <w:r w:rsidRPr="00563472">
        <w:fldChar w:fldCharType="separate"/>
      </w:r>
      <w:r w:rsidR="00EA42ED" w:rsidRPr="00563472">
        <w:rPr>
          <w:noProof/>
        </w:rPr>
        <w:instrText>1</w:instrText>
      </w:r>
      <w:r w:rsidRPr="00563472">
        <w:fldChar w:fldCharType="end"/>
      </w:r>
      <w:r w:rsidRPr="00563472">
        <w:instrText xml:space="preserve">" "6" </w:instrText>
      </w:r>
      <w:r w:rsidRPr="00563472">
        <w:fldChar w:fldCharType="separate"/>
      </w:r>
      <w:r w:rsidR="00EA42ED" w:rsidRPr="00563472">
        <w:rPr>
          <w:noProof/>
        </w:rPr>
        <w:instrText>1</w:instrText>
      </w:r>
      <w:r w:rsidRPr="00563472">
        <w:fldChar w:fldCharType="end"/>
      </w:r>
      <w:r w:rsidRPr="00563472">
        <w:instrText xml:space="preserve"> </w:instrText>
      </w:r>
      <w:r w:rsidRPr="00563472">
        <w:fldChar w:fldCharType="separate"/>
      </w:r>
      <w:r w:rsidR="00B833F1">
        <w:rPr>
          <w:noProof/>
        </w:rPr>
        <w:instrText>8</w:instrText>
      </w:r>
      <w:r w:rsidRPr="00563472">
        <w:fldChar w:fldCharType="end"/>
      </w:r>
      <w:r w:rsidRPr="00563472">
        <w:instrText xml:space="preserve">" "" </w:instrText>
      </w:r>
      <w:r w:rsidRPr="00563472">
        <w:fldChar w:fldCharType="separate"/>
      </w:r>
      <w:bookmarkStart w:id="3667" w:name="_Caption2682"/>
      <w:bookmarkStart w:id="3668" w:name="_Caption3242"/>
      <w:bookmarkStart w:id="3669" w:name="_Caption9510"/>
      <w:bookmarkStart w:id="3670" w:name="_Caption6922"/>
      <w:bookmarkStart w:id="3671" w:name="_Caption1335"/>
      <w:bookmarkStart w:id="3672" w:name="_Caption0968"/>
      <w:bookmarkStart w:id="3673" w:name="_Caption2863"/>
      <w:bookmarkStart w:id="3674" w:name="_Caption4555"/>
      <w:bookmarkStart w:id="3675" w:name="_Caption6799"/>
      <w:bookmarkStart w:id="3676" w:name="_Caption2224"/>
      <w:bookmarkStart w:id="3677" w:name="_Caption4996"/>
      <w:bookmarkStart w:id="3678" w:name="_Caption4914"/>
      <w:bookmarkStart w:id="3679" w:name="_Caption8189"/>
      <w:bookmarkStart w:id="3680" w:name="_Caption1721"/>
      <w:bookmarkStart w:id="3681" w:name="_Caption9837"/>
      <w:bookmarkStart w:id="3682" w:name="_Caption2659"/>
      <w:bookmarkStart w:id="3683" w:name="_Caption1360"/>
      <w:bookmarkStart w:id="3684" w:name="_Caption2173"/>
      <w:bookmarkStart w:id="3685" w:name="_Caption2837"/>
      <w:bookmarkStart w:id="3686" w:name="_Caption2215"/>
      <w:bookmarkStart w:id="3687" w:name="_Caption3447"/>
      <w:bookmarkStart w:id="3688" w:name="_Caption5028"/>
      <w:bookmarkStart w:id="3689" w:name="_Caption3982"/>
      <w:bookmarkStart w:id="3690" w:name="_Caption1221"/>
      <w:bookmarkStart w:id="3691" w:name="_Caption6594"/>
      <w:bookmarkStart w:id="3692" w:name="_Caption6999"/>
      <w:bookmarkStart w:id="3693" w:name="_Caption1028"/>
      <w:bookmarkStart w:id="3694" w:name="_Caption1035"/>
      <w:bookmarkStart w:id="3695" w:name="_Caption3054"/>
      <w:bookmarkStart w:id="3696" w:name="_Caption8254"/>
      <w:bookmarkStart w:id="3697" w:name="_Caption2323"/>
      <w:bookmarkStart w:id="3698" w:name="_Caption1325"/>
      <w:bookmarkStart w:id="3699" w:name="_Caption7857"/>
      <w:bookmarkStart w:id="3700" w:name="_Caption7043"/>
      <w:bookmarkStart w:id="3701" w:name="_Caption5357"/>
      <w:bookmarkStart w:id="3702" w:name="_Caption1033"/>
      <w:bookmarkStart w:id="3703" w:name="_Caption2073"/>
      <w:bookmarkStart w:id="3704" w:name="_Caption3527"/>
      <w:bookmarkStart w:id="3705" w:name="_Caption9355"/>
      <w:bookmarkStart w:id="3706" w:name="_Caption0209"/>
      <w:bookmarkStart w:id="3707" w:name="_Caption3460"/>
      <w:bookmarkStart w:id="3708" w:name="_Caption0933"/>
      <w:bookmarkStart w:id="3709" w:name="_Caption6660"/>
      <w:bookmarkStart w:id="3710" w:name="_Caption9937"/>
      <w:bookmarkStart w:id="3711" w:name="_Caption4394"/>
      <w:bookmarkStart w:id="3712" w:name="_Caption0509"/>
      <w:bookmarkStart w:id="3713" w:name="_Caption1310"/>
      <w:bookmarkStart w:id="3714" w:name="_Caption2546"/>
      <w:bookmarkStart w:id="3715" w:name="_Caption3107"/>
      <w:bookmarkStart w:id="3716" w:name="_Caption7802"/>
      <w:bookmarkStart w:id="3717" w:name="_Caption6194"/>
      <w:bookmarkStart w:id="3718" w:name="_Caption6578"/>
      <w:bookmarkStart w:id="3719" w:name="_Caption9164"/>
      <w:bookmarkStart w:id="3720" w:name="_Caption3672"/>
      <w:bookmarkStart w:id="3721" w:name="_Caption7483"/>
      <w:bookmarkStart w:id="3722" w:name="_Caption0858"/>
      <w:bookmarkStart w:id="3723" w:name="_Caption4756"/>
      <w:bookmarkStart w:id="3724" w:name="_Caption3035"/>
      <w:bookmarkStart w:id="3725" w:name="_Caption5362"/>
      <w:bookmarkStart w:id="3726" w:name="_Caption0818"/>
      <w:bookmarkStart w:id="3727" w:name="_Caption8735"/>
      <w:bookmarkStart w:id="3728" w:name="_Caption7432"/>
      <w:bookmarkStart w:id="3729" w:name="_Caption4204"/>
      <w:bookmarkStart w:id="3730" w:name="_Caption9890"/>
      <w:bookmarkStart w:id="3731" w:name="_Caption6329"/>
      <w:bookmarkStart w:id="3732" w:name="_Caption7283"/>
      <w:bookmarkStart w:id="3733" w:name="_Caption4200"/>
      <w:bookmarkStart w:id="3734" w:name="_Toc529869947"/>
      <w:bookmarkStart w:id="3735" w:name="_Toc530748443"/>
      <w:r w:rsidR="00EA42ED">
        <w:rPr>
          <w:noProof/>
        </w:rPr>
        <w:t>8</w:t>
      </w:r>
      <w:r w:rsidR="00EA42ED" w:rsidRPr="00563472">
        <w:rPr>
          <w:noProof/>
        </w:rPr>
        <w:t>.</w:t>
      </w:r>
      <w:r w:rsidR="00EA42ED">
        <w:rPr>
          <w:noProof/>
        </w:rPr>
        <w:t>8</w:t>
      </w:r>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r w:rsidRPr="00563472">
        <w:fldChar w:fldCharType="end"/>
      </w:r>
      <w:r w:rsidRPr="00563472">
        <w:tab/>
        <w:t>Building</w:t>
      </w:r>
      <w:r w:rsidRPr="00563472">
        <w:noBreakHyphen/>
        <w:t>level net impacts — Northern Territory</w:t>
      </w:r>
      <w:bookmarkEnd w:id="3734"/>
      <w:bookmarkEnd w:id="3735"/>
    </w:p>
    <w:tbl>
      <w:tblPr>
        <w:tblW w:w="7937" w:type="dxa"/>
        <w:tblLayout w:type="fixed"/>
        <w:tblLook w:val="0000" w:firstRow="0" w:lastRow="0" w:firstColumn="0" w:lastColumn="0" w:noHBand="0" w:noVBand="0"/>
        <w:tblCaption w:val="Table 8.8: Building-level net impacts - NT"/>
        <w:tblDescription w:val="This table outlines the building level net impacts of the proposed changes to NCC 2019 by building classiciation and climate zone for the Northern Territory. "/>
      </w:tblPr>
      <w:tblGrid>
        <w:gridCol w:w="2456"/>
        <w:gridCol w:w="783"/>
        <w:gridCol w:w="783"/>
        <w:gridCol w:w="783"/>
        <w:gridCol w:w="783"/>
        <w:gridCol w:w="783"/>
        <w:gridCol w:w="783"/>
        <w:gridCol w:w="783"/>
      </w:tblGrid>
      <w:tr w:rsidR="00612FD3" w:rsidRPr="00C661AF" w:rsidTr="00C661AF">
        <w:trPr>
          <w:trHeight w:val="230"/>
          <w:tblHeader/>
        </w:trPr>
        <w:tc>
          <w:tcPr>
            <w:tcW w:w="2456" w:type="dxa"/>
            <w:shd w:val="clear" w:color="auto" w:fill="6F6652"/>
            <w:tcMar>
              <w:left w:w="57" w:type="dxa"/>
              <w:right w:w="57" w:type="dxa"/>
            </w:tcMar>
          </w:tcPr>
          <w:p w:rsidR="00612FD3" w:rsidRPr="00C661AF" w:rsidRDefault="00612FD3" w:rsidP="00301B6D">
            <w:pPr>
              <w:pStyle w:val="TableDataColumnHeading"/>
              <w:jc w:val="left"/>
              <w:rPr>
                <w:lang w:val="en-GB"/>
              </w:rPr>
            </w:pPr>
          </w:p>
        </w:tc>
        <w:tc>
          <w:tcPr>
            <w:tcW w:w="783" w:type="dxa"/>
            <w:shd w:val="clear" w:color="auto" w:fill="6F6652"/>
            <w:tcMar>
              <w:left w:w="57" w:type="dxa"/>
              <w:right w:w="57" w:type="dxa"/>
            </w:tcMar>
          </w:tcPr>
          <w:p w:rsidR="00612FD3" w:rsidRPr="00C661AF" w:rsidRDefault="00612FD3" w:rsidP="00301B6D">
            <w:pPr>
              <w:pStyle w:val="TableDataColumnHeading"/>
              <w:rPr>
                <w:bCs/>
                <w:lang w:val="en-GB"/>
              </w:rPr>
            </w:pPr>
            <w:r w:rsidRPr="00C661AF">
              <w:rPr>
                <w:bCs/>
                <w:lang w:val="en-GB"/>
              </w:rPr>
              <w:t>CZ1</w:t>
            </w:r>
          </w:p>
        </w:tc>
        <w:tc>
          <w:tcPr>
            <w:tcW w:w="783" w:type="dxa"/>
            <w:shd w:val="clear" w:color="auto" w:fill="6F6652"/>
            <w:tcMar>
              <w:left w:w="57" w:type="dxa"/>
              <w:right w:w="57" w:type="dxa"/>
            </w:tcMar>
          </w:tcPr>
          <w:p w:rsidR="00612FD3" w:rsidRPr="00C661AF" w:rsidRDefault="00612FD3" w:rsidP="00301B6D">
            <w:pPr>
              <w:pStyle w:val="TableDataColumnHeading"/>
              <w:rPr>
                <w:bCs/>
                <w:lang w:val="en-GB"/>
              </w:rPr>
            </w:pPr>
            <w:r w:rsidRPr="00C661AF">
              <w:rPr>
                <w:bCs/>
                <w:lang w:val="en-GB"/>
              </w:rPr>
              <w:t>CZ2</w:t>
            </w:r>
          </w:p>
        </w:tc>
        <w:tc>
          <w:tcPr>
            <w:tcW w:w="783" w:type="dxa"/>
            <w:shd w:val="clear" w:color="auto" w:fill="6F6652"/>
            <w:tcMar>
              <w:left w:w="57" w:type="dxa"/>
              <w:right w:w="57" w:type="dxa"/>
            </w:tcMar>
          </w:tcPr>
          <w:p w:rsidR="00612FD3" w:rsidRPr="00C661AF" w:rsidRDefault="00612FD3" w:rsidP="00301B6D">
            <w:pPr>
              <w:pStyle w:val="TableDataColumnHeading"/>
              <w:rPr>
                <w:bCs/>
                <w:lang w:val="en-GB"/>
              </w:rPr>
            </w:pPr>
            <w:r w:rsidRPr="00C661AF">
              <w:rPr>
                <w:bCs/>
                <w:lang w:val="en-GB"/>
              </w:rPr>
              <w:t>CZ3</w:t>
            </w:r>
          </w:p>
        </w:tc>
        <w:tc>
          <w:tcPr>
            <w:tcW w:w="783" w:type="dxa"/>
            <w:shd w:val="clear" w:color="auto" w:fill="6F6652"/>
            <w:tcMar>
              <w:left w:w="57" w:type="dxa"/>
              <w:right w:w="57" w:type="dxa"/>
            </w:tcMar>
          </w:tcPr>
          <w:p w:rsidR="00612FD3" w:rsidRPr="00C661AF" w:rsidRDefault="00612FD3" w:rsidP="00301B6D">
            <w:pPr>
              <w:pStyle w:val="TableDataColumnHeading"/>
              <w:rPr>
                <w:bCs/>
                <w:lang w:val="en-GB"/>
              </w:rPr>
            </w:pPr>
            <w:r w:rsidRPr="00C661AF">
              <w:rPr>
                <w:bCs/>
                <w:lang w:val="en-GB"/>
              </w:rPr>
              <w:t>CZ4</w:t>
            </w:r>
          </w:p>
        </w:tc>
        <w:tc>
          <w:tcPr>
            <w:tcW w:w="783" w:type="dxa"/>
            <w:shd w:val="clear" w:color="auto" w:fill="6F6652"/>
            <w:tcMar>
              <w:left w:w="57" w:type="dxa"/>
              <w:right w:w="57" w:type="dxa"/>
            </w:tcMar>
          </w:tcPr>
          <w:p w:rsidR="00612FD3" w:rsidRPr="00C661AF" w:rsidRDefault="00612FD3" w:rsidP="00301B6D">
            <w:pPr>
              <w:pStyle w:val="TableDataColumnHeading"/>
              <w:rPr>
                <w:bCs/>
                <w:lang w:val="en-GB"/>
              </w:rPr>
            </w:pPr>
            <w:r w:rsidRPr="00C661AF">
              <w:rPr>
                <w:bCs/>
                <w:lang w:val="en-GB"/>
              </w:rPr>
              <w:t>CZ5</w:t>
            </w:r>
          </w:p>
        </w:tc>
        <w:tc>
          <w:tcPr>
            <w:tcW w:w="783" w:type="dxa"/>
            <w:shd w:val="clear" w:color="auto" w:fill="6F6652"/>
            <w:tcMar>
              <w:left w:w="57" w:type="dxa"/>
              <w:right w:w="57" w:type="dxa"/>
            </w:tcMar>
          </w:tcPr>
          <w:p w:rsidR="00612FD3" w:rsidRPr="00C661AF" w:rsidRDefault="00612FD3" w:rsidP="00301B6D">
            <w:pPr>
              <w:pStyle w:val="TableDataColumnHeading"/>
              <w:rPr>
                <w:bCs/>
                <w:lang w:val="en-GB"/>
              </w:rPr>
            </w:pPr>
            <w:r w:rsidRPr="00C661AF">
              <w:rPr>
                <w:bCs/>
                <w:lang w:val="en-GB"/>
              </w:rPr>
              <w:t>CZ6</w:t>
            </w:r>
          </w:p>
        </w:tc>
        <w:tc>
          <w:tcPr>
            <w:tcW w:w="783" w:type="dxa"/>
            <w:shd w:val="clear" w:color="auto" w:fill="6F6652"/>
            <w:tcMar>
              <w:left w:w="57" w:type="dxa"/>
              <w:right w:w="57" w:type="dxa"/>
            </w:tcMar>
          </w:tcPr>
          <w:p w:rsidR="00612FD3" w:rsidRPr="00C661AF" w:rsidRDefault="00612FD3" w:rsidP="00301B6D">
            <w:pPr>
              <w:pStyle w:val="TableDataColumnHeading"/>
              <w:rPr>
                <w:bCs/>
                <w:lang w:val="en-GB"/>
              </w:rPr>
            </w:pPr>
            <w:r w:rsidRPr="00C661AF">
              <w:rPr>
                <w:bCs/>
                <w:lang w:val="en-GB"/>
              </w:rPr>
              <w:t>CZ7</w:t>
            </w:r>
          </w:p>
        </w:tc>
      </w:tr>
      <w:tr w:rsidR="00612FD3" w:rsidTr="00C661AF">
        <w:trPr>
          <w:trHeight w:val="230"/>
          <w:tblHeader/>
        </w:trPr>
        <w:tc>
          <w:tcPr>
            <w:tcW w:w="2456"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jc w:val="left"/>
              <w:rPr>
                <w:lang w:val="en-GB"/>
              </w:rPr>
            </w:pP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D742B2">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D742B2">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D742B2">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D742B2">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D742B2">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D742B2">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D742B2">
              <w:rPr>
                <w:vertAlign w:val="superscript"/>
                <w:lang w:val="en-GB"/>
              </w:rPr>
              <w:t>2</w:t>
            </w:r>
          </w:p>
        </w:tc>
      </w:tr>
      <w:tr w:rsidR="00612FD3" w:rsidTr="00301B6D">
        <w:trPr>
          <w:trHeight w:val="230"/>
        </w:trPr>
        <w:tc>
          <w:tcPr>
            <w:tcW w:w="245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r>
              <w:rPr>
                <w:lang w:val="en-GB"/>
              </w:rPr>
              <w:t>Low scenario</w:t>
            </w: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r>
      <w:tr w:rsidR="00F03986"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F03986" w:rsidRDefault="00F03986" w:rsidP="00F03986">
            <w:pPr>
              <w:pStyle w:val="TableDataEntries"/>
              <w:jc w:val="left"/>
              <w:rPr>
                <w:lang w:val="en-GB"/>
              </w:rPr>
            </w:pPr>
            <w:r>
              <w:rPr>
                <w:lang w:val="en-GB"/>
              </w:rPr>
              <w:t>Hotel</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xml:space="preserve"> 28.90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xml:space="preserve"> 31.37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r>
      <w:tr w:rsidR="00F03986"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F03986" w:rsidRDefault="00F03986" w:rsidP="00F03986">
            <w:pPr>
              <w:pStyle w:val="TableDataEntries"/>
              <w:jc w:val="left"/>
              <w:rPr>
                <w:lang w:val="en-GB"/>
              </w:rPr>
            </w:pPr>
            <w:r>
              <w:rPr>
                <w:lang w:val="en-GB"/>
              </w:rPr>
              <w:t>Office building</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xml:space="preserve"> 2.51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r>
      <w:tr w:rsidR="00F03986"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F03986" w:rsidRDefault="00F03986" w:rsidP="00F03986">
            <w:pPr>
              <w:pStyle w:val="TableDataEntries"/>
              <w:jc w:val="left"/>
              <w:rPr>
                <w:lang w:val="en-GB"/>
              </w:rPr>
            </w:pPr>
            <w:r>
              <w:rPr>
                <w:lang w:val="en-GB"/>
              </w:rPr>
              <w:t>Retail</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xml:space="preserve"> 44.07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xml:space="preserve"> 30.78</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r>
      <w:tr w:rsidR="00F03986"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F03986" w:rsidRDefault="00F03986" w:rsidP="00F03986">
            <w:pPr>
              <w:pStyle w:val="TableDataEntries"/>
              <w:jc w:val="left"/>
              <w:rPr>
                <w:lang w:val="en-GB"/>
              </w:rPr>
            </w:pPr>
            <w:r>
              <w:rPr>
                <w:lang w:val="en-GB"/>
              </w:rPr>
              <w:t>Healthcare</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xml:space="preserve"> 21.35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xml:space="preserve"> 11.19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r>
      <w:tr w:rsidR="00F03986"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F03986" w:rsidRDefault="00F03986" w:rsidP="00F03986">
            <w:pPr>
              <w:pStyle w:val="TableDataEntries"/>
              <w:jc w:val="left"/>
              <w:rPr>
                <w:lang w:val="en-GB"/>
              </w:rPr>
            </w:pPr>
            <w:r>
              <w:rPr>
                <w:lang w:val="en-GB"/>
              </w:rPr>
              <w:t>School</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xml:space="preserve"> 75.40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 xml:space="preserve"> 41.31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03986" w:rsidRPr="00563472" w:rsidRDefault="00F03986" w:rsidP="00563472">
            <w:pPr>
              <w:pStyle w:val="TableDataEntries"/>
            </w:pPr>
            <w:r w:rsidRPr="00563472">
              <w:t>n.a.</w:t>
            </w:r>
          </w:p>
        </w:tc>
      </w:tr>
      <w:tr w:rsidR="00612FD3" w:rsidTr="00301B6D">
        <w:trPr>
          <w:trHeight w:val="230"/>
        </w:trPr>
        <w:tc>
          <w:tcPr>
            <w:tcW w:w="245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r>
              <w:rPr>
                <w:lang w:val="en-GB"/>
              </w:rPr>
              <w:t>Medium scenario</w:t>
            </w: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Pr="00563472" w:rsidRDefault="00612FD3" w:rsidP="00563472">
            <w:pPr>
              <w:pStyle w:val="TableDataEntries"/>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Pr="00563472" w:rsidRDefault="00612FD3" w:rsidP="00563472">
            <w:pPr>
              <w:pStyle w:val="TableDataEntries"/>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Pr="00563472" w:rsidRDefault="00612FD3" w:rsidP="00563472">
            <w:pPr>
              <w:pStyle w:val="TableDataEntries"/>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Pr="00563472" w:rsidRDefault="00612FD3" w:rsidP="00563472">
            <w:pPr>
              <w:pStyle w:val="TableDataEntries"/>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Pr="00563472" w:rsidRDefault="00612FD3" w:rsidP="00563472">
            <w:pPr>
              <w:pStyle w:val="TableDataEntries"/>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Pr="00563472" w:rsidRDefault="00612FD3" w:rsidP="00563472">
            <w:pPr>
              <w:pStyle w:val="TableDataEntries"/>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Pr="00563472" w:rsidRDefault="00612FD3" w:rsidP="00563472">
            <w:pPr>
              <w:pStyle w:val="TableDataEntries"/>
            </w:pPr>
          </w:p>
        </w:tc>
      </w:tr>
      <w:tr w:rsidR="00563472"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563472" w:rsidRDefault="00563472" w:rsidP="00563472">
            <w:pPr>
              <w:pStyle w:val="TableDataEntries"/>
              <w:jc w:val="left"/>
              <w:rPr>
                <w:lang w:val="en-GB"/>
              </w:rPr>
            </w:pPr>
            <w:r>
              <w:rPr>
                <w:lang w:val="en-GB"/>
              </w:rPr>
              <w:t>Hotel</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38.22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46.58</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r>
      <w:tr w:rsidR="00563472"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563472" w:rsidRDefault="00563472" w:rsidP="00563472">
            <w:pPr>
              <w:pStyle w:val="TableDataEntries"/>
              <w:jc w:val="left"/>
              <w:rPr>
                <w:lang w:val="en-GB"/>
              </w:rPr>
            </w:pPr>
            <w:r>
              <w:rPr>
                <w:lang w:val="en-GB"/>
              </w:rPr>
              <w:t>Office building</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8.62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r>
      <w:tr w:rsidR="00563472"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563472" w:rsidRDefault="00563472" w:rsidP="00563472">
            <w:pPr>
              <w:pStyle w:val="TableDataEntries"/>
              <w:jc w:val="left"/>
              <w:rPr>
                <w:lang w:val="en-GB"/>
              </w:rPr>
            </w:pPr>
            <w:r>
              <w:rPr>
                <w:lang w:val="en-GB"/>
              </w:rPr>
              <w:t>Retail</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66.33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53.25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r>
      <w:tr w:rsidR="00563472"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563472" w:rsidRDefault="00563472" w:rsidP="00563472">
            <w:pPr>
              <w:pStyle w:val="TableDataEntries"/>
              <w:jc w:val="left"/>
              <w:rPr>
                <w:lang w:val="en-GB"/>
              </w:rPr>
            </w:pPr>
            <w:r>
              <w:rPr>
                <w:lang w:val="en-GB"/>
              </w:rPr>
              <w:t>Healthcare</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39.33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24.78</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r>
      <w:tr w:rsidR="00563472"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563472" w:rsidRDefault="00563472" w:rsidP="00563472">
            <w:pPr>
              <w:pStyle w:val="TableDataEntries"/>
              <w:jc w:val="left"/>
              <w:rPr>
                <w:lang w:val="en-GB"/>
              </w:rPr>
            </w:pPr>
            <w:r>
              <w:rPr>
                <w:lang w:val="en-GB"/>
              </w:rPr>
              <w:t>School</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115.90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68.05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r>
      <w:tr w:rsidR="00612FD3" w:rsidTr="00301B6D">
        <w:trPr>
          <w:trHeight w:val="230"/>
        </w:trPr>
        <w:tc>
          <w:tcPr>
            <w:tcW w:w="245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r>
              <w:rPr>
                <w:lang w:val="en-GB"/>
              </w:rPr>
              <w:t>High scenario</w:t>
            </w: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Pr="00563472" w:rsidRDefault="00612FD3" w:rsidP="00563472">
            <w:pPr>
              <w:pStyle w:val="TableDataEntries"/>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Pr="00563472" w:rsidRDefault="00612FD3" w:rsidP="00563472">
            <w:pPr>
              <w:pStyle w:val="TableDataEntries"/>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Pr="00563472" w:rsidRDefault="00612FD3" w:rsidP="00563472">
            <w:pPr>
              <w:pStyle w:val="TableDataEntries"/>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Pr="00563472" w:rsidRDefault="00612FD3" w:rsidP="00563472">
            <w:pPr>
              <w:pStyle w:val="TableDataEntries"/>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Pr="00563472" w:rsidRDefault="00612FD3" w:rsidP="00563472">
            <w:pPr>
              <w:pStyle w:val="TableDataEntries"/>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Pr="00563472" w:rsidRDefault="00612FD3" w:rsidP="00563472">
            <w:pPr>
              <w:pStyle w:val="TableDataEntries"/>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Pr="00563472" w:rsidRDefault="00612FD3" w:rsidP="00563472">
            <w:pPr>
              <w:pStyle w:val="TableDataEntries"/>
            </w:pPr>
          </w:p>
        </w:tc>
      </w:tr>
      <w:tr w:rsidR="00563472"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563472" w:rsidRDefault="00563472" w:rsidP="00563472">
            <w:pPr>
              <w:pStyle w:val="TableDataEntries"/>
              <w:jc w:val="left"/>
              <w:rPr>
                <w:lang w:val="en-GB"/>
              </w:rPr>
            </w:pPr>
            <w:r>
              <w:rPr>
                <w:lang w:val="en-GB"/>
              </w:rPr>
              <w:t>Hotel</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47.54</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61.78</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r>
      <w:tr w:rsidR="00563472"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563472" w:rsidRDefault="00563472" w:rsidP="00563472">
            <w:pPr>
              <w:pStyle w:val="TableDataEntries"/>
              <w:jc w:val="left"/>
              <w:rPr>
                <w:lang w:val="en-GB"/>
              </w:rPr>
            </w:pPr>
            <w:r>
              <w:rPr>
                <w:lang w:val="en-GB"/>
              </w:rPr>
              <w:t>Office building</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14.73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r>
      <w:tr w:rsidR="00563472"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563472" w:rsidRDefault="00563472" w:rsidP="00563472">
            <w:pPr>
              <w:pStyle w:val="TableDataEntries"/>
              <w:jc w:val="left"/>
              <w:rPr>
                <w:lang w:val="en-GB"/>
              </w:rPr>
            </w:pPr>
            <w:r>
              <w:rPr>
                <w:lang w:val="en-GB"/>
              </w:rPr>
              <w:t>Retail</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88.59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75.72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r>
      <w:tr w:rsidR="00563472"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563472" w:rsidRDefault="00563472" w:rsidP="00563472">
            <w:pPr>
              <w:pStyle w:val="TableDataEntries"/>
              <w:jc w:val="left"/>
              <w:rPr>
                <w:lang w:val="en-GB"/>
              </w:rPr>
            </w:pPr>
            <w:r>
              <w:rPr>
                <w:lang w:val="en-GB"/>
              </w:rPr>
              <w:t>Healthcare</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57.32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38.37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r>
      <w:tr w:rsidR="00563472" w:rsidTr="00301B6D">
        <w:trPr>
          <w:trHeight w:val="230"/>
        </w:trPr>
        <w:tc>
          <w:tcPr>
            <w:tcW w:w="2456" w:type="dxa"/>
            <w:tcBorders>
              <w:top w:val="single" w:sz="8" w:space="0" w:color="FFFFFF" w:themeColor="background1"/>
              <w:bottom w:val="single" w:sz="6" w:space="0" w:color="6F6652"/>
            </w:tcBorders>
            <w:shd w:val="clear" w:color="auto" w:fill="E9E8E5" w:themeFill="background2"/>
            <w:tcMar>
              <w:left w:w="57" w:type="dxa"/>
              <w:right w:w="57" w:type="dxa"/>
            </w:tcMar>
          </w:tcPr>
          <w:p w:rsidR="00563472" w:rsidRDefault="00563472" w:rsidP="00563472">
            <w:pPr>
              <w:pStyle w:val="TableDataEntries"/>
              <w:jc w:val="left"/>
              <w:rPr>
                <w:lang w:val="en-GB"/>
              </w:rPr>
            </w:pPr>
            <w:r>
              <w:rPr>
                <w:lang w:val="en-GB"/>
              </w:rPr>
              <w:t>School</w:t>
            </w:r>
          </w:p>
        </w:tc>
        <w:tc>
          <w:tcPr>
            <w:tcW w:w="783"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156.40</w:t>
            </w:r>
          </w:p>
        </w:tc>
        <w:tc>
          <w:tcPr>
            <w:tcW w:w="783"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94.79</w:t>
            </w:r>
          </w:p>
        </w:tc>
        <w:tc>
          <w:tcPr>
            <w:tcW w:w="783"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c>
          <w:tcPr>
            <w:tcW w:w="783"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n.a.</w:t>
            </w:r>
          </w:p>
        </w:tc>
      </w:tr>
    </w:tbl>
    <w:p w:rsidR="00CA6CF4" w:rsidRDefault="00CA6CF4" w:rsidP="00CA6CF4">
      <w:pPr>
        <w:pStyle w:val="Note"/>
        <w:rPr>
          <w:lang w:bidi="fa-IR"/>
        </w:rPr>
      </w:pPr>
      <w:r w:rsidRPr="007B3E1B">
        <w:rPr>
          <w:i/>
          <w:lang w:bidi="fa-IR"/>
        </w:rPr>
        <w:t>Note:</w:t>
      </w:r>
      <w:r>
        <w:rPr>
          <w:lang w:bidi="fa-IR"/>
        </w:rPr>
        <w:t xml:space="preserve"> Net impacts include the private benefits and costs to building owners/tenants and the global benefits from reduced GHG emissions.</w:t>
      </w:r>
    </w:p>
    <w:p w:rsidR="00612FD3" w:rsidRDefault="00612FD3" w:rsidP="00612FD3">
      <w:pPr>
        <w:pStyle w:val="Source"/>
        <w:rPr>
          <w:lang w:bidi="fa-IR"/>
        </w:rPr>
      </w:pPr>
      <w:r w:rsidRPr="00D742B2">
        <w:rPr>
          <w:i/>
          <w:lang w:bidi="fa-IR"/>
        </w:rPr>
        <w:t>Source:</w:t>
      </w:r>
      <w:r>
        <w:rPr>
          <w:lang w:bidi="fa-IR"/>
        </w:rPr>
        <w:t xml:space="preserve"> CIE based on </w:t>
      </w:r>
      <w:r w:rsidR="003F28DD">
        <w:rPr>
          <w:lang w:bidi="fa-IR"/>
        </w:rPr>
        <w:t>EA</w:t>
      </w:r>
      <w:r>
        <w:rPr>
          <w:lang w:bidi="fa-IR"/>
        </w:rPr>
        <w:t xml:space="preserve"> modelling.</w:t>
      </w:r>
    </w:p>
    <w:p w:rsidR="0030137D" w:rsidRDefault="0030137D" w:rsidP="0030137D">
      <w:pPr>
        <w:pStyle w:val="Heading3"/>
        <w:rPr>
          <w:lang w:eastAsia="en-US" w:bidi="fa-IR"/>
        </w:rPr>
      </w:pPr>
      <w:r>
        <w:rPr>
          <w:lang w:eastAsia="en-US" w:bidi="fa-IR"/>
        </w:rPr>
        <w:t>Decomposition by services and facade</w:t>
      </w:r>
    </w:p>
    <w:p w:rsidR="0030137D" w:rsidRDefault="006F3243" w:rsidP="0030137D">
      <w:pPr>
        <w:pStyle w:val="BodyText"/>
        <w:rPr>
          <w:lang w:eastAsia="en-US" w:bidi="fa-IR"/>
        </w:rPr>
      </w:pPr>
      <w:r>
        <w:rPr>
          <w:lang w:eastAsia="en-US" w:bidi="fa-IR"/>
        </w:rPr>
        <w:t>As discussed above, several stakeholders requested the modelling results to be disaggregated by element.</w:t>
      </w:r>
      <w:r w:rsidR="00E52B0E">
        <w:rPr>
          <w:lang w:eastAsia="en-US" w:bidi="fa-IR"/>
        </w:rPr>
        <w:t xml:space="preserve"> To address these concerns, </w:t>
      </w:r>
      <w:r w:rsidR="003F28DD">
        <w:rPr>
          <w:lang w:eastAsia="en-US" w:bidi="fa-IR"/>
        </w:rPr>
        <w:t>EA</w:t>
      </w:r>
      <w:r w:rsidR="00E52B0E">
        <w:rPr>
          <w:lang w:eastAsia="en-US" w:bidi="fa-IR"/>
        </w:rPr>
        <w:t xml:space="preserve"> has modelled a scenario for each building </w:t>
      </w:r>
      <w:r w:rsidR="00B02958">
        <w:rPr>
          <w:lang w:eastAsia="en-US" w:bidi="fa-IR"/>
        </w:rPr>
        <w:t>archetype with a façade that complies with the existing code (i.e. no change from the baseline) with services that comply with the proposed revised minimum standard, which enables the costs and benefits to be disaggregated between services and the façade.</w:t>
      </w:r>
    </w:p>
    <w:p w:rsidR="00B02958" w:rsidRDefault="00B02958" w:rsidP="0030137D">
      <w:pPr>
        <w:pStyle w:val="BodyText"/>
        <w:rPr>
          <w:lang w:eastAsia="en-US" w:bidi="fa-IR"/>
        </w:rPr>
      </w:pPr>
      <w:r>
        <w:rPr>
          <w:lang w:eastAsia="en-US" w:bidi="fa-IR"/>
        </w:rPr>
        <w:t xml:space="preserve">These simulations covered only </w:t>
      </w:r>
      <w:r w:rsidR="00E31EE8">
        <w:rPr>
          <w:lang w:eastAsia="en-US" w:bidi="fa-IR"/>
        </w:rPr>
        <w:t>Climate Zone</w:t>
      </w:r>
      <w:r>
        <w:rPr>
          <w:lang w:eastAsia="en-US" w:bidi="fa-IR"/>
        </w:rPr>
        <w:t>s 2, 5 and 6, which cover all of the mainland state capital cities.</w:t>
      </w:r>
      <w:r w:rsidR="00C076A1">
        <w:rPr>
          <w:lang w:eastAsia="en-US" w:bidi="fa-IR"/>
        </w:rPr>
        <w:t xml:space="preserve"> The estimates reported below are as modelled by </w:t>
      </w:r>
      <w:r w:rsidR="003F28DD">
        <w:rPr>
          <w:lang w:eastAsia="en-US" w:bidi="fa-IR"/>
        </w:rPr>
        <w:t>EA</w:t>
      </w:r>
      <w:r w:rsidR="00C076A1">
        <w:rPr>
          <w:lang w:eastAsia="en-US" w:bidi="fa-IR"/>
        </w:rPr>
        <w:t xml:space="preserve"> and therefore correspond to the ‘high scenario’.</w:t>
      </w:r>
      <w:r w:rsidR="00AD5018">
        <w:rPr>
          <w:lang w:eastAsia="en-US" w:bidi="fa-IR"/>
        </w:rPr>
        <w:t xml:space="preserve"> Also note that this modelling uses slightly different assumptions around wall insulation costs to the ‘core modelling’ and therefore produces slightly different aggregate results.</w:t>
      </w:r>
    </w:p>
    <w:p w:rsidR="006F3243" w:rsidRDefault="006F3243" w:rsidP="006F3243">
      <w:pPr>
        <w:pStyle w:val="Heading4"/>
        <w:rPr>
          <w:lang w:eastAsia="en-US" w:bidi="fa-IR"/>
        </w:rPr>
      </w:pPr>
      <w:r>
        <w:rPr>
          <w:lang w:eastAsia="en-US" w:bidi="fa-IR"/>
        </w:rPr>
        <w:t>Hotel</w:t>
      </w:r>
    </w:p>
    <w:p w:rsidR="006F3243" w:rsidRDefault="00E52B0E" w:rsidP="0030137D">
      <w:pPr>
        <w:pStyle w:val="BodyText"/>
        <w:rPr>
          <w:lang w:eastAsia="en-US" w:bidi="fa-IR"/>
        </w:rPr>
      </w:pPr>
      <w:r>
        <w:rPr>
          <w:lang w:eastAsia="en-US" w:bidi="fa-IR"/>
        </w:rPr>
        <w:t xml:space="preserve">For hotels, </w:t>
      </w:r>
      <w:r w:rsidR="009F3233">
        <w:rPr>
          <w:lang w:eastAsia="en-US" w:bidi="fa-IR"/>
        </w:rPr>
        <w:t>most of the benefits and costs can be attributed to the services components of the code (table </w:t>
      </w:r>
      <w:r w:rsidR="009F3233">
        <w:rPr>
          <w:lang w:eastAsia="en-US" w:bidi="fa-IR"/>
        </w:rPr>
        <w:fldChar w:fldCharType="begin"/>
      </w:r>
      <w:r w:rsidR="009F3233">
        <w:rPr>
          <w:lang w:eastAsia="en-US" w:bidi="fa-IR"/>
        </w:rPr>
        <w:instrText xml:space="preserve"> REF _Caption0937 </w:instrText>
      </w:r>
      <w:r w:rsidR="009F3233">
        <w:rPr>
          <w:lang w:eastAsia="en-US" w:bidi="fa-IR"/>
        </w:rPr>
        <w:fldChar w:fldCharType="separate"/>
      </w:r>
      <w:r w:rsidR="006B79B8">
        <w:rPr>
          <w:noProof/>
        </w:rPr>
        <w:t>8</w:t>
      </w:r>
      <w:r w:rsidR="006B79B8" w:rsidRPr="00563472">
        <w:rPr>
          <w:noProof/>
        </w:rPr>
        <w:t>.</w:t>
      </w:r>
      <w:r w:rsidR="006B79B8">
        <w:rPr>
          <w:noProof/>
        </w:rPr>
        <w:t>9</w:t>
      </w:r>
      <w:r w:rsidR="009F3233">
        <w:rPr>
          <w:lang w:eastAsia="en-US" w:bidi="fa-IR"/>
        </w:rPr>
        <w:fldChar w:fldCharType="end"/>
      </w:r>
      <w:r w:rsidR="009F3233">
        <w:rPr>
          <w:lang w:eastAsia="en-US" w:bidi="fa-IR"/>
        </w:rPr>
        <w:t>). The new façade requirements generate cost savings and also contribute to energy savings.</w:t>
      </w:r>
    </w:p>
    <w:p w:rsidR="0030137D" w:rsidRDefault="0030137D" w:rsidP="0030137D">
      <w:pPr>
        <w:pStyle w:val="Caption"/>
      </w:pPr>
      <w:r w:rsidRPr="00563472">
        <w:fldChar w:fldCharType="begin"/>
      </w:r>
      <w:r w:rsidRPr="00563472">
        <w:instrText xml:space="preserve"> IF 1 = 1 "</w:instrText>
      </w:r>
      <w:r w:rsidRPr="00563472">
        <w:fldChar w:fldCharType="begin"/>
      </w:r>
      <w:r w:rsidRPr="00563472">
        <w:instrText xml:space="preserve"> IF </w:instrText>
      </w:r>
      <w:r w:rsidRPr="00563472">
        <w:rPr>
          <w:noProof/>
        </w:rPr>
        <w:fldChar w:fldCharType="begin"/>
      </w:r>
      <w:r w:rsidRPr="00563472">
        <w:rPr>
          <w:noProof/>
        </w:rPr>
        <w:instrText xml:space="preserve"> STYLEREF "Heading 6" \l \n </w:instrText>
      </w:r>
      <w:r w:rsidRPr="00563472">
        <w:rPr>
          <w:noProof/>
        </w:rPr>
        <w:fldChar w:fldCharType="separate"/>
      </w:r>
      <w:r w:rsidR="00B833F1">
        <w:rPr>
          <w:noProof/>
        </w:rPr>
        <w:instrText>0</w:instrText>
      </w:r>
      <w:r w:rsidRPr="00563472">
        <w:rPr>
          <w:noProof/>
        </w:rPr>
        <w:fldChar w:fldCharType="end"/>
      </w:r>
      <w:r w:rsidRPr="00563472">
        <w:instrText xml:space="preserve"> = 0 "</w:instrText>
      </w:r>
      <w:r w:rsidRPr="00563472">
        <w:fldChar w:fldCharType="begin"/>
      </w:r>
      <w:r w:rsidRPr="00563472">
        <w:instrText xml:space="preserve"> IF </w:instrText>
      </w:r>
      <w:r w:rsidRPr="00563472">
        <w:rPr>
          <w:noProof/>
        </w:rPr>
        <w:fldChar w:fldCharType="begin"/>
      </w:r>
      <w:r w:rsidRPr="00563472">
        <w:rPr>
          <w:noProof/>
        </w:rPr>
        <w:instrText xml:space="preserve"> STYLEREF "Heading 1" \l \n </w:instrText>
      </w:r>
      <w:r w:rsidRPr="00563472">
        <w:rPr>
          <w:noProof/>
        </w:rPr>
        <w:fldChar w:fldCharType="separate"/>
      </w:r>
      <w:r w:rsidR="00B833F1">
        <w:rPr>
          <w:noProof/>
        </w:rPr>
        <w:instrText>8</w:instrText>
      </w:r>
      <w:r w:rsidRPr="00563472">
        <w:rPr>
          <w:noProof/>
        </w:rPr>
        <w:fldChar w:fldCharType="end"/>
      </w:r>
      <w:r w:rsidRPr="00563472">
        <w:instrText xml:space="preserve"> = 0 "" "</w:instrText>
      </w:r>
      <w:r w:rsidRPr="00563472">
        <w:rPr>
          <w:noProof/>
        </w:rPr>
        <w:fldChar w:fldCharType="begin"/>
      </w:r>
      <w:r w:rsidRPr="00563472">
        <w:rPr>
          <w:noProof/>
        </w:rPr>
        <w:instrText xml:space="preserve"> STYLEREF "Heading 1" \l \n </w:instrText>
      </w:r>
      <w:r w:rsidRPr="00563472">
        <w:rPr>
          <w:noProof/>
        </w:rPr>
        <w:fldChar w:fldCharType="separate"/>
      </w:r>
      <w:r w:rsidR="00B833F1">
        <w:rPr>
          <w:noProof/>
        </w:rPr>
        <w:instrText>8</w:instrText>
      </w:r>
      <w:r w:rsidRPr="00563472">
        <w:rPr>
          <w:noProof/>
        </w:rPr>
        <w:fldChar w:fldCharType="end"/>
      </w:r>
      <w:r w:rsidRPr="00563472">
        <w:instrText xml:space="preserve">." </w:instrText>
      </w:r>
      <w:r w:rsidRPr="00563472">
        <w:fldChar w:fldCharType="separate"/>
      </w:r>
      <w:r w:rsidR="00B833F1">
        <w:rPr>
          <w:noProof/>
        </w:rPr>
        <w:instrText>8</w:instrText>
      </w:r>
      <w:r w:rsidR="00B833F1" w:rsidRPr="00563472">
        <w:rPr>
          <w:noProof/>
        </w:rPr>
        <w:instrText>.</w:instrText>
      </w:r>
      <w:r w:rsidRPr="00563472">
        <w:fldChar w:fldCharType="end"/>
      </w:r>
      <w:r w:rsidRPr="00563472">
        <w:instrText>" "</w:instrText>
      </w:r>
      <w:r w:rsidR="001F6F43">
        <w:fldChar w:fldCharType="begin"/>
      </w:r>
      <w:r w:rsidR="001F6F43">
        <w:instrText xml:space="preserve"> STYLEREF "Heading 6" \l \n </w:instrText>
      </w:r>
      <w:r w:rsidR="001F6F43">
        <w:fldChar w:fldCharType="separate"/>
      </w:r>
      <w:r w:rsidRPr="00563472">
        <w:instrText>B</w:instrText>
      </w:r>
      <w:r w:rsidR="001F6F43">
        <w:fldChar w:fldCharType="end"/>
      </w:r>
      <w:r w:rsidRPr="00563472">
        <w:instrText xml:space="preserve">." </w:instrText>
      </w:r>
      <w:r w:rsidRPr="00563472">
        <w:fldChar w:fldCharType="separate"/>
      </w:r>
      <w:r w:rsidR="00EA42ED">
        <w:rPr>
          <w:noProof/>
        </w:rPr>
        <w:instrText>8</w:instrText>
      </w:r>
      <w:r w:rsidR="00EA42ED" w:rsidRPr="00563472">
        <w:rPr>
          <w:noProof/>
        </w:rPr>
        <w:instrText>.</w:instrText>
      </w:r>
      <w:r w:rsidRPr="00563472">
        <w:fldChar w:fldCharType="end"/>
      </w:r>
      <w:r w:rsidRPr="00563472">
        <w:fldChar w:fldCharType="begin"/>
      </w:r>
      <w:r w:rsidRPr="00563472">
        <w:instrText xml:space="preserve"> SEQ Item \* ARABIC \s </w:instrText>
      </w:r>
      <w:r w:rsidRPr="00563472">
        <w:fldChar w:fldCharType="begin"/>
      </w:r>
      <w:r w:rsidRPr="00563472">
        <w:instrText xml:space="preserve"> IF </w:instrText>
      </w:r>
      <w:r w:rsidRPr="00563472">
        <w:rPr>
          <w:noProof/>
        </w:rPr>
        <w:fldChar w:fldCharType="begin"/>
      </w:r>
      <w:r w:rsidRPr="00563472">
        <w:rPr>
          <w:noProof/>
        </w:rPr>
        <w:instrText xml:space="preserve"> STYLEREF "Heading 6" \l \n </w:instrText>
      </w:r>
      <w:r w:rsidRPr="00563472">
        <w:rPr>
          <w:noProof/>
        </w:rPr>
        <w:fldChar w:fldCharType="separate"/>
      </w:r>
      <w:r w:rsidR="00B833F1">
        <w:rPr>
          <w:noProof/>
        </w:rPr>
        <w:instrText>0</w:instrText>
      </w:r>
      <w:r w:rsidRPr="00563472">
        <w:rPr>
          <w:noProof/>
        </w:rPr>
        <w:fldChar w:fldCharType="end"/>
      </w:r>
      <w:r w:rsidRPr="00563472">
        <w:instrText xml:space="preserve"> = 0 "</w:instrText>
      </w:r>
      <w:r w:rsidRPr="00563472">
        <w:fldChar w:fldCharType="begin"/>
      </w:r>
      <w:r w:rsidRPr="00563472">
        <w:instrText xml:space="preserve"> IF </w:instrText>
      </w:r>
      <w:r w:rsidRPr="00563472">
        <w:rPr>
          <w:noProof/>
        </w:rPr>
        <w:fldChar w:fldCharType="begin"/>
      </w:r>
      <w:r w:rsidRPr="00563472">
        <w:rPr>
          <w:noProof/>
        </w:rPr>
        <w:instrText xml:space="preserve"> STYLEREF "Heading 1" \l \n </w:instrText>
      </w:r>
      <w:r w:rsidRPr="00563472">
        <w:rPr>
          <w:noProof/>
        </w:rPr>
        <w:fldChar w:fldCharType="separate"/>
      </w:r>
      <w:r w:rsidR="00B833F1">
        <w:rPr>
          <w:noProof/>
        </w:rPr>
        <w:instrText>8</w:instrText>
      </w:r>
      <w:r w:rsidRPr="00563472">
        <w:rPr>
          <w:noProof/>
        </w:rPr>
        <w:fldChar w:fldCharType="end"/>
      </w:r>
      <w:r w:rsidRPr="00563472">
        <w:instrText xml:space="preserve"> = 0 "" "1" </w:instrText>
      </w:r>
      <w:r w:rsidRPr="00563472">
        <w:fldChar w:fldCharType="separate"/>
      </w:r>
      <w:r w:rsidR="00EA42ED" w:rsidRPr="00563472">
        <w:rPr>
          <w:noProof/>
        </w:rPr>
        <w:instrText>1</w:instrText>
      </w:r>
      <w:r w:rsidRPr="00563472">
        <w:fldChar w:fldCharType="end"/>
      </w:r>
      <w:r w:rsidRPr="00563472">
        <w:instrText xml:space="preserve">" "6" </w:instrText>
      </w:r>
      <w:r w:rsidRPr="00563472">
        <w:fldChar w:fldCharType="separate"/>
      </w:r>
      <w:r w:rsidR="00EA42ED" w:rsidRPr="00563472">
        <w:rPr>
          <w:noProof/>
        </w:rPr>
        <w:instrText>1</w:instrText>
      </w:r>
      <w:r w:rsidRPr="00563472">
        <w:fldChar w:fldCharType="end"/>
      </w:r>
      <w:r w:rsidRPr="00563472">
        <w:instrText xml:space="preserve"> </w:instrText>
      </w:r>
      <w:r w:rsidRPr="00563472">
        <w:fldChar w:fldCharType="separate"/>
      </w:r>
      <w:r w:rsidR="00B833F1">
        <w:rPr>
          <w:noProof/>
        </w:rPr>
        <w:instrText>9</w:instrText>
      </w:r>
      <w:r w:rsidRPr="00563472">
        <w:fldChar w:fldCharType="end"/>
      </w:r>
      <w:r w:rsidRPr="00563472">
        <w:instrText xml:space="preserve">" "" </w:instrText>
      </w:r>
      <w:r w:rsidRPr="00563472">
        <w:fldChar w:fldCharType="separate"/>
      </w:r>
      <w:bookmarkStart w:id="3736" w:name="_Caption2988"/>
      <w:bookmarkStart w:id="3737" w:name="_Caption2197"/>
      <w:bookmarkStart w:id="3738" w:name="_Caption0067"/>
      <w:bookmarkStart w:id="3739" w:name="_Caption7827"/>
      <w:bookmarkStart w:id="3740" w:name="_Caption7259"/>
      <w:bookmarkStart w:id="3741" w:name="_Caption6398"/>
      <w:bookmarkStart w:id="3742" w:name="_Caption3388"/>
      <w:bookmarkStart w:id="3743" w:name="_Caption6256"/>
      <w:bookmarkStart w:id="3744" w:name="_Caption3592"/>
      <w:bookmarkStart w:id="3745" w:name="_Caption4447"/>
      <w:bookmarkStart w:id="3746" w:name="_Caption8971"/>
      <w:bookmarkStart w:id="3747" w:name="_Caption8416"/>
      <w:bookmarkStart w:id="3748" w:name="_Caption5842"/>
      <w:bookmarkStart w:id="3749" w:name="_Caption7855"/>
      <w:bookmarkStart w:id="3750" w:name="_Caption0937"/>
      <w:bookmarkStart w:id="3751" w:name="_Caption8643"/>
      <w:bookmarkStart w:id="3752" w:name="_Caption6942"/>
      <w:bookmarkStart w:id="3753" w:name="_Caption0985"/>
      <w:bookmarkStart w:id="3754" w:name="_Caption4023"/>
      <w:bookmarkStart w:id="3755" w:name="_Caption6869"/>
      <w:bookmarkStart w:id="3756" w:name="_Caption7979"/>
      <w:bookmarkStart w:id="3757" w:name="_Caption9485"/>
      <w:bookmarkStart w:id="3758" w:name="_Caption6265"/>
      <w:bookmarkStart w:id="3759" w:name="_Caption0396"/>
      <w:bookmarkStart w:id="3760" w:name="_Caption8230"/>
      <w:bookmarkStart w:id="3761" w:name="_Caption0241"/>
      <w:bookmarkStart w:id="3762" w:name="_Caption6503"/>
      <w:bookmarkStart w:id="3763" w:name="_Caption4503"/>
      <w:bookmarkStart w:id="3764" w:name="_Caption5385"/>
      <w:bookmarkStart w:id="3765" w:name="_Caption4979"/>
      <w:bookmarkStart w:id="3766" w:name="_Caption9481"/>
      <w:bookmarkStart w:id="3767" w:name="_Caption4956"/>
      <w:bookmarkStart w:id="3768" w:name="_Caption3078"/>
      <w:bookmarkStart w:id="3769" w:name="_Caption7684"/>
      <w:bookmarkStart w:id="3770" w:name="_Caption7529"/>
      <w:bookmarkStart w:id="3771" w:name="_Caption3239"/>
      <w:bookmarkStart w:id="3772" w:name="_Caption3298"/>
      <w:bookmarkStart w:id="3773" w:name="_Caption0868"/>
      <w:bookmarkStart w:id="3774" w:name="_Caption8155"/>
      <w:bookmarkStart w:id="3775" w:name="_Caption9011"/>
      <w:bookmarkStart w:id="3776" w:name="_Caption9618"/>
      <w:bookmarkStart w:id="3777" w:name="_Caption4871"/>
      <w:bookmarkStart w:id="3778" w:name="_Caption5346"/>
      <w:bookmarkStart w:id="3779" w:name="_Caption8958"/>
      <w:bookmarkStart w:id="3780" w:name="_Toc529869948"/>
      <w:bookmarkStart w:id="3781" w:name="_Toc530748444"/>
      <w:r w:rsidR="00EA42ED">
        <w:rPr>
          <w:noProof/>
        </w:rPr>
        <w:t>8</w:t>
      </w:r>
      <w:r w:rsidR="00EA42ED" w:rsidRPr="00563472">
        <w:rPr>
          <w:noProof/>
        </w:rPr>
        <w:t>.</w:t>
      </w:r>
      <w:r w:rsidR="00EA42ED">
        <w:rPr>
          <w:noProof/>
        </w:rPr>
        <w:t>9</w:t>
      </w:r>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r w:rsidRPr="00563472">
        <w:fldChar w:fldCharType="end"/>
      </w:r>
      <w:r w:rsidRPr="00563472">
        <w:tab/>
      </w:r>
      <w:r w:rsidR="006F3243" w:rsidRPr="00563472">
        <w:t xml:space="preserve">Services/façade decomposition </w:t>
      </w:r>
      <w:r w:rsidR="00B23227" w:rsidRPr="00563472">
        <w:t>—</w:t>
      </w:r>
      <w:r w:rsidR="006F3243" w:rsidRPr="00563472">
        <w:t xml:space="preserve"> hotel</w:t>
      </w:r>
      <w:bookmarkEnd w:id="3780"/>
      <w:bookmarkEnd w:id="3781"/>
    </w:p>
    <w:tbl>
      <w:tblPr>
        <w:tblW w:w="7939" w:type="dxa"/>
        <w:tblLayout w:type="fixed"/>
        <w:tblLook w:val="0000" w:firstRow="0" w:lastRow="0" w:firstColumn="0" w:lastColumn="0" w:noHBand="0" w:noVBand="0"/>
        <w:tblCaption w:val="Table 8.9 Services/facade decompostion - hotel"/>
        <w:tblDescription w:val="This table outlines the composition of costs and benefits of proposed changes to the NCC 2019. There are two primary impacts, impacts to services and impacts to the facade of the building.  "/>
      </w:tblPr>
      <w:tblGrid>
        <w:gridCol w:w="1843"/>
        <w:gridCol w:w="1219"/>
        <w:gridCol w:w="1219"/>
        <w:gridCol w:w="1219"/>
        <w:gridCol w:w="1219"/>
        <w:gridCol w:w="1220"/>
      </w:tblGrid>
      <w:tr w:rsidR="0030137D" w:rsidRPr="00143A66" w:rsidTr="00E52B0E">
        <w:trPr>
          <w:trHeight w:val="230"/>
          <w:tblHeader/>
        </w:trPr>
        <w:tc>
          <w:tcPr>
            <w:tcW w:w="1843" w:type="dxa"/>
            <w:shd w:val="clear" w:color="auto" w:fill="6F6652"/>
            <w:tcMar>
              <w:left w:w="57" w:type="dxa"/>
              <w:right w:w="57" w:type="dxa"/>
            </w:tcMar>
          </w:tcPr>
          <w:p w:rsidR="0030137D" w:rsidRPr="00143A66" w:rsidRDefault="0030137D" w:rsidP="0030137D">
            <w:pPr>
              <w:pStyle w:val="TableDataColumnHeading"/>
              <w:jc w:val="left"/>
              <w:rPr>
                <w:lang w:val="en-GB"/>
              </w:rPr>
            </w:pPr>
          </w:p>
        </w:tc>
        <w:tc>
          <w:tcPr>
            <w:tcW w:w="1219" w:type="dxa"/>
            <w:shd w:val="clear" w:color="auto" w:fill="6F6652"/>
            <w:tcMar>
              <w:left w:w="57" w:type="dxa"/>
              <w:right w:w="57" w:type="dxa"/>
            </w:tcMar>
          </w:tcPr>
          <w:p w:rsidR="0030137D" w:rsidRPr="00143A66" w:rsidRDefault="0030137D" w:rsidP="0030137D">
            <w:pPr>
              <w:pStyle w:val="TableDataColumnHeading"/>
              <w:rPr>
                <w:bCs/>
                <w:lang w:val="en-GB"/>
              </w:rPr>
            </w:pPr>
            <w:r w:rsidRPr="00143A66">
              <w:rPr>
                <w:bCs/>
                <w:lang w:val="en-GB"/>
              </w:rPr>
              <w:t>Sydney</w:t>
            </w:r>
          </w:p>
        </w:tc>
        <w:tc>
          <w:tcPr>
            <w:tcW w:w="1219" w:type="dxa"/>
            <w:shd w:val="clear" w:color="auto" w:fill="6F6652"/>
            <w:tcMar>
              <w:left w:w="57" w:type="dxa"/>
              <w:right w:w="57" w:type="dxa"/>
            </w:tcMar>
          </w:tcPr>
          <w:p w:rsidR="0030137D" w:rsidRPr="00143A66" w:rsidRDefault="0030137D" w:rsidP="0030137D">
            <w:pPr>
              <w:pStyle w:val="TableDataColumnHeading"/>
              <w:rPr>
                <w:bCs/>
                <w:lang w:val="en-GB"/>
              </w:rPr>
            </w:pPr>
            <w:r w:rsidRPr="00143A66">
              <w:rPr>
                <w:bCs/>
                <w:lang w:val="en-GB"/>
              </w:rPr>
              <w:t>Melbourne</w:t>
            </w:r>
          </w:p>
        </w:tc>
        <w:tc>
          <w:tcPr>
            <w:tcW w:w="1219" w:type="dxa"/>
            <w:shd w:val="clear" w:color="auto" w:fill="6F6652"/>
            <w:tcMar>
              <w:left w:w="57" w:type="dxa"/>
              <w:right w:w="57" w:type="dxa"/>
            </w:tcMar>
          </w:tcPr>
          <w:p w:rsidR="0030137D" w:rsidRPr="00143A66" w:rsidRDefault="0030137D" w:rsidP="0030137D">
            <w:pPr>
              <w:pStyle w:val="TableDataColumnHeading"/>
              <w:rPr>
                <w:bCs/>
                <w:lang w:val="en-GB"/>
              </w:rPr>
            </w:pPr>
            <w:r w:rsidRPr="00143A66">
              <w:rPr>
                <w:bCs/>
                <w:lang w:val="en-GB"/>
              </w:rPr>
              <w:t>Brisbane</w:t>
            </w:r>
          </w:p>
        </w:tc>
        <w:tc>
          <w:tcPr>
            <w:tcW w:w="1219" w:type="dxa"/>
            <w:shd w:val="clear" w:color="auto" w:fill="6F6652"/>
            <w:tcMar>
              <w:left w:w="57" w:type="dxa"/>
              <w:right w:w="57" w:type="dxa"/>
            </w:tcMar>
          </w:tcPr>
          <w:p w:rsidR="0030137D" w:rsidRPr="00143A66" w:rsidRDefault="0030137D" w:rsidP="0030137D">
            <w:pPr>
              <w:pStyle w:val="TableDataColumnHeading"/>
              <w:rPr>
                <w:bCs/>
                <w:lang w:val="en-GB"/>
              </w:rPr>
            </w:pPr>
            <w:r w:rsidRPr="00143A66">
              <w:rPr>
                <w:bCs/>
                <w:lang w:val="en-GB"/>
              </w:rPr>
              <w:t>Adelaide</w:t>
            </w:r>
          </w:p>
        </w:tc>
        <w:tc>
          <w:tcPr>
            <w:tcW w:w="1220" w:type="dxa"/>
            <w:shd w:val="clear" w:color="auto" w:fill="6F6652"/>
            <w:tcMar>
              <w:left w:w="57" w:type="dxa"/>
              <w:right w:w="57" w:type="dxa"/>
            </w:tcMar>
          </w:tcPr>
          <w:p w:rsidR="0030137D" w:rsidRPr="00143A66" w:rsidRDefault="0030137D" w:rsidP="0030137D">
            <w:pPr>
              <w:pStyle w:val="TableDataColumnHeading"/>
              <w:rPr>
                <w:bCs/>
                <w:lang w:val="en-GB"/>
              </w:rPr>
            </w:pPr>
            <w:r w:rsidRPr="00143A66">
              <w:rPr>
                <w:bCs/>
                <w:lang w:val="en-GB"/>
              </w:rPr>
              <w:t>Perth</w:t>
            </w:r>
          </w:p>
        </w:tc>
      </w:tr>
      <w:tr w:rsidR="0030137D" w:rsidRPr="0030137D" w:rsidTr="00E52B0E">
        <w:trPr>
          <w:trHeight w:val="230"/>
          <w:tblHeader/>
        </w:trPr>
        <w:tc>
          <w:tcPr>
            <w:tcW w:w="1843" w:type="dxa"/>
            <w:tcBorders>
              <w:bottom w:val="single" w:sz="8" w:space="0" w:color="FFFFFF" w:themeColor="background1"/>
            </w:tcBorders>
            <w:shd w:val="clear" w:color="auto" w:fill="auto"/>
            <w:tcMar>
              <w:left w:w="57" w:type="dxa"/>
              <w:right w:w="57" w:type="dxa"/>
            </w:tcMar>
          </w:tcPr>
          <w:p w:rsidR="0030137D" w:rsidRPr="0030137D" w:rsidRDefault="0030137D" w:rsidP="0030137D">
            <w:pPr>
              <w:pStyle w:val="TableUnit"/>
              <w:jc w:val="left"/>
              <w:rPr>
                <w:lang w:val="en-GB"/>
              </w:rPr>
            </w:pPr>
          </w:p>
        </w:tc>
        <w:tc>
          <w:tcPr>
            <w:tcW w:w="1219" w:type="dxa"/>
            <w:tcBorders>
              <w:bottom w:val="single" w:sz="8" w:space="0" w:color="FFFFFF" w:themeColor="background1"/>
            </w:tcBorders>
            <w:shd w:val="clear" w:color="auto" w:fill="auto"/>
            <w:tcMar>
              <w:left w:w="57" w:type="dxa"/>
              <w:right w:w="57" w:type="dxa"/>
            </w:tcMar>
          </w:tcPr>
          <w:p w:rsidR="0030137D" w:rsidRPr="0030137D" w:rsidRDefault="0030137D" w:rsidP="0030137D">
            <w:pPr>
              <w:pStyle w:val="TableUnit"/>
              <w:rPr>
                <w:lang w:val="en-GB"/>
              </w:rPr>
            </w:pPr>
            <w:r w:rsidRPr="0030137D">
              <w:rPr>
                <w:lang w:val="en-GB"/>
              </w:rPr>
              <w:t>$ per m</w:t>
            </w:r>
            <w:r w:rsidRPr="001640D9">
              <w:rPr>
                <w:vertAlign w:val="superscript"/>
                <w:lang w:val="en-GB"/>
              </w:rPr>
              <w:t>2</w:t>
            </w:r>
          </w:p>
        </w:tc>
        <w:tc>
          <w:tcPr>
            <w:tcW w:w="1219" w:type="dxa"/>
            <w:tcBorders>
              <w:bottom w:val="single" w:sz="8" w:space="0" w:color="FFFFFF" w:themeColor="background1"/>
            </w:tcBorders>
            <w:shd w:val="clear" w:color="auto" w:fill="auto"/>
            <w:tcMar>
              <w:left w:w="57" w:type="dxa"/>
              <w:right w:w="57" w:type="dxa"/>
            </w:tcMar>
          </w:tcPr>
          <w:p w:rsidR="0030137D" w:rsidRPr="0030137D" w:rsidRDefault="0030137D" w:rsidP="0030137D">
            <w:pPr>
              <w:pStyle w:val="TableUnit"/>
              <w:rPr>
                <w:lang w:val="en-GB"/>
              </w:rPr>
            </w:pPr>
            <w:r w:rsidRPr="0030137D">
              <w:rPr>
                <w:lang w:val="en-GB"/>
              </w:rPr>
              <w:t>$ per m</w:t>
            </w:r>
            <w:r w:rsidRPr="001640D9">
              <w:rPr>
                <w:vertAlign w:val="superscript"/>
                <w:lang w:val="en-GB"/>
              </w:rPr>
              <w:t>2</w:t>
            </w:r>
          </w:p>
        </w:tc>
        <w:tc>
          <w:tcPr>
            <w:tcW w:w="1219" w:type="dxa"/>
            <w:tcBorders>
              <w:bottom w:val="single" w:sz="8" w:space="0" w:color="FFFFFF" w:themeColor="background1"/>
            </w:tcBorders>
            <w:shd w:val="clear" w:color="auto" w:fill="auto"/>
            <w:tcMar>
              <w:left w:w="57" w:type="dxa"/>
              <w:right w:w="57" w:type="dxa"/>
            </w:tcMar>
          </w:tcPr>
          <w:p w:rsidR="0030137D" w:rsidRPr="0030137D" w:rsidRDefault="0030137D" w:rsidP="0030137D">
            <w:pPr>
              <w:pStyle w:val="TableUnit"/>
              <w:rPr>
                <w:lang w:val="en-GB"/>
              </w:rPr>
            </w:pPr>
            <w:r w:rsidRPr="0030137D">
              <w:rPr>
                <w:lang w:val="en-GB"/>
              </w:rPr>
              <w:t>$ per m</w:t>
            </w:r>
            <w:r w:rsidRPr="001640D9">
              <w:rPr>
                <w:vertAlign w:val="superscript"/>
                <w:lang w:val="en-GB"/>
              </w:rPr>
              <w:t>2</w:t>
            </w:r>
          </w:p>
        </w:tc>
        <w:tc>
          <w:tcPr>
            <w:tcW w:w="1219" w:type="dxa"/>
            <w:tcBorders>
              <w:bottom w:val="single" w:sz="8" w:space="0" w:color="FFFFFF" w:themeColor="background1"/>
            </w:tcBorders>
            <w:shd w:val="clear" w:color="auto" w:fill="auto"/>
            <w:tcMar>
              <w:left w:w="57" w:type="dxa"/>
              <w:right w:w="57" w:type="dxa"/>
            </w:tcMar>
          </w:tcPr>
          <w:p w:rsidR="0030137D" w:rsidRPr="0030137D" w:rsidRDefault="0030137D" w:rsidP="0030137D">
            <w:pPr>
              <w:pStyle w:val="TableUnit"/>
              <w:rPr>
                <w:lang w:val="en-GB"/>
              </w:rPr>
            </w:pPr>
            <w:r w:rsidRPr="0030137D">
              <w:rPr>
                <w:lang w:val="en-GB"/>
              </w:rPr>
              <w:t>$ per m</w:t>
            </w:r>
            <w:r w:rsidRPr="001640D9">
              <w:rPr>
                <w:vertAlign w:val="superscript"/>
                <w:lang w:val="en-GB"/>
              </w:rPr>
              <w:t>2</w:t>
            </w:r>
          </w:p>
        </w:tc>
        <w:tc>
          <w:tcPr>
            <w:tcW w:w="1220" w:type="dxa"/>
            <w:tcBorders>
              <w:bottom w:val="single" w:sz="8" w:space="0" w:color="FFFFFF" w:themeColor="background1"/>
            </w:tcBorders>
            <w:shd w:val="clear" w:color="auto" w:fill="auto"/>
            <w:tcMar>
              <w:left w:w="57" w:type="dxa"/>
              <w:right w:w="57" w:type="dxa"/>
            </w:tcMar>
          </w:tcPr>
          <w:p w:rsidR="0030137D" w:rsidRPr="0030137D" w:rsidRDefault="0030137D" w:rsidP="0030137D">
            <w:pPr>
              <w:pStyle w:val="TableUnit"/>
              <w:rPr>
                <w:lang w:val="en-GB"/>
              </w:rPr>
            </w:pPr>
            <w:r w:rsidRPr="0030137D">
              <w:rPr>
                <w:lang w:val="en-GB"/>
              </w:rPr>
              <w:t>$ per m</w:t>
            </w:r>
            <w:r w:rsidRPr="001640D9">
              <w:rPr>
                <w:vertAlign w:val="superscript"/>
                <w:lang w:val="en-GB"/>
              </w:rPr>
              <w:t>2</w:t>
            </w:r>
          </w:p>
        </w:tc>
      </w:tr>
      <w:tr w:rsidR="0030137D" w:rsidRPr="0030137D" w:rsidTr="00563472">
        <w:trPr>
          <w:trHeight w:val="230"/>
        </w:trPr>
        <w:tc>
          <w:tcPr>
            <w:tcW w:w="184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30137D" w:rsidRPr="0030137D" w:rsidRDefault="0030137D" w:rsidP="006F3243">
            <w:pPr>
              <w:pStyle w:val="TableHeading1"/>
              <w:rPr>
                <w:lang w:val="en-GB"/>
              </w:rPr>
            </w:pPr>
            <w:r w:rsidRPr="0030137D">
              <w:rPr>
                <w:lang w:val="en-GB"/>
              </w:rPr>
              <w:t>Services</w:t>
            </w:r>
          </w:p>
        </w:tc>
        <w:tc>
          <w:tcPr>
            <w:tcW w:w="121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30137D" w:rsidRPr="0030137D" w:rsidRDefault="0030137D" w:rsidP="006F3243">
            <w:pPr>
              <w:pStyle w:val="TableHeading1"/>
              <w:rPr>
                <w:lang w:val="en-GB"/>
              </w:rPr>
            </w:pPr>
          </w:p>
        </w:tc>
        <w:tc>
          <w:tcPr>
            <w:tcW w:w="121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30137D" w:rsidRPr="0030137D" w:rsidRDefault="0030137D" w:rsidP="006F3243">
            <w:pPr>
              <w:pStyle w:val="TableHeading1"/>
              <w:rPr>
                <w:lang w:val="en-GB"/>
              </w:rPr>
            </w:pPr>
          </w:p>
        </w:tc>
        <w:tc>
          <w:tcPr>
            <w:tcW w:w="121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30137D" w:rsidRPr="0030137D" w:rsidRDefault="0030137D" w:rsidP="006F3243">
            <w:pPr>
              <w:pStyle w:val="TableHeading1"/>
              <w:rPr>
                <w:lang w:val="en-GB"/>
              </w:rPr>
            </w:pPr>
          </w:p>
        </w:tc>
        <w:tc>
          <w:tcPr>
            <w:tcW w:w="121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30137D" w:rsidRPr="0030137D" w:rsidRDefault="0030137D" w:rsidP="006F3243">
            <w:pPr>
              <w:pStyle w:val="TableHeading1"/>
              <w:rPr>
                <w:lang w:val="en-GB"/>
              </w:rPr>
            </w:pPr>
          </w:p>
        </w:tc>
        <w:tc>
          <w:tcPr>
            <w:tcW w:w="1220"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30137D" w:rsidRPr="0030137D" w:rsidRDefault="0030137D" w:rsidP="006F3243">
            <w:pPr>
              <w:pStyle w:val="TableHeading1"/>
              <w:rPr>
                <w:lang w:val="en-GB"/>
              </w:rPr>
            </w:pPr>
          </w:p>
        </w:tc>
      </w:tr>
      <w:tr w:rsidR="00563472" w:rsidRPr="0030137D" w:rsidTr="00563472">
        <w:trPr>
          <w:trHeight w:val="230"/>
        </w:trPr>
        <w:tc>
          <w:tcPr>
            <w:tcW w:w="184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563472" w:rsidRPr="0030137D" w:rsidRDefault="00563472" w:rsidP="00563472">
            <w:pPr>
              <w:pStyle w:val="TableDataEntries"/>
              <w:jc w:val="left"/>
              <w:rPr>
                <w:lang w:val="en-GB"/>
              </w:rPr>
            </w:pPr>
            <w:r w:rsidRPr="0030137D">
              <w:rPr>
                <w:lang w:val="en-GB"/>
              </w:rPr>
              <w:t>Benefits</w:t>
            </w:r>
          </w:p>
        </w:tc>
        <w:tc>
          <w:tcPr>
            <w:tcW w:w="12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30137D" w:rsidRDefault="00563472" w:rsidP="00563472">
            <w:pPr>
              <w:pStyle w:val="TableDataEntries"/>
              <w:rPr>
                <w:lang w:val="en-GB"/>
              </w:rPr>
            </w:pPr>
            <w:r>
              <w:t xml:space="preserve"> 62.62</w:t>
            </w:r>
          </w:p>
        </w:tc>
        <w:tc>
          <w:tcPr>
            <w:tcW w:w="12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30137D" w:rsidRDefault="00563472" w:rsidP="00563472">
            <w:pPr>
              <w:pStyle w:val="TableDataEntries"/>
              <w:rPr>
                <w:lang w:val="en-GB"/>
              </w:rPr>
            </w:pPr>
            <w:r>
              <w:t xml:space="preserve"> 80.97</w:t>
            </w:r>
          </w:p>
        </w:tc>
        <w:tc>
          <w:tcPr>
            <w:tcW w:w="12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30137D" w:rsidRDefault="00563472" w:rsidP="00563472">
            <w:pPr>
              <w:pStyle w:val="TableDataEntries"/>
              <w:rPr>
                <w:lang w:val="en-GB"/>
              </w:rPr>
            </w:pPr>
            <w:r>
              <w:t xml:space="preserve"> 68.48</w:t>
            </w:r>
          </w:p>
        </w:tc>
        <w:tc>
          <w:tcPr>
            <w:tcW w:w="12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30137D" w:rsidRDefault="00563472" w:rsidP="00563472">
            <w:pPr>
              <w:pStyle w:val="TableDataEntries"/>
              <w:rPr>
                <w:lang w:val="en-GB"/>
              </w:rPr>
            </w:pPr>
            <w:r>
              <w:t xml:space="preserve"> 57.71</w:t>
            </w:r>
          </w:p>
        </w:tc>
        <w:tc>
          <w:tcPr>
            <w:tcW w:w="122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30137D" w:rsidRDefault="00563472" w:rsidP="00563472">
            <w:pPr>
              <w:pStyle w:val="TableDataEntries"/>
              <w:rPr>
                <w:lang w:val="en-GB"/>
              </w:rPr>
            </w:pPr>
            <w:r>
              <w:t xml:space="preserve"> 60.34</w:t>
            </w:r>
          </w:p>
        </w:tc>
      </w:tr>
      <w:tr w:rsidR="00563472" w:rsidRPr="0030137D" w:rsidTr="00563472">
        <w:trPr>
          <w:trHeight w:val="230"/>
        </w:trPr>
        <w:tc>
          <w:tcPr>
            <w:tcW w:w="184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563472" w:rsidRPr="0030137D" w:rsidRDefault="00563472" w:rsidP="00563472">
            <w:pPr>
              <w:pStyle w:val="TableDataEntries"/>
              <w:jc w:val="left"/>
              <w:rPr>
                <w:lang w:val="en-GB"/>
              </w:rPr>
            </w:pPr>
            <w:r w:rsidRPr="0030137D">
              <w:rPr>
                <w:lang w:val="en-GB"/>
              </w:rPr>
              <w:t>Costs</w:t>
            </w:r>
          </w:p>
        </w:tc>
        <w:tc>
          <w:tcPr>
            <w:tcW w:w="12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30137D" w:rsidRDefault="00563472" w:rsidP="00563472">
            <w:pPr>
              <w:pStyle w:val="TableDataEntries"/>
              <w:rPr>
                <w:lang w:val="en-GB"/>
              </w:rPr>
            </w:pPr>
            <w:r>
              <w:t>- 13.00</w:t>
            </w:r>
          </w:p>
        </w:tc>
        <w:tc>
          <w:tcPr>
            <w:tcW w:w="12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30137D" w:rsidRDefault="00563472" w:rsidP="00563472">
            <w:pPr>
              <w:pStyle w:val="TableDataEntries"/>
              <w:rPr>
                <w:lang w:val="en-GB"/>
              </w:rPr>
            </w:pPr>
            <w:r>
              <w:t>- 2.36</w:t>
            </w:r>
          </w:p>
        </w:tc>
        <w:tc>
          <w:tcPr>
            <w:tcW w:w="12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30137D" w:rsidRDefault="00563472" w:rsidP="00563472">
            <w:pPr>
              <w:pStyle w:val="TableDataEntries"/>
              <w:rPr>
                <w:lang w:val="en-GB"/>
              </w:rPr>
            </w:pPr>
            <w:r>
              <w:t>- 1.36</w:t>
            </w:r>
          </w:p>
        </w:tc>
        <w:tc>
          <w:tcPr>
            <w:tcW w:w="12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30137D" w:rsidRDefault="00563472" w:rsidP="00563472">
            <w:pPr>
              <w:pStyle w:val="TableDataEntries"/>
              <w:rPr>
                <w:lang w:val="en-GB"/>
              </w:rPr>
            </w:pPr>
            <w:r>
              <w:t>- 13.00</w:t>
            </w:r>
          </w:p>
        </w:tc>
        <w:tc>
          <w:tcPr>
            <w:tcW w:w="122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30137D" w:rsidRDefault="00563472" w:rsidP="00563472">
            <w:pPr>
              <w:pStyle w:val="TableDataEntries"/>
              <w:rPr>
                <w:lang w:val="en-GB"/>
              </w:rPr>
            </w:pPr>
            <w:r>
              <w:t>- 13.00</w:t>
            </w:r>
          </w:p>
        </w:tc>
      </w:tr>
      <w:tr w:rsidR="00563472" w:rsidRPr="0030137D" w:rsidTr="00563472">
        <w:trPr>
          <w:trHeight w:val="230"/>
        </w:trPr>
        <w:tc>
          <w:tcPr>
            <w:tcW w:w="184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563472" w:rsidRPr="0030137D" w:rsidRDefault="00563472" w:rsidP="00563472">
            <w:pPr>
              <w:pStyle w:val="TableDataEntries"/>
              <w:jc w:val="left"/>
              <w:rPr>
                <w:lang w:val="en-GB"/>
              </w:rPr>
            </w:pPr>
            <w:r w:rsidRPr="0030137D">
              <w:rPr>
                <w:lang w:val="en-GB"/>
              </w:rPr>
              <w:t>Net benefits/costs</w:t>
            </w:r>
          </w:p>
        </w:tc>
        <w:tc>
          <w:tcPr>
            <w:tcW w:w="1219"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563472" w:rsidRPr="0030137D" w:rsidRDefault="00563472" w:rsidP="00563472">
            <w:pPr>
              <w:pStyle w:val="TableDataEntries"/>
              <w:rPr>
                <w:lang w:val="en-GB"/>
              </w:rPr>
            </w:pPr>
            <w:r>
              <w:t xml:space="preserve"> 49.61</w:t>
            </w:r>
          </w:p>
        </w:tc>
        <w:tc>
          <w:tcPr>
            <w:tcW w:w="1219"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563472" w:rsidRPr="0030137D" w:rsidRDefault="00563472" w:rsidP="00563472">
            <w:pPr>
              <w:pStyle w:val="TableDataEntries"/>
              <w:rPr>
                <w:lang w:val="en-GB"/>
              </w:rPr>
            </w:pPr>
            <w:r>
              <w:t xml:space="preserve"> 78.61</w:t>
            </w:r>
          </w:p>
        </w:tc>
        <w:tc>
          <w:tcPr>
            <w:tcW w:w="1219"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563472" w:rsidRPr="0030137D" w:rsidRDefault="00563472" w:rsidP="00563472">
            <w:pPr>
              <w:pStyle w:val="TableDataEntries"/>
              <w:rPr>
                <w:lang w:val="en-GB"/>
              </w:rPr>
            </w:pPr>
            <w:r>
              <w:t xml:space="preserve"> 67.12</w:t>
            </w:r>
          </w:p>
        </w:tc>
        <w:tc>
          <w:tcPr>
            <w:tcW w:w="1219"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563472" w:rsidRPr="0030137D" w:rsidRDefault="00563472" w:rsidP="00563472">
            <w:pPr>
              <w:pStyle w:val="TableDataEntries"/>
              <w:rPr>
                <w:lang w:val="en-GB"/>
              </w:rPr>
            </w:pPr>
            <w:r>
              <w:t xml:space="preserve"> 44.71</w:t>
            </w:r>
          </w:p>
        </w:tc>
        <w:tc>
          <w:tcPr>
            <w:tcW w:w="1220"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563472" w:rsidRPr="0030137D" w:rsidRDefault="00563472" w:rsidP="00563472">
            <w:pPr>
              <w:pStyle w:val="TableDataEntries"/>
              <w:rPr>
                <w:lang w:val="en-GB"/>
              </w:rPr>
            </w:pPr>
            <w:r>
              <w:t xml:space="preserve"> 47.34</w:t>
            </w:r>
          </w:p>
        </w:tc>
      </w:tr>
      <w:tr w:rsidR="00563472" w:rsidRPr="0030137D" w:rsidTr="00563472">
        <w:trPr>
          <w:trHeight w:val="230"/>
        </w:trPr>
        <w:tc>
          <w:tcPr>
            <w:tcW w:w="184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563472" w:rsidRPr="0030137D" w:rsidRDefault="00563472" w:rsidP="00563472">
            <w:pPr>
              <w:pStyle w:val="TableHeading1"/>
              <w:rPr>
                <w:lang w:val="en-GB"/>
              </w:rPr>
            </w:pPr>
            <w:r w:rsidRPr="0030137D">
              <w:rPr>
                <w:lang w:val="en-GB"/>
              </w:rPr>
              <w:t>Façade</w:t>
            </w:r>
          </w:p>
        </w:tc>
        <w:tc>
          <w:tcPr>
            <w:tcW w:w="121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563472" w:rsidRPr="0030137D" w:rsidRDefault="00563472" w:rsidP="00563472">
            <w:pPr>
              <w:pStyle w:val="TableDataEntries"/>
              <w:rPr>
                <w:lang w:val="en-GB"/>
              </w:rPr>
            </w:pPr>
          </w:p>
        </w:tc>
        <w:tc>
          <w:tcPr>
            <w:tcW w:w="121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563472" w:rsidRPr="0030137D" w:rsidRDefault="00563472" w:rsidP="00563472">
            <w:pPr>
              <w:pStyle w:val="TableDataEntries"/>
              <w:rPr>
                <w:lang w:val="en-GB"/>
              </w:rPr>
            </w:pPr>
          </w:p>
        </w:tc>
        <w:tc>
          <w:tcPr>
            <w:tcW w:w="121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563472" w:rsidRPr="0030137D" w:rsidRDefault="00563472" w:rsidP="00563472">
            <w:pPr>
              <w:pStyle w:val="TableDataEntries"/>
              <w:rPr>
                <w:lang w:val="en-GB"/>
              </w:rPr>
            </w:pPr>
          </w:p>
        </w:tc>
        <w:tc>
          <w:tcPr>
            <w:tcW w:w="121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563472" w:rsidRPr="0030137D" w:rsidRDefault="00563472" w:rsidP="00563472">
            <w:pPr>
              <w:pStyle w:val="TableDataEntries"/>
              <w:rPr>
                <w:lang w:val="en-GB"/>
              </w:rPr>
            </w:pPr>
          </w:p>
        </w:tc>
        <w:tc>
          <w:tcPr>
            <w:tcW w:w="1220"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563472" w:rsidRPr="0030137D" w:rsidRDefault="00563472" w:rsidP="00563472">
            <w:pPr>
              <w:pStyle w:val="TableDataEntries"/>
              <w:rPr>
                <w:lang w:val="en-GB"/>
              </w:rPr>
            </w:pPr>
          </w:p>
        </w:tc>
      </w:tr>
      <w:tr w:rsidR="00563472" w:rsidRPr="0030137D" w:rsidTr="00563472">
        <w:trPr>
          <w:trHeight w:val="230"/>
        </w:trPr>
        <w:tc>
          <w:tcPr>
            <w:tcW w:w="184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563472" w:rsidRPr="0030137D" w:rsidRDefault="00563472" w:rsidP="00563472">
            <w:pPr>
              <w:pStyle w:val="TableDataEntries"/>
              <w:jc w:val="left"/>
              <w:rPr>
                <w:lang w:val="en-GB"/>
              </w:rPr>
            </w:pPr>
            <w:r w:rsidRPr="0030137D">
              <w:rPr>
                <w:lang w:val="en-GB"/>
              </w:rPr>
              <w:t>Benefits</w:t>
            </w:r>
          </w:p>
        </w:tc>
        <w:tc>
          <w:tcPr>
            <w:tcW w:w="12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30137D" w:rsidRDefault="00563472" w:rsidP="00563472">
            <w:pPr>
              <w:pStyle w:val="TableDataEntries"/>
              <w:rPr>
                <w:lang w:val="en-GB"/>
              </w:rPr>
            </w:pPr>
            <w:r>
              <w:t xml:space="preserve"> 12.00</w:t>
            </w:r>
          </w:p>
        </w:tc>
        <w:tc>
          <w:tcPr>
            <w:tcW w:w="12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30137D" w:rsidRDefault="00563472" w:rsidP="00563472">
            <w:pPr>
              <w:pStyle w:val="TableDataEntries"/>
              <w:rPr>
                <w:lang w:val="en-GB"/>
              </w:rPr>
            </w:pPr>
            <w:r>
              <w:t xml:space="preserve"> 3.81</w:t>
            </w:r>
          </w:p>
        </w:tc>
        <w:tc>
          <w:tcPr>
            <w:tcW w:w="12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30137D" w:rsidRDefault="00563472" w:rsidP="00563472">
            <w:pPr>
              <w:pStyle w:val="TableDataEntries"/>
              <w:rPr>
                <w:lang w:val="en-GB"/>
              </w:rPr>
            </w:pPr>
            <w:r>
              <w:t xml:space="preserve"> 19.36</w:t>
            </w:r>
          </w:p>
        </w:tc>
        <w:tc>
          <w:tcPr>
            <w:tcW w:w="12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30137D" w:rsidRDefault="00563472" w:rsidP="00563472">
            <w:pPr>
              <w:pStyle w:val="TableDataEntries"/>
              <w:rPr>
                <w:lang w:val="en-GB"/>
              </w:rPr>
            </w:pPr>
            <w:r>
              <w:t xml:space="preserve"> 10.58</w:t>
            </w:r>
          </w:p>
        </w:tc>
        <w:tc>
          <w:tcPr>
            <w:tcW w:w="122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30137D" w:rsidRDefault="00563472" w:rsidP="00563472">
            <w:pPr>
              <w:pStyle w:val="TableDataEntries"/>
              <w:rPr>
                <w:lang w:val="en-GB"/>
              </w:rPr>
            </w:pPr>
            <w:r>
              <w:t xml:space="preserve"> 10.67</w:t>
            </w:r>
          </w:p>
        </w:tc>
      </w:tr>
      <w:tr w:rsidR="00563472" w:rsidRPr="0030137D" w:rsidTr="00563472">
        <w:trPr>
          <w:trHeight w:val="230"/>
        </w:trPr>
        <w:tc>
          <w:tcPr>
            <w:tcW w:w="184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563472" w:rsidRPr="0030137D" w:rsidRDefault="00563472" w:rsidP="00563472">
            <w:pPr>
              <w:pStyle w:val="TableDataEntries"/>
              <w:jc w:val="left"/>
              <w:rPr>
                <w:lang w:val="en-GB"/>
              </w:rPr>
            </w:pPr>
            <w:r w:rsidRPr="0030137D">
              <w:rPr>
                <w:lang w:val="en-GB"/>
              </w:rPr>
              <w:t>Costs</w:t>
            </w:r>
          </w:p>
        </w:tc>
        <w:tc>
          <w:tcPr>
            <w:tcW w:w="12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30137D" w:rsidRDefault="00563472" w:rsidP="00563472">
            <w:pPr>
              <w:pStyle w:val="TableDataEntries"/>
              <w:rPr>
                <w:lang w:val="en-GB"/>
              </w:rPr>
            </w:pPr>
            <w:r>
              <w:t xml:space="preserve"> 8.02</w:t>
            </w:r>
          </w:p>
        </w:tc>
        <w:tc>
          <w:tcPr>
            <w:tcW w:w="12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30137D" w:rsidRDefault="00563472" w:rsidP="00563472">
            <w:pPr>
              <w:pStyle w:val="TableDataEntries"/>
              <w:rPr>
                <w:lang w:val="en-GB"/>
              </w:rPr>
            </w:pPr>
            <w:r>
              <w:t xml:space="preserve"> 3.12</w:t>
            </w:r>
          </w:p>
        </w:tc>
        <w:tc>
          <w:tcPr>
            <w:tcW w:w="12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30137D" w:rsidRDefault="00563472" w:rsidP="00563472">
            <w:pPr>
              <w:pStyle w:val="TableDataEntries"/>
              <w:rPr>
                <w:lang w:val="en-GB"/>
              </w:rPr>
            </w:pPr>
            <w:r>
              <w:t>- 0.55</w:t>
            </w:r>
          </w:p>
        </w:tc>
        <w:tc>
          <w:tcPr>
            <w:tcW w:w="12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30137D" w:rsidRDefault="00563472" w:rsidP="00563472">
            <w:pPr>
              <w:pStyle w:val="TableDataEntries"/>
              <w:rPr>
                <w:lang w:val="en-GB"/>
              </w:rPr>
            </w:pPr>
            <w:r>
              <w:t xml:space="preserve"> 8.02</w:t>
            </w:r>
          </w:p>
        </w:tc>
        <w:tc>
          <w:tcPr>
            <w:tcW w:w="122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30137D" w:rsidRDefault="00563472" w:rsidP="00563472">
            <w:pPr>
              <w:pStyle w:val="TableDataEntries"/>
              <w:rPr>
                <w:lang w:val="en-GB"/>
              </w:rPr>
            </w:pPr>
            <w:r>
              <w:t xml:space="preserve"> 8.02</w:t>
            </w:r>
          </w:p>
        </w:tc>
      </w:tr>
      <w:tr w:rsidR="00563472" w:rsidRPr="0030137D" w:rsidTr="00563472">
        <w:trPr>
          <w:trHeight w:val="230"/>
        </w:trPr>
        <w:tc>
          <w:tcPr>
            <w:tcW w:w="184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563472" w:rsidRPr="0030137D" w:rsidRDefault="00563472" w:rsidP="00563472">
            <w:pPr>
              <w:pStyle w:val="TableDataEntries"/>
              <w:jc w:val="left"/>
              <w:rPr>
                <w:lang w:val="en-GB"/>
              </w:rPr>
            </w:pPr>
            <w:r w:rsidRPr="0030137D">
              <w:rPr>
                <w:lang w:val="en-GB"/>
              </w:rPr>
              <w:t>Net benefits/costs</w:t>
            </w:r>
          </w:p>
        </w:tc>
        <w:tc>
          <w:tcPr>
            <w:tcW w:w="1219"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563472" w:rsidRPr="0030137D" w:rsidRDefault="00563472" w:rsidP="00563472">
            <w:pPr>
              <w:pStyle w:val="TableDataEntries"/>
              <w:rPr>
                <w:lang w:val="en-GB"/>
              </w:rPr>
            </w:pPr>
            <w:r>
              <w:t xml:space="preserve"> 20.02</w:t>
            </w:r>
          </w:p>
        </w:tc>
        <w:tc>
          <w:tcPr>
            <w:tcW w:w="1219"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563472" w:rsidRPr="0030137D" w:rsidRDefault="00563472" w:rsidP="00563472">
            <w:pPr>
              <w:pStyle w:val="TableDataEntries"/>
              <w:rPr>
                <w:lang w:val="en-GB"/>
              </w:rPr>
            </w:pPr>
            <w:r>
              <w:t xml:space="preserve"> 6.93</w:t>
            </w:r>
          </w:p>
        </w:tc>
        <w:tc>
          <w:tcPr>
            <w:tcW w:w="1219"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563472" w:rsidRPr="0030137D" w:rsidRDefault="00563472" w:rsidP="00563472">
            <w:pPr>
              <w:pStyle w:val="TableDataEntries"/>
              <w:rPr>
                <w:lang w:val="en-GB"/>
              </w:rPr>
            </w:pPr>
            <w:r>
              <w:t xml:space="preserve"> 18.80</w:t>
            </w:r>
          </w:p>
        </w:tc>
        <w:tc>
          <w:tcPr>
            <w:tcW w:w="1219"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563472" w:rsidRPr="0030137D" w:rsidRDefault="00563472" w:rsidP="00563472">
            <w:pPr>
              <w:pStyle w:val="TableDataEntries"/>
              <w:rPr>
                <w:lang w:val="en-GB"/>
              </w:rPr>
            </w:pPr>
            <w:r>
              <w:t xml:space="preserve"> 18.60</w:t>
            </w:r>
          </w:p>
        </w:tc>
        <w:tc>
          <w:tcPr>
            <w:tcW w:w="1220"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563472" w:rsidRPr="0030137D" w:rsidRDefault="00563472" w:rsidP="00563472">
            <w:pPr>
              <w:pStyle w:val="TableDataEntries"/>
              <w:rPr>
                <w:lang w:val="en-GB"/>
              </w:rPr>
            </w:pPr>
            <w:r>
              <w:t xml:space="preserve"> 18.69</w:t>
            </w:r>
          </w:p>
        </w:tc>
      </w:tr>
      <w:tr w:rsidR="00563472" w:rsidRPr="00563472" w:rsidTr="00563472">
        <w:trPr>
          <w:trHeight w:val="230"/>
        </w:trPr>
        <w:tc>
          <w:tcPr>
            <w:tcW w:w="1843"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rsidR="00563472" w:rsidRPr="00563472" w:rsidRDefault="00563472" w:rsidP="00563472">
            <w:pPr>
              <w:pStyle w:val="TableDataEntries"/>
              <w:jc w:val="left"/>
              <w:rPr>
                <w:rFonts w:ascii="Franklin Gothic Demi" w:hAnsi="Franklin Gothic Demi"/>
                <w:lang w:val="en-GB"/>
              </w:rPr>
            </w:pPr>
            <w:r w:rsidRPr="00563472">
              <w:rPr>
                <w:rFonts w:ascii="Franklin Gothic Demi" w:hAnsi="Franklin Gothic Demi"/>
                <w:lang w:val="en-GB"/>
              </w:rPr>
              <w:t>Total net benefits/costs</w:t>
            </w:r>
          </w:p>
        </w:tc>
        <w:tc>
          <w:tcPr>
            <w:tcW w:w="1219"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563472" w:rsidRPr="00563472" w:rsidRDefault="00563472" w:rsidP="00563472">
            <w:pPr>
              <w:pStyle w:val="TableDataEntries"/>
              <w:rPr>
                <w:rFonts w:ascii="Franklin Gothic Demi" w:hAnsi="Franklin Gothic Demi"/>
                <w:lang w:val="en-GB"/>
              </w:rPr>
            </w:pPr>
            <w:r w:rsidRPr="00563472">
              <w:rPr>
                <w:rFonts w:ascii="Franklin Gothic Demi" w:hAnsi="Franklin Gothic Demi"/>
              </w:rPr>
              <w:t xml:space="preserve"> 69.63</w:t>
            </w:r>
          </w:p>
        </w:tc>
        <w:tc>
          <w:tcPr>
            <w:tcW w:w="1219"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563472" w:rsidRPr="00563472" w:rsidRDefault="00563472" w:rsidP="00563472">
            <w:pPr>
              <w:pStyle w:val="TableDataEntries"/>
              <w:rPr>
                <w:rFonts w:ascii="Franklin Gothic Demi" w:hAnsi="Franklin Gothic Demi"/>
                <w:lang w:val="en-GB"/>
              </w:rPr>
            </w:pPr>
            <w:r w:rsidRPr="00563472">
              <w:rPr>
                <w:rFonts w:ascii="Franklin Gothic Demi" w:hAnsi="Franklin Gothic Demi"/>
              </w:rPr>
              <w:t xml:space="preserve"> 85.54</w:t>
            </w:r>
          </w:p>
        </w:tc>
        <w:tc>
          <w:tcPr>
            <w:tcW w:w="1219"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563472" w:rsidRPr="00563472" w:rsidRDefault="00563472" w:rsidP="00563472">
            <w:pPr>
              <w:pStyle w:val="TableDataEntries"/>
              <w:rPr>
                <w:rFonts w:ascii="Franklin Gothic Demi" w:hAnsi="Franklin Gothic Demi"/>
                <w:lang w:val="en-GB"/>
              </w:rPr>
            </w:pPr>
            <w:r w:rsidRPr="00563472">
              <w:rPr>
                <w:rFonts w:ascii="Franklin Gothic Demi" w:hAnsi="Franklin Gothic Demi"/>
              </w:rPr>
              <w:t xml:space="preserve"> 85.92</w:t>
            </w:r>
          </w:p>
        </w:tc>
        <w:tc>
          <w:tcPr>
            <w:tcW w:w="1219"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563472" w:rsidRPr="00563472" w:rsidRDefault="00563472" w:rsidP="00563472">
            <w:pPr>
              <w:pStyle w:val="TableDataEntries"/>
              <w:rPr>
                <w:rFonts w:ascii="Franklin Gothic Demi" w:hAnsi="Franklin Gothic Demi"/>
                <w:lang w:val="en-GB"/>
              </w:rPr>
            </w:pPr>
            <w:r w:rsidRPr="00563472">
              <w:rPr>
                <w:rFonts w:ascii="Franklin Gothic Demi" w:hAnsi="Franklin Gothic Demi"/>
              </w:rPr>
              <w:t xml:space="preserve"> 63.31</w:t>
            </w:r>
          </w:p>
        </w:tc>
        <w:tc>
          <w:tcPr>
            <w:tcW w:w="1220"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563472" w:rsidRPr="00563472" w:rsidRDefault="00563472" w:rsidP="00563472">
            <w:pPr>
              <w:pStyle w:val="TableDataEntries"/>
              <w:rPr>
                <w:rFonts w:ascii="Franklin Gothic Demi" w:hAnsi="Franklin Gothic Demi"/>
                <w:lang w:val="en-GB"/>
              </w:rPr>
            </w:pPr>
            <w:r w:rsidRPr="00563472">
              <w:rPr>
                <w:rFonts w:ascii="Franklin Gothic Demi" w:hAnsi="Franklin Gothic Demi"/>
              </w:rPr>
              <w:t xml:space="preserve"> 66.03</w:t>
            </w:r>
          </w:p>
        </w:tc>
      </w:tr>
    </w:tbl>
    <w:p w:rsidR="0030137D" w:rsidRDefault="0030137D" w:rsidP="0030137D">
      <w:pPr>
        <w:pStyle w:val="Note"/>
        <w:rPr>
          <w:lang w:bidi="fa-IR"/>
        </w:rPr>
      </w:pPr>
      <w:r w:rsidRPr="007D1B4F">
        <w:rPr>
          <w:i/>
        </w:rPr>
        <w:t>Note:</w:t>
      </w:r>
      <w:r w:rsidRPr="00E879B8">
        <w:t xml:space="preserve"> </w:t>
      </w:r>
      <w:r w:rsidR="00CA6CF4">
        <w:rPr>
          <w:lang w:bidi="fa-IR"/>
        </w:rPr>
        <w:t xml:space="preserve">Net impacts include the private benefits and costs to building owners/tenants and the global benefits from reduced GHG emissions. </w:t>
      </w:r>
      <w:r w:rsidR="006F3243">
        <w:t xml:space="preserve">Costs and benefits expressed in net present value terms over the assumed 40 year life of the building, using a discount rate of 7 per cent. Benefit estimates are based on </w:t>
      </w:r>
      <w:r w:rsidR="00B23227">
        <w:t xml:space="preserve">future </w:t>
      </w:r>
      <w:r w:rsidR="006F3243">
        <w:t>energy price (and GHG emission) profiles from 2019.</w:t>
      </w:r>
    </w:p>
    <w:p w:rsidR="0030137D" w:rsidRDefault="0030137D" w:rsidP="0030137D">
      <w:pPr>
        <w:pStyle w:val="Source"/>
        <w:rPr>
          <w:lang w:bidi="fa-IR"/>
        </w:rPr>
      </w:pPr>
      <w:r w:rsidRPr="0030137D">
        <w:rPr>
          <w:i/>
          <w:lang w:bidi="fa-IR"/>
        </w:rPr>
        <w:t>Source:</w:t>
      </w:r>
      <w:r>
        <w:rPr>
          <w:lang w:bidi="fa-IR"/>
        </w:rPr>
        <w:t xml:space="preserve"> </w:t>
      </w:r>
      <w:r w:rsidR="006F3243">
        <w:rPr>
          <w:lang w:bidi="fa-IR"/>
        </w:rPr>
        <w:t xml:space="preserve">CIE based on </w:t>
      </w:r>
      <w:r w:rsidR="003F28DD">
        <w:rPr>
          <w:lang w:bidi="fa-IR"/>
        </w:rPr>
        <w:t>EA</w:t>
      </w:r>
      <w:r w:rsidR="006F3243">
        <w:rPr>
          <w:lang w:bidi="fa-IR"/>
        </w:rPr>
        <w:t xml:space="preserve"> modelling.</w:t>
      </w:r>
    </w:p>
    <w:p w:rsidR="0030137D" w:rsidRDefault="006F3243" w:rsidP="006F3243">
      <w:pPr>
        <w:pStyle w:val="Heading4"/>
        <w:rPr>
          <w:lang w:eastAsia="en-US" w:bidi="fa-IR"/>
        </w:rPr>
      </w:pPr>
      <w:r>
        <w:rPr>
          <w:lang w:eastAsia="en-US" w:bidi="fa-IR"/>
        </w:rPr>
        <w:t>Office building</w:t>
      </w:r>
    </w:p>
    <w:p w:rsidR="00456E37" w:rsidRDefault="00456E37" w:rsidP="0030137D">
      <w:pPr>
        <w:pStyle w:val="BodyText"/>
        <w:rPr>
          <w:lang w:eastAsia="en-US" w:bidi="fa-IR"/>
        </w:rPr>
      </w:pPr>
      <w:r>
        <w:rPr>
          <w:lang w:eastAsia="en-US" w:bidi="fa-IR"/>
        </w:rPr>
        <w:t>In the office building archetype, the proposed services requirements are estimated to generate most of the energy savings, which tend to be smaller than the other building archetypes.</w:t>
      </w:r>
    </w:p>
    <w:p w:rsidR="00456E37" w:rsidRDefault="00456E37" w:rsidP="00456E37">
      <w:pPr>
        <w:pStyle w:val="ListBullet"/>
        <w:rPr>
          <w:lang w:eastAsia="en-US" w:bidi="fa-IR"/>
        </w:rPr>
      </w:pPr>
      <w:r>
        <w:rPr>
          <w:lang w:eastAsia="en-US" w:bidi="fa-IR"/>
        </w:rPr>
        <w:t xml:space="preserve">The additional cost of the services requirements tend to be relatively high in </w:t>
      </w:r>
      <w:r w:rsidR="00E31EE8">
        <w:rPr>
          <w:lang w:eastAsia="en-US" w:bidi="fa-IR"/>
        </w:rPr>
        <w:t>Climate Zone</w:t>
      </w:r>
      <w:r>
        <w:rPr>
          <w:lang w:eastAsia="en-US" w:bidi="fa-IR"/>
        </w:rPr>
        <w:t xml:space="preserve"> 6, such that the net benefit of these requirements are small in Melbourne.</w:t>
      </w:r>
    </w:p>
    <w:p w:rsidR="006F3243" w:rsidRDefault="00456E37" w:rsidP="00456E37">
      <w:pPr>
        <w:pStyle w:val="ListBullet"/>
        <w:rPr>
          <w:lang w:eastAsia="en-US" w:bidi="fa-IR"/>
        </w:rPr>
      </w:pPr>
      <w:r>
        <w:rPr>
          <w:lang w:eastAsia="en-US" w:bidi="fa-IR"/>
        </w:rPr>
        <w:t xml:space="preserve">By contrast, the additional costs are relatively small in </w:t>
      </w:r>
      <w:r w:rsidR="00E31EE8">
        <w:rPr>
          <w:lang w:eastAsia="en-US" w:bidi="fa-IR"/>
        </w:rPr>
        <w:t>Climate Zone</w:t>
      </w:r>
      <w:r>
        <w:rPr>
          <w:lang w:eastAsia="en-US" w:bidi="fa-IR"/>
        </w:rPr>
        <w:t xml:space="preserve"> 2 (Brisbane).</w:t>
      </w:r>
    </w:p>
    <w:p w:rsidR="00456E37" w:rsidRDefault="00456E37" w:rsidP="0030137D">
      <w:pPr>
        <w:pStyle w:val="BodyText"/>
        <w:rPr>
          <w:lang w:eastAsia="en-US" w:bidi="fa-IR"/>
        </w:rPr>
      </w:pPr>
      <w:r>
        <w:rPr>
          <w:lang w:eastAsia="en-US" w:bidi="fa-IR"/>
        </w:rPr>
        <w:t>The façade requirements also generate relatively modest benefits across all cities.</w:t>
      </w:r>
    </w:p>
    <w:p w:rsidR="00456E37" w:rsidRDefault="00456E37" w:rsidP="00456E37">
      <w:pPr>
        <w:pStyle w:val="ListBullet"/>
        <w:rPr>
          <w:lang w:eastAsia="en-US" w:bidi="fa-IR"/>
        </w:rPr>
      </w:pPr>
      <w:r>
        <w:rPr>
          <w:lang w:eastAsia="en-US" w:bidi="fa-IR"/>
        </w:rPr>
        <w:t>The additional cost of complying with the façade requirements are estimated to be negligible in most cities.</w:t>
      </w:r>
    </w:p>
    <w:p w:rsidR="00456E37" w:rsidRDefault="00456E37" w:rsidP="00456E37">
      <w:pPr>
        <w:pStyle w:val="ListBullet"/>
        <w:rPr>
          <w:lang w:eastAsia="en-US" w:bidi="fa-IR"/>
        </w:rPr>
      </w:pPr>
      <w:r>
        <w:rPr>
          <w:lang w:eastAsia="en-US" w:bidi="fa-IR"/>
        </w:rPr>
        <w:t xml:space="preserve">By contrast, </w:t>
      </w:r>
      <w:r w:rsidR="002E7417">
        <w:rPr>
          <w:lang w:eastAsia="en-US" w:bidi="fa-IR"/>
        </w:rPr>
        <w:t>the revised code is estimated to generate significant cost savings in Melbourne.</w:t>
      </w:r>
    </w:p>
    <w:p w:rsidR="00B23227" w:rsidRDefault="00B23227" w:rsidP="00B23227">
      <w:pPr>
        <w:pStyle w:val="Caption"/>
      </w:pPr>
      <w:r w:rsidRPr="004E29E3">
        <w:fldChar w:fldCharType="begin"/>
      </w:r>
      <w:r w:rsidRPr="004E29E3">
        <w:instrText xml:space="preserve"> IF 1 = 1 "</w:instrText>
      </w:r>
      <w:r w:rsidRPr="004E29E3">
        <w:fldChar w:fldCharType="begin"/>
      </w:r>
      <w:r w:rsidRPr="004E29E3">
        <w:instrText xml:space="preserve"> IF </w:instrText>
      </w:r>
      <w:r w:rsidRPr="004E29E3">
        <w:rPr>
          <w:noProof/>
        </w:rPr>
        <w:fldChar w:fldCharType="begin"/>
      </w:r>
      <w:r w:rsidRPr="004E29E3">
        <w:rPr>
          <w:noProof/>
        </w:rPr>
        <w:instrText xml:space="preserve"> STYLEREF "Heading 6" \l \n </w:instrText>
      </w:r>
      <w:r w:rsidRPr="004E29E3">
        <w:rPr>
          <w:noProof/>
        </w:rPr>
        <w:fldChar w:fldCharType="separate"/>
      </w:r>
      <w:r w:rsidR="00B833F1">
        <w:rPr>
          <w:noProof/>
        </w:rPr>
        <w:instrText>0</w:instrText>
      </w:r>
      <w:r w:rsidRPr="004E29E3">
        <w:rPr>
          <w:noProof/>
        </w:rPr>
        <w:fldChar w:fldCharType="end"/>
      </w:r>
      <w:r w:rsidRPr="004E29E3">
        <w:instrText xml:space="preserve"> = 0 "</w:instrText>
      </w:r>
      <w:r w:rsidRPr="004E29E3">
        <w:fldChar w:fldCharType="begin"/>
      </w:r>
      <w:r w:rsidRPr="004E29E3">
        <w:instrText xml:space="preserve"> IF </w:instrText>
      </w:r>
      <w:r w:rsidRPr="004E29E3">
        <w:rPr>
          <w:noProof/>
        </w:rPr>
        <w:fldChar w:fldCharType="begin"/>
      </w:r>
      <w:r w:rsidRPr="004E29E3">
        <w:rPr>
          <w:noProof/>
        </w:rPr>
        <w:instrText xml:space="preserve"> STYLEREF "Heading 1" \l \n </w:instrText>
      </w:r>
      <w:r w:rsidRPr="004E29E3">
        <w:rPr>
          <w:noProof/>
        </w:rPr>
        <w:fldChar w:fldCharType="separate"/>
      </w:r>
      <w:r w:rsidR="00B833F1">
        <w:rPr>
          <w:noProof/>
        </w:rPr>
        <w:instrText>8</w:instrText>
      </w:r>
      <w:r w:rsidRPr="004E29E3">
        <w:rPr>
          <w:noProof/>
        </w:rPr>
        <w:fldChar w:fldCharType="end"/>
      </w:r>
      <w:r w:rsidRPr="004E29E3">
        <w:instrText xml:space="preserve"> = 0 "" "</w:instrText>
      </w:r>
      <w:r w:rsidRPr="004E29E3">
        <w:rPr>
          <w:noProof/>
        </w:rPr>
        <w:fldChar w:fldCharType="begin"/>
      </w:r>
      <w:r w:rsidRPr="004E29E3">
        <w:rPr>
          <w:noProof/>
        </w:rPr>
        <w:instrText xml:space="preserve"> STYLEREF "Heading 1" \l \n </w:instrText>
      </w:r>
      <w:r w:rsidRPr="004E29E3">
        <w:rPr>
          <w:noProof/>
        </w:rPr>
        <w:fldChar w:fldCharType="separate"/>
      </w:r>
      <w:r w:rsidR="00B833F1">
        <w:rPr>
          <w:noProof/>
        </w:rPr>
        <w:instrText>8</w:instrText>
      </w:r>
      <w:r w:rsidRPr="004E29E3">
        <w:rPr>
          <w:noProof/>
        </w:rPr>
        <w:fldChar w:fldCharType="end"/>
      </w:r>
      <w:r w:rsidRPr="004E29E3">
        <w:instrText xml:space="preserve">." </w:instrText>
      </w:r>
      <w:r w:rsidRPr="004E29E3">
        <w:fldChar w:fldCharType="separate"/>
      </w:r>
      <w:r w:rsidR="00B833F1">
        <w:rPr>
          <w:noProof/>
        </w:rPr>
        <w:instrText>8</w:instrText>
      </w:r>
      <w:r w:rsidR="00B833F1" w:rsidRPr="004E29E3">
        <w:rPr>
          <w:noProof/>
        </w:rPr>
        <w:instrText>.</w:instrText>
      </w:r>
      <w:r w:rsidRPr="004E29E3">
        <w:fldChar w:fldCharType="end"/>
      </w:r>
      <w:r w:rsidRPr="004E29E3">
        <w:instrText>" "</w:instrText>
      </w:r>
      <w:r w:rsidR="001F6F43">
        <w:fldChar w:fldCharType="begin"/>
      </w:r>
      <w:r w:rsidR="001F6F43">
        <w:instrText xml:space="preserve"> STYLEREF "Heading 6" \l \n </w:instrText>
      </w:r>
      <w:r w:rsidR="001F6F43">
        <w:fldChar w:fldCharType="separate"/>
      </w:r>
      <w:r w:rsidRPr="004E29E3">
        <w:instrText>B</w:instrText>
      </w:r>
      <w:r w:rsidR="001F6F43">
        <w:fldChar w:fldCharType="end"/>
      </w:r>
      <w:r w:rsidRPr="004E29E3">
        <w:instrText xml:space="preserve">." </w:instrText>
      </w:r>
      <w:r w:rsidRPr="004E29E3">
        <w:fldChar w:fldCharType="separate"/>
      </w:r>
      <w:r w:rsidR="00EA42ED">
        <w:rPr>
          <w:noProof/>
        </w:rPr>
        <w:instrText>8</w:instrText>
      </w:r>
      <w:r w:rsidR="00EA42ED" w:rsidRPr="004E29E3">
        <w:rPr>
          <w:noProof/>
        </w:rPr>
        <w:instrText>.</w:instrText>
      </w:r>
      <w:r w:rsidRPr="004E29E3">
        <w:fldChar w:fldCharType="end"/>
      </w:r>
      <w:r w:rsidRPr="004E29E3">
        <w:fldChar w:fldCharType="begin"/>
      </w:r>
      <w:r w:rsidRPr="004E29E3">
        <w:instrText xml:space="preserve"> SEQ Item \* ARABIC \s </w:instrText>
      </w:r>
      <w:r w:rsidRPr="004E29E3">
        <w:fldChar w:fldCharType="begin"/>
      </w:r>
      <w:r w:rsidRPr="004E29E3">
        <w:instrText xml:space="preserve"> IF </w:instrText>
      </w:r>
      <w:r w:rsidRPr="004E29E3">
        <w:rPr>
          <w:noProof/>
        </w:rPr>
        <w:fldChar w:fldCharType="begin"/>
      </w:r>
      <w:r w:rsidRPr="004E29E3">
        <w:rPr>
          <w:noProof/>
        </w:rPr>
        <w:instrText xml:space="preserve"> STYLEREF "Heading 6" \l \n </w:instrText>
      </w:r>
      <w:r w:rsidRPr="004E29E3">
        <w:rPr>
          <w:noProof/>
        </w:rPr>
        <w:fldChar w:fldCharType="separate"/>
      </w:r>
      <w:r w:rsidR="00B833F1">
        <w:rPr>
          <w:noProof/>
        </w:rPr>
        <w:instrText>0</w:instrText>
      </w:r>
      <w:r w:rsidRPr="004E29E3">
        <w:rPr>
          <w:noProof/>
        </w:rPr>
        <w:fldChar w:fldCharType="end"/>
      </w:r>
      <w:r w:rsidRPr="004E29E3">
        <w:instrText xml:space="preserve"> = 0 "</w:instrText>
      </w:r>
      <w:r w:rsidRPr="004E29E3">
        <w:fldChar w:fldCharType="begin"/>
      </w:r>
      <w:r w:rsidRPr="004E29E3">
        <w:instrText xml:space="preserve"> IF </w:instrText>
      </w:r>
      <w:r w:rsidRPr="004E29E3">
        <w:rPr>
          <w:noProof/>
        </w:rPr>
        <w:fldChar w:fldCharType="begin"/>
      </w:r>
      <w:r w:rsidRPr="004E29E3">
        <w:rPr>
          <w:noProof/>
        </w:rPr>
        <w:instrText xml:space="preserve"> STYLEREF "Heading 1" \l \n </w:instrText>
      </w:r>
      <w:r w:rsidRPr="004E29E3">
        <w:rPr>
          <w:noProof/>
        </w:rPr>
        <w:fldChar w:fldCharType="separate"/>
      </w:r>
      <w:r w:rsidR="00B833F1">
        <w:rPr>
          <w:noProof/>
        </w:rPr>
        <w:instrText>8</w:instrText>
      </w:r>
      <w:r w:rsidRPr="004E29E3">
        <w:rPr>
          <w:noProof/>
        </w:rPr>
        <w:fldChar w:fldCharType="end"/>
      </w:r>
      <w:r w:rsidRPr="004E29E3">
        <w:instrText xml:space="preserve"> = 0 "" "1" </w:instrText>
      </w:r>
      <w:r w:rsidRPr="004E29E3">
        <w:fldChar w:fldCharType="separate"/>
      </w:r>
      <w:r w:rsidR="00EA42ED" w:rsidRPr="004E29E3">
        <w:rPr>
          <w:noProof/>
        </w:rPr>
        <w:instrText>1</w:instrText>
      </w:r>
      <w:r w:rsidRPr="004E29E3">
        <w:fldChar w:fldCharType="end"/>
      </w:r>
      <w:r w:rsidRPr="004E29E3">
        <w:instrText xml:space="preserve">" "6" </w:instrText>
      </w:r>
      <w:r w:rsidRPr="004E29E3">
        <w:fldChar w:fldCharType="separate"/>
      </w:r>
      <w:r w:rsidR="00EA42ED" w:rsidRPr="004E29E3">
        <w:rPr>
          <w:noProof/>
        </w:rPr>
        <w:instrText>1</w:instrText>
      </w:r>
      <w:r w:rsidRPr="004E29E3">
        <w:fldChar w:fldCharType="end"/>
      </w:r>
      <w:r w:rsidRPr="004E29E3">
        <w:instrText xml:space="preserve"> </w:instrText>
      </w:r>
      <w:r w:rsidRPr="004E29E3">
        <w:fldChar w:fldCharType="separate"/>
      </w:r>
      <w:r w:rsidR="00B833F1">
        <w:rPr>
          <w:noProof/>
        </w:rPr>
        <w:instrText>10</w:instrText>
      </w:r>
      <w:r w:rsidRPr="004E29E3">
        <w:fldChar w:fldCharType="end"/>
      </w:r>
      <w:r w:rsidRPr="004E29E3">
        <w:instrText xml:space="preserve">" "" </w:instrText>
      </w:r>
      <w:r w:rsidRPr="004E29E3">
        <w:fldChar w:fldCharType="separate"/>
      </w:r>
      <w:bookmarkStart w:id="3782" w:name="_Caption9466"/>
      <w:bookmarkStart w:id="3783" w:name="_Caption0459"/>
      <w:bookmarkStart w:id="3784" w:name="_Caption2922"/>
      <w:bookmarkStart w:id="3785" w:name="_Caption9231"/>
      <w:bookmarkStart w:id="3786" w:name="_Caption7395"/>
      <w:bookmarkStart w:id="3787" w:name="_Caption2735"/>
      <w:bookmarkStart w:id="3788" w:name="_Caption7009"/>
      <w:bookmarkStart w:id="3789" w:name="_Caption5395"/>
      <w:bookmarkStart w:id="3790" w:name="_Caption9361"/>
      <w:bookmarkStart w:id="3791" w:name="_Caption1412"/>
      <w:bookmarkStart w:id="3792" w:name="_Caption8916"/>
      <w:bookmarkStart w:id="3793" w:name="_Caption7720"/>
      <w:bookmarkStart w:id="3794" w:name="_Caption0856"/>
      <w:bookmarkStart w:id="3795" w:name="_Caption2491"/>
      <w:bookmarkStart w:id="3796" w:name="_Caption7799"/>
      <w:bookmarkStart w:id="3797" w:name="_Caption9832"/>
      <w:bookmarkStart w:id="3798" w:name="_Caption9351"/>
      <w:bookmarkStart w:id="3799" w:name="_Caption5682"/>
      <w:bookmarkStart w:id="3800" w:name="_Caption6643"/>
      <w:bookmarkStart w:id="3801" w:name="_Caption5644"/>
      <w:bookmarkStart w:id="3802" w:name="_Caption1656"/>
      <w:bookmarkStart w:id="3803" w:name="_Caption6072"/>
      <w:bookmarkStart w:id="3804" w:name="_Caption6561"/>
      <w:bookmarkStart w:id="3805" w:name="_Caption8841"/>
      <w:bookmarkStart w:id="3806" w:name="_Caption8827"/>
      <w:bookmarkStart w:id="3807" w:name="_Caption4477"/>
      <w:bookmarkStart w:id="3808" w:name="_Caption8646"/>
      <w:bookmarkStart w:id="3809" w:name="_Caption7968"/>
      <w:bookmarkStart w:id="3810" w:name="_Caption7143"/>
      <w:bookmarkStart w:id="3811" w:name="_Caption1420"/>
      <w:bookmarkStart w:id="3812" w:name="_Caption0544"/>
      <w:bookmarkStart w:id="3813" w:name="_Caption9101"/>
      <w:bookmarkStart w:id="3814" w:name="_Caption2055"/>
      <w:bookmarkStart w:id="3815" w:name="_Caption3269"/>
      <w:bookmarkStart w:id="3816" w:name="_Caption0212"/>
      <w:bookmarkStart w:id="3817" w:name="_Caption2459"/>
      <w:bookmarkStart w:id="3818" w:name="_Caption8011"/>
      <w:bookmarkStart w:id="3819" w:name="_Caption4625"/>
      <w:bookmarkStart w:id="3820" w:name="_Caption0715"/>
      <w:bookmarkStart w:id="3821" w:name="_Caption1889"/>
      <w:bookmarkStart w:id="3822" w:name="_Caption2188"/>
      <w:bookmarkStart w:id="3823" w:name="_Caption1429"/>
      <w:bookmarkStart w:id="3824" w:name="_Toc529869949"/>
      <w:bookmarkStart w:id="3825" w:name="_Toc530748445"/>
      <w:r w:rsidR="00EA42ED">
        <w:rPr>
          <w:noProof/>
        </w:rPr>
        <w:t>8</w:t>
      </w:r>
      <w:r w:rsidR="00EA42ED" w:rsidRPr="004E29E3">
        <w:rPr>
          <w:noProof/>
        </w:rPr>
        <w:t>.</w:t>
      </w:r>
      <w:r w:rsidR="00EA42ED">
        <w:rPr>
          <w:noProof/>
        </w:rPr>
        <w:t>10</w:t>
      </w:r>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r w:rsidRPr="004E29E3">
        <w:fldChar w:fldCharType="end"/>
      </w:r>
      <w:r w:rsidRPr="004E29E3">
        <w:tab/>
        <w:t>Services/façade decomposition — office building</w:t>
      </w:r>
      <w:bookmarkEnd w:id="3824"/>
      <w:bookmarkEnd w:id="3825"/>
    </w:p>
    <w:tbl>
      <w:tblPr>
        <w:tblW w:w="7939" w:type="dxa"/>
        <w:tblLayout w:type="fixed"/>
        <w:tblLook w:val="0000" w:firstRow="0" w:lastRow="0" w:firstColumn="0" w:lastColumn="0" w:noHBand="0" w:noVBand="0"/>
        <w:tblCaption w:val="Table 8.10: Services/facade decomposition - office buildings"/>
        <w:tblDescription w:val="This table outlines the composition of costs and benefits of proposed changes to the NCC 2019. There are two primary impacts, impacts to services and impacts to the facade of the building.  "/>
      </w:tblPr>
      <w:tblGrid>
        <w:gridCol w:w="1843"/>
        <w:gridCol w:w="1219"/>
        <w:gridCol w:w="1219"/>
        <w:gridCol w:w="1219"/>
        <w:gridCol w:w="1219"/>
        <w:gridCol w:w="1220"/>
      </w:tblGrid>
      <w:tr w:rsidR="00B23227" w:rsidRPr="00143A66" w:rsidTr="00E52B0E">
        <w:trPr>
          <w:trHeight w:val="230"/>
          <w:tblHeader/>
        </w:trPr>
        <w:tc>
          <w:tcPr>
            <w:tcW w:w="1843" w:type="dxa"/>
            <w:shd w:val="clear" w:color="auto" w:fill="6F6652"/>
            <w:tcMar>
              <w:left w:w="57" w:type="dxa"/>
              <w:right w:w="57" w:type="dxa"/>
            </w:tcMar>
          </w:tcPr>
          <w:p w:rsidR="00B23227" w:rsidRPr="00143A66" w:rsidRDefault="00B23227" w:rsidP="00E52B0E">
            <w:pPr>
              <w:pStyle w:val="TableDataColumnHeading"/>
              <w:jc w:val="left"/>
              <w:rPr>
                <w:lang w:val="en-GB"/>
              </w:rPr>
            </w:pPr>
          </w:p>
        </w:tc>
        <w:tc>
          <w:tcPr>
            <w:tcW w:w="1219" w:type="dxa"/>
            <w:shd w:val="clear" w:color="auto" w:fill="6F6652"/>
            <w:tcMar>
              <w:left w:w="57" w:type="dxa"/>
              <w:right w:w="57" w:type="dxa"/>
            </w:tcMar>
          </w:tcPr>
          <w:p w:rsidR="00B23227" w:rsidRPr="00143A66" w:rsidRDefault="00B23227" w:rsidP="00E52B0E">
            <w:pPr>
              <w:pStyle w:val="TableDataColumnHeading"/>
              <w:rPr>
                <w:bCs/>
                <w:lang w:val="en-GB"/>
              </w:rPr>
            </w:pPr>
            <w:r w:rsidRPr="00143A66">
              <w:rPr>
                <w:bCs/>
                <w:lang w:val="en-GB"/>
              </w:rPr>
              <w:t>Sydney</w:t>
            </w:r>
          </w:p>
        </w:tc>
        <w:tc>
          <w:tcPr>
            <w:tcW w:w="1219" w:type="dxa"/>
            <w:shd w:val="clear" w:color="auto" w:fill="6F6652"/>
            <w:tcMar>
              <w:left w:w="57" w:type="dxa"/>
              <w:right w:w="57" w:type="dxa"/>
            </w:tcMar>
          </w:tcPr>
          <w:p w:rsidR="00B23227" w:rsidRPr="00143A66" w:rsidRDefault="00B23227" w:rsidP="00E52B0E">
            <w:pPr>
              <w:pStyle w:val="TableDataColumnHeading"/>
              <w:rPr>
                <w:bCs/>
                <w:lang w:val="en-GB"/>
              </w:rPr>
            </w:pPr>
            <w:r w:rsidRPr="00143A66">
              <w:rPr>
                <w:bCs/>
                <w:lang w:val="en-GB"/>
              </w:rPr>
              <w:t>Melbourne</w:t>
            </w:r>
          </w:p>
        </w:tc>
        <w:tc>
          <w:tcPr>
            <w:tcW w:w="1219" w:type="dxa"/>
            <w:shd w:val="clear" w:color="auto" w:fill="6F6652"/>
            <w:tcMar>
              <w:left w:w="57" w:type="dxa"/>
              <w:right w:w="57" w:type="dxa"/>
            </w:tcMar>
          </w:tcPr>
          <w:p w:rsidR="00B23227" w:rsidRPr="00143A66" w:rsidRDefault="00B23227" w:rsidP="00E52B0E">
            <w:pPr>
              <w:pStyle w:val="TableDataColumnHeading"/>
              <w:rPr>
                <w:bCs/>
                <w:lang w:val="en-GB"/>
              </w:rPr>
            </w:pPr>
            <w:r w:rsidRPr="00143A66">
              <w:rPr>
                <w:bCs/>
                <w:lang w:val="en-GB"/>
              </w:rPr>
              <w:t>Brisbane</w:t>
            </w:r>
          </w:p>
        </w:tc>
        <w:tc>
          <w:tcPr>
            <w:tcW w:w="1219" w:type="dxa"/>
            <w:shd w:val="clear" w:color="auto" w:fill="6F6652"/>
            <w:tcMar>
              <w:left w:w="57" w:type="dxa"/>
              <w:right w:w="57" w:type="dxa"/>
            </w:tcMar>
          </w:tcPr>
          <w:p w:rsidR="00B23227" w:rsidRPr="00143A66" w:rsidRDefault="00B23227" w:rsidP="00E52B0E">
            <w:pPr>
              <w:pStyle w:val="TableDataColumnHeading"/>
              <w:rPr>
                <w:bCs/>
                <w:lang w:val="en-GB"/>
              </w:rPr>
            </w:pPr>
            <w:r w:rsidRPr="00143A66">
              <w:rPr>
                <w:bCs/>
                <w:lang w:val="en-GB"/>
              </w:rPr>
              <w:t>Adelaide</w:t>
            </w:r>
          </w:p>
        </w:tc>
        <w:tc>
          <w:tcPr>
            <w:tcW w:w="1220" w:type="dxa"/>
            <w:shd w:val="clear" w:color="auto" w:fill="6F6652"/>
            <w:tcMar>
              <w:left w:w="57" w:type="dxa"/>
              <w:right w:w="57" w:type="dxa"/>
            </w:tcMar>
          </w:tcPr>
          <w:p w:rsidR="00B23227" w:rsidRPr="00143A66" w:rsidRDefault="00B23227" w:rsidP="00E52B0E">
            <w:pPr>
              <w:pStyle w:val="TableDataColumnHeading"/>
              <w:rPr>
                <w:bCs/>
                <w:lang w:val="en-GB"/>
              </w:rPr>
            </w:pPr>
            <w:r w:rsidRPr="00143A66">
              <w:rPr>
                <w:bCs/>
                <w:lang w:val="en-GB"/>
              </w:rPr>
              <w:t>Perth</w:t>
            </w:r>
          </w:p>
        </w:tc>
      </w:tr>
      <w:tr w:rsidR="00B23227" w:rsidRPr="0030137D" w:rsidTr="00E52B0E">
        <w:trPr>
          <w:trHeight w:val="230"/>
          <w:tblHeader/>
        </w:trPr>
        <w:tc>
          <w:tcPr>
            <w:tcW w:w="1843" w:type="dxa"/>
            <w:tcBorders>
              <w:bottom w:val="single" w:sz="8" w:space="0" w:color="FFFFFF" w:themeColor="background1"/>
            </w:tcBorders>
            <w:shd w:val="clear" w:color="auto" w:fill="auto"/>
            <w:tcMar>
              <w:left w:w="57" w:type="dxa"/>
              <w:right w:w="57" w:type="dxa"/>
            </w:tcMar>
          </w:tcPr>
          <w:p w:rsidR="00B23227" w:rsidRPr="0030137D" w:rsidRDefault="00B23227" w:rsidP="00E52B0E">
            <w:pPr>
              <w:pStyle w:val="TableUnit"/>
              <w:jc w:val="left"/>
              <w:rPr>
                <w:lang w:val="en-GB"/>
              </w:rPr>
            </w:pPr>
          </w:p>
        </w:tc>
        <w:tc>
          <w:tcPr>
            <w:tcW w:w="1219" w:type="dxa"/>
            <w:tcBorders>
              <w:bottom w:val="single" w:sz="8" w:space="0" w:color="FFFFFF" w:themeColor="background1"/>
            </w:tcBorders>
            <w:shd w:val="clear" w:color="auto" w:fill="auto"/>
            <w:tcMar>
              <w:left w:w="57" w:type="dxa"/>
              <w:right w:w="57" w:type="dxa"/>
            </w:tcMar>
          </w:tcPr>
          <w:p w:rsidR="00B23227" w:rsidRPr="0030137D" w:rsidRDefault="00B23227" w:rsidP="00E52B0E">
            <w:pPr>
              <w:pStyle w:val="TableUnit"/>
              <w:rPr>
                <w:lang w:val="en-GB"/>
              </w:rPr>
            </w:pPr>
            <w:r w:rsidRPr="0030137D">
              <w:rPr>
                <w:lang w:val="en-GB"/>
              </w:rPr>
              <w:t>$ per m</w:t>
            </w:r>
            <w:r w:rsidRPr="001640D9">
              <w:rPr>
                <w:vertAlign w:val="superscript"/>
                <w:lang w:val="en-GB"/>
              </w:rPr>
              <w:t>2</w:t>
            </w:r>
          </w:p>
        </w:tc>
        <w:tc>
          <w:tcPr>
            <w:tcW w:w="1219" w:type="dxa"/>
            <w:tcBorders>
              <w:bottom w:val="single" w:sz="8" w:space="0" w:color="FFFFFF" w:themeColor="background1"/>
            </w:tcBorders>
            <w:shd w:val="clear" w:color="auto" w:fill="auto"/>
            <w:tcMar>
              <w:left w:w="57" w:type="dxa"/>
              <w:right w:w="57" w:type="dxa"/>
            </w:tcMar>
          </w:tcPr>
          <w:p w:rsidR="00B23227" w:rsidRPr="0030137D" w:rsidRDefault="00B23227" w:rsidP="00E52B0E">
            <w:pPr>
              <w:pStyle w:val="TableUnit"/>
              <w:rPr>
                <w:lang w:val="en-GB"/>
              </w:rPr>
            </w:pPr>
            <w:r w:rsidRPr="0030137D">
              <w:rPr>
                <w:lang w:val="en-GB"/>
              </w:rPr>
              <w:t>$ per m</w:t>
            </w:r>
            <w:r w:rsidRPr="001640D9">
              <w:rPr>
                <w:vertAlign w:val="superscript"/>
                <w:lang w:val="en-GB"/>
              </w:rPr>
              <w:t>2</w:t>
            </w:r>
          </w:p>
        </w:tc>
        <w:tc>
          <w:tcPr>
            <w:tcW w:w="1219" w:type="dxa"/>
            <w:tcBorders>
              <w:bottom w:val="single" w:sz="8" w:space="0" w:color="FFFFFF" w:themeColor="background1"/>
            </w:tcBorders>
            <w:shd w:val="clear" w:color="auto" w:fill="auto"/>
            <w:tcMar>
              <w:left w:w="57" w:type="dxa"/>
              <w:right w:w="57" w:type="dxa"/>
            </w:tcMar>
          </w:tcPr>
          <w:p w:rsidR="00B23227" w:rsidRPr="0030137D" w:rsidRDefault="00B23227" w:rsidP="00E52B0E">
            <w:pPr>
              <w:pStyle w:val="TableUnit"/>
              <w:rPr>
                <w:lang w:val="en-GB"/>
              </w:rPr>
            </w:pPr>
            <w:r w:rsidRPr="0030137D">
              <w:rPr>
                <w:lang w:val="en-GB"/>
              </w:rPr>
              <w:t>$ per m</w:t>
            </w:r>
            <w:r w:rsidRPr="001640D9">
              <w:rPr>
                <w:vertAlign w:val="superscript"/>
                <w:lang w:val="en-GB"/>
              </w:rPr>
              <w:t>2</w:t>
            </w:r>
          </w:p>
        </w:tc>
        <w:tc>
          <w:tcPr>
            <w:tcW w:w="1219" w:type="dxa"/>
            <w:tcBorders>
              <w:bottom w:val="single" w:sz="8" w:space="0" w:color="FFFFFF" w:themeColor="background1"/>
            </w:tcBorders>
            <w:shd w:val="clear" w:color="auto" w:fill="auto"/>
            <w:tcMar>
              <w:left w:w="57" w:type="dxa"/>
              <w:right w:w="57" w:type="dxa"/>
            </w:tcMar>
          </w:tcPr>
          <w:p w:rsidR="00B23227" w:rsidRPr="0030137D" w:rsidRDefault="00B23227" w:rsidP="00E52B0E">
            <w:pPr>
              <w:pStyle w:val="TableUnit"/>
              <w:rPr>
                <w:lang w:val="en-GB"/>
              </w:rPr>
            </w:pPr>
            <w:r w:rsidRPr="0030137D">
              <w:rPr>
                <w:lang w:val="en-GB"/>
              </w:rPr>
              <w:t>$ per m</w:t>
            </w:r>
            <w:r w:rsidRPr="001640D9">
              <w:rPr>
                <w:vertAlign w:val="superscript"/>
                <w:lang w:val="en-GB"/>
              </w:rPr>
              <w:t>2</w:t>
            </w:r>
          </w:p>
        </w:tc>
        <w:tc>
          <w:tcPr>
            <w:tcW w:w="1220" w:type="dxa"/>
            <w:tcBorders>
              <w:bottom w:val="single" w:sz="8" w:space="0" w:color="FFFFFF" w:themeColor="background1"/>
            </w:tcBorders>
            <w:shd w:val="clear" w:color="auto" w:fill="auto"/>
            <w:tcMar>
              <w:left w:w="57" w:type="dxa"/>
              <w:right w:w="57" w:type="dxa"/>
            </w:tcMar>
          </w:tcPr>
          <w:p w:rsidR="00B23227" w:rsidRPr="0030137D" w:rsidRDefault="00B23227" w:rsidP="00E52B0E">
            <w:pPr>
              <w:pStyle w:val="TableUnit"/>
              <w:rPr>
                <w:lang w:val="en-GB"/>
              </w:rPr>
            </w:pPr>
            <w:r w:rsidRPr="0030137D">
              <w:rPr>
                <w:lang w:val="en-GB"/>
              </w:rPr>
              <w:t>$ per m</w:t>
            </w:r>
            <w:r w:rsidRPr="001640D9">
              <w:rPr>
                <w:vertAlign w:val="superscript"/>
                <w:lang w:val="en-GB"/>
              </w:rPr>
              <w:t>2</w:t>
            </w:r>
          </w:p>
        </w:tc>
      </w:tr>
      <w:tr w:rsidR="00B23227" w:rsidRPr="0030137D" w:rsidTr="00E52B0E">
        <w:trPr>
          <w:trHeight w:val="230"/>
        </w:trPr>
        <w:tc>
          <w:tcPr>
            <w:tcW w:w="184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B23227" w:rsidRPr="0030137D" w:rsidRDefault="00B23227" w:rsidP="00E52B0E">
            <w:pPr>
              <w:pStyle w:val="TableHeading1"/>
              <w:rPr>
                <w:lang w:val="en-GB"/>
              </w:rPr>
            </w:pPr>
            <w:r w:rsidRPr="0030137D">
              <w:rPr>
                <w:lang w:val="en-GB"/>
              </w:rPr>
              <w:t>Services</w:t>
            </w:r>
          </w:p>
        </w:tc>
        <w:tc>
          <w:tcPr>
            <w:tcW w:w="121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B23227" w:rsidRPr="0030137D" w:rsidRDefault="00B23227" w:rsidP="00E52B0E">
            <w:pPr>
              <w:pStyle w:val="TableHeading1"/>
              <w:rPr>
                <w:lang w:val="en-GB"/>
              </w:rPr>
            </w:pPr>
          </w:p>
        </w:tc>
        <w:tc>
          <w:tcPr>
            <w:tcW w:w="121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B23227" w:rsidRPr="0030137D" w:rsidRDefault="00B23227" w:rsidP="00E52B0E">
            <w:pPr>
              <w:pStyle w:val="TableHeading1"/>
              <w:rPr>
                <w:lang w:val="en-GB"/>
              </w:rPr>
            </w:pPr>
          </w:p>
        </w:tc>
        <w:tc>
          <w:tcPr>
            <w:tcW w:w="121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B23227" w:rsidRPr="0030137D" w:rsidRDefault="00B23227" w:rsidP="00E52B0E">
            <w:pPr>
              <w:pStyle w:val="TableHeading1"/>
              <w:rPr>
                <w:lang w:val="en-GB"/>
              </w:rPr>
            </w:pPr>
          </w:p>
        </w:tc>
        <w:tc>
          <w:tcPr>
            <w:tcW w:w="121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B23227" w:rsidRPr="0030137D" w:rsidRDefault="00B23227" w:rsidP="00E52B0E">
            <w:pPr>
              <w:pStyle w:val="TableHeading1"/>
              <w:rPr>
                <w:lang w:val="en-GB"/>
              </w:rPr>
            </w:pPr>
          </w:p>
        </w:tc>
        <w:tc>
          <w:tcPr>
            <w:tcW w:w="1220"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B23227" w:rsidRPr="0030137D" w:rsidRDefault="00B23227" w:rsidP="00E52B0E">
            <w:pPr>
              <w:pStyle w:val="TableHeading1"/>
              <w:rPr>
                <w:lang w:val="en-GB"/>
              </w:rPr>
            </w:pPr>
          </w:p>
        </w:tc>
      </w:tr>
      <w:tr w:rsidR="00563472" w:rsidRPr="0030137D" w:rsidTr="00E52B0E">
        <w:trPr>
          <w:trHeight w:val="230"/>
        </w:trPr>
        <w:tc>
          <w:tcPr>
            <w:tcW w:w="184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563472" w:rsidRPr="0030137D" w:rsidRDefault="00563472" w:rsidP="00563472">
            <w:pPr>
              <w:pStyle w:val="TableDataEntries"/>
              <w:jc w:val="left"/>
              <w:rPr>
                <w:lang w:val="en-GB"/>
              </w:rPr>
            </w:pPr>
            <w:r w:rsidRPr="0030137D">
              <w:rPr>
                <w:lang w:val="en-GB"/>
              </w:rPr>
              <w:t>Benefits</w:t>
            </w:r>
          </w:p>
        </w:tc>
        <w:tc>
          <w:tcPr>
            <w:tcW w:w="12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25.18</w:t>
            </w:r>
          </w:p>
        </w:tc>
        <w:tc>
          <w:tcPr>
            <w:tcW w:w="12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15.64</w:t>
            </w:r>
          </w:p>
        </w:tc>
        <w:tc>
          <w:tcPr>
            <w:tcW w:w="12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22.90</w:t>
            </w:r>
          </w:p>
        </w:tc>
        <w:tc>
          <w:tcPr>
            <w:tcW w:w="12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22.72</w:t>
            </w:r>
          </w:p>
        </w:tc>
        <w:tc>
          <w:tcPr>
            <w:tcW w:w="122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23.34</w:t>
            </w:r>
          </w:p>
        </w:tc>
      </w:tr>
      <w:tr w:rsidR="00563472" w:rsidRPr="0030137D" w:rsidTr="00E52B0E">
        <w:trPr>
          <w:trHeight w:val="230"/>
        </w:trPr>
        <w:tc>
          <w:tcPr>
            <w:tcW w:w="184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563472" w:rsidRPr="0030137D" w:rsidRDefault="00563472" w:rsidP="00563472">
            <w:pPr>
              <w:pStyle w:val="TableDataEntries"/>
              <w:jc w:val="left"/>
              <w:rPr>
                <w:lang w:val="en-GB"/>
              </w:rPr>
            </w:pPr>
            <w:r w:rsidRPr="0030137D">
              <w:rPr>
                <w:lang w:val="en-GB"/>
              </w:rPr>
              <w:t>Costs</w:t>
            </w:r>
          </w:p>
        </w:tc>
        <w:tc>
          <w:tcPr>
            <w:tcW w:w="12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- 10.36</w:t>
            </w:r>
          </w:p>
        </w:tc>
        <w:tc>
          <w:tcPr>
            <w:tcW w:w="12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- 15.20</w:t>
            </w:r>
          </w:p>
        </w:tc>
        <w:tc>
          <w:tcPr>
            <w:tcW w:w="12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- 1.79</w:t>
            </w:r>
          </w:p>
        </w:tc>
        <w:tc>
          <w:tcPr>
            <w:tcW w:w="12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- 10.36</w:t>
            </w:r>
          </w:p>
        </w:tc>
        <w:tc>
          <w:tcPr>
            <w:tcW w:w="122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- 10.36</w:t>
            </w:r>
          </w:p>
        </w:tc>
      </w:tr>
      <w:tr w:rsidR="00563472" w:rsidRPr="0030137D" w:rsidTr="00E52B0E">
        <w:trPr>
          <w:trHeight w:val="230"/>
        </w:trPr>
        <w:tc>
          <w:tcPr>
            <w:tcW w:w="184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563472" w:rsidRPr="0030137D" w:rsidRDefault="00563472" w:rsidP="00563472">
            <w:pPr>
              <w:pStyle w:val="TableDataEntries"/>
              <w:jc w:val="left"/>
              <w:rPr>
                <w:lang w:val="en-GB"/>
              </w:rPr>
            </w:pPr>
            <w:r w:rsidRPr="0030137D">
              <w:rPr>
                <w:lang w:val="en-GB"/>
              </w:rPr>
              <w:t>Net benefits/costs</w:t>
            </w:r>
          </w:p>
        </w:tc>
        <w:tc>
          <w:tcPr>
            <w:tcW w:w="1219"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563472" w:rsidRPr="00563472" w:rsidRDefault="00563472" w:rsidP="00563472">
            <w:pPr>
              <w:pStyle w:val="TableDataEntries"/>
            </w:pPr>
            <w:r w:rsidRPr="00563472">
              <w:t xml:space="preserve"> 14.83</w:t>
            </w:r>
          </w:p>
        </w:tc>
        <w:tc>
          <w:tcPr>
            <w:tcW w:w="1219"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563472" w:rsidRPr="00563472" w:rsidRDefault="00563472" w:rsidP="00563472">
            <w:pPr>
              <w:pStyle w:val="TableDataEntries"/>
            </w:pPr>
            <w:r w:rsidRPr="00563472">
              <w:t xml:space="preserve"> 0.44</w:t>
            </w:r>
          </w:p>
        </w:tc>
        <w:tc>
          <w:tcPr>
            <w:tcW w:w="1219"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563472" w:rsidRPr="00563472" w:rsidRDefault="00563472" w:rsidP="00563472">
            <w:pPr>
              <w:pStyle w:val="TableDataEntries"/>
            </w:pPr>
            <w:r w:rsidRPr="00563472">
              <w:t xml:space="preserve"> 21.11</w:t>
            </w:r>
          </w:p>
        </w:tc>
        <w:tc>
          <w:tcPr>
            <w:tcW w:w="1219"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563472" w:rsidRPr="00563472" w:rsidRDefault="00563472" w:rsidP="00563472">
            <w:pPr>
              <w:pStyle w:val="TableDataEntries"/>
            </w:pPr>
            <w:r w:rsidRPr="00563472">
              <w:t xml:space="preserve"> 12.36</w:t>
            </w:r>
          </w:p>
        </w:tc>
        <w:tc>
          <w:tcPr>
            <w:tcW w:w="1220"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563472" w:rsidRPr="00563472" w:rsidRDefault="00563472" w:rsidP="00563472">
            <w:pPr>
              <w:pStyle w:val="TableDataEntries"/>
            </w:pPr>
            <w:r w:rsidRPr="00563472">
              <w:t xml:space="preserve"> 12.99</w:t>
            </w:r>
          </w:p>
        </w:tc>
      </w:tr>
      <w:tr w:rsidR="00563472" w:rsidRPr="0030137D" w:rsidTr="00E52B0E">
        <w:trPr>
          <w:trHeight w:val="230"/>
        </w:trPr>
        <w:tc>
          <w:tcPr>
            <w:tcW w:w="184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563472" w:rsidRPr="0030137D" w:rsidRDefault="00563472" w:rsidP="00563472">
            <w:pPr>
              <w:pStyle w:val="TableHeading1"/>
              <w:rPr>
                <w:lang w:val="en-GB"/>
              </w:rPr>
            </w:pPr>
            <w:r w:rsidRPr="0030137D">
              <w:rPr>
                <w:lang w:val="en-GB"/>
              </w:rPr>
              <w:t>Façade</w:t>
            </w:r>
          </w:p>
        </w:tc>
        <w:tc>
          <w:tcPr>
            <w:tcW w:w="121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563472" w:rsidRPr="00563472" w:rsidRDefault="00563472" w:rsidP="00563472">
            <w:pPr>
              <w:pStyle w:val="TableDataEntries"/>
            </w:pPr>
          </w:p>
        </w:tc>
        <w:tc>
          <w:tcPr>
            <w:tcW w:w="121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563472" w:rsidRPr="00563472" w:rsidRDefault="00563472" w:rsidP="00563472">
            <w:pPr>
              <w:pStyle w:val="TableDataEntries"/>
            </w:pPr>
          </w:p>
        </w:tc>
        <w:tc>
          <w:tcPr>
            <w:tcW w:w="121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563472" w:rsidRPr="00563472" w:rsidRDefault="00563472" w:rsidP="00563472">
            <w:pPr>
              <w:pStyle w:val="TableDataEntries"/>
            </w:pPr>
          </w:p>
        </w:tc>
        <w:tc>
          <w:tcPr>
            <w:tcW w:w="121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563472" w:rsidRPr="00563472" w:rsidRDefault="00563472" w:rsidP="00563472">
            <w:pPr>
              <w:pStyle w:val="TableDataEntries"/>
            </w:pPr>
          </w:p>
        </w:tc>
        <w:tc>
          <w:tcPr>
            <w:tcW w:w="1220"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563472" w:rsidRPr="00563472" w:rsidRDefault="00563472" w:rsidP="00563472">
            <w:pPr>
              <w:pStyle w:val="TableDataEntries"/>
            </w:pPr>
          </w:p>
        </w:tc>
      </w:tr>
      <w:tr w:rsidR="00563472" w:rsidRPr="0030137D" w:rsidTr="00E52B0E">
        <w:trPr>
          <w:trHeight w:val="230"/>
        </w:trPr>
        <w:tc>
          <w:tcPr>
            <w:tcW w:w="184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563472" w:rsidRPr="0030137D" w:rsidRDefault="00563472" w:rsidP="00563472">
            <w:pPr>
              <w:pStyle w:val="TableDataEntries"/>
              <w:jc w:val="left"/>
              <w:rPr>
                <w:lang w:val="en-GB"/>
              </w:rPr>
            </w:pPr>
            <w:r w:rsidRPr="0030137D">
              <w:rPr>
                <w:lang w:val="en-GB"/>
              </w:rPr>
              <w:t>Benefits</w:t>
            </w:r>
          </w:p>
        </w:tc>
        <w:tc>
          <w:tcPr>
            <w:tcW w:w="12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2.54</w:t>
            </w:r>
          </w:p>
        </w:tc>
        <w:tc>
          <w:tcPr>
            <w:tcW w:w="12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4.76</w:t>
            </w:r>
          </w:p>
        </w:tc>
        <w:tc>
          <w:tcPr>
            <w:tcW w:w="12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6.02</w:t>
            </w:r>
          </w:p>
        </w:tc>
        <w:tc>
          <w:tcPr>
            <w:tcW w:w="12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1.45</w:t>
            </w:r>
          </w:p>
        </w:tc>
        <w:tc>
          <w:tcPr>
            <w:tcW w:w="122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0.78</w:t>
            </w:r>
          </w:p>
        </w:tc>
      </w:tr>
      <w:tr w:rsidR="00563472" w:rsidRPr="0030137D" w:rsidTr="00E52B0E">
        <w:trPr>
          <w:trHeight w:val="230"/>
        </w:trPr>
        <w:tc>
          <w:tcPr>
            <w:tcW w:w="184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563472" w:rsidRPr="0030137D" w:rsidRDefault="00563472" w:rsidP="00563472">
            <w:pPr>
              <w:pStyle w:val="TableDataEntries"/>
              <w:jc w:val="left"/>
              <w:rPr>
                <w:lang w:val="en-GB"/>
              </w:rPr>
            </w:pPr>
            <w:r w:rsidRPr="0030137D">
              <w:rPr>
                <w:lang w:val="en-GB"/>
              </w:rPr>
              <w:t>Costs</w:t>
            </w:r>
          </w:p>
        </w:tc>
        <w:tc>
          <w:tcPr>
            <w:tcW w:w="12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- 0.75</w:t>
            </w:r>
          </w:p>
        </w:tc>
        <w:tc>
          <w:tcPr>
            <w:tcW w:w="12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xml:space="preserve"> 9.84</w:t>
            </w:r>
          </w:p>
        </w:tc>
        <w:tc>
          <w:tcPr>
            <w:tcW w:w="12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- 1.70</w:t>
            </w:r>
          </w:p>
        </w:tc>
        <w:tc>
          <w:tcPr>
            <w:tcW w:w="12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- 0.75</w:t>
            </w:r>
          </w:p>
        </w:tc>
        <w:tc>
          <w:tcPr>
            <w:tcW w:w="122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63472" w:rsidRPr="00563472" w:rsidRDefault="00563472" w:rsidP="00563472">
            <w:pPr>
              <w:pStyle w:val="TableDataEntries"/>
            </w:pPr>
            <w:r w:rsidRPr="00563472">
              <w:t>- 0.75</w:t>
            </w:r>
          </w:p>
        </w:tc>
      </w:tr>
      <w:tr w:rsidR="00563472" w:rsidRPr="0030137D" w:rsidTr="00E52B0E">
        <w:trPr>
          <w:trHeight w:val="230"/>
        </w:trPr>
        <w:tc>
          <w:tcPr>
            <w:tcW w:w="184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563472" w:rsidRPr="0030137D" w:rsidRDefault="00563472" w:rsidP="00563472">
            <w:pPr>
              <w:pStyle w:val="TableDataEntries"/>
              <w:jc w:val="left"/>
              <w:rPr>
                <w:lang w:val="en-GB"/>
              </w:rPr>
            </w:pPr>
            <w:r w:rsidRPr="0030137D">
              <w:rPr>
                <w:lang w:val="en-GB"/>
              </w:rPr>
              <w:t>Net benefits/costs</w:t>
            </w:r>
          </w:p>
        </w:tc>
        <w:tc>
          <w:tcPr>
            <w:tcW w:w="1219"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563472" w:rsidRPr="00563472" w:rsidRDefault="00563472" w:rsidP="00563472">
            <w:pPr>
              <w:pStyle w:val="TableDataEntries"/>
            </w:pPr>
            <w:r w:rsidRPr="00563472">
              <w:t xml:space="preserve"> 1.78</w:t>
            </w:r>
          </w:p>
        </w:tc>
        <w:tc>
          <w:tcPr>
            <w:tcW w:w="1219"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563472" w:rsidRPr="00563472" w:rsidRDefault="00563472" w:rsidP="00563472">
            <w:pPr>
              <w:pStyle w:val="TableDataEntries"/>
            </w:pPr>
            <w:r w:rsidRPr="00563472">
              <w:t xml:space="preserve"> 14.60</w:t>
            </w:r>
          </w:p>
        </w:tc>
        <w:tc>
          <w:tcPr>
            <w:tcW w:w="1219"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563472" w:rsidRPr="00563472" w:rsidRDefault="00563472" w:rsidP="00563472">
            <w:pPr>
              <w:pStyle w:val="TableDataEntries"/>
            </w:pPr>
            <w:r w:rsidRPr="00563472">
              <w:t xml:space="preserve"> 4.32</w:t>
            </w:r>
          </w:p>
        </w:tc>
        <w:tc>
          <w:tcPr>
            <w:tcW w:w="1219"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563472" w:rsidRPr="00563472" w:rsidRDefault="00563472" w:rsidP="00563472">
            <w:pPr>
              <w:pStyle w:val="TableDataEntries"/>
            </w:pPr>
            <w:r w:rsidRPr="00563472">
              <w:t xml:space="preserve"> 0.69</w:t>
            </w:r>
          </w:p>
        </w:tc>
        <w:tc>
          <w:tcPr>
            <w:tcW w:w="1220"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563472" w:rsidRPr="00563472" w:rsidRDefault="00563472" w:rsidP="00563472">
            <w:pPr>
              <w:pStyle w:val="TableDataEntries"/>
            </w:pPr>
            <w:r w:rsidRPr="00563472">
              <w:t xml:space="preserve"> 0.02</w:t>
            </w:r>
          </w:p>
        </w:tc>
      </w:tr>
      <w:tr w:rsidR="00563472" w:rsidRPr="00563472" w:rsidTr="00E52B0E">
        <w:trPr>
          <w:trHeight w:val="230"/>
        </w:trPr>
        <w:tc>
          <w:tcPr>
            <w:tcW w:w="1843"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rsidR="00563472" w:rsidRPr="00563472" w:rsidRDefault="00563472" w:rsidP="00563472">
            <w:pPr>
              <w:pStyle w:val="TableDataEntries"/>
              <w:jc w:val="left"/>
              <w:rPr>
                <w:rFonts w:ascii="Franklin Gothic Demi" w:hAnsi="Franklin Gothic Demi"/>
                <w:lang w:val="en-GB"/>
              </w:rPr>
            </w:pPr>
            <w:r w:rsidRPr="00563472">
              <w:rPr>
                <w:rFonts w:ascii="Franklin Gothic Demi" w:hAnsi="Franklin Gothic Demi"/>
                <w:lang w:val="en-GB"/>
              </w:rPr>
              <w:t>Total net benefits/costs</w:t>
            </w:r>
          </w:p>
        </w:tc>
        <w:tc>
          <w:tcPr>
            <w:tcW w:w="1219"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563472" w:rsidRPr="00563472" w:rsidRDefault="00563472" w:rsidP="00563472">
            <w:pPr>
              <w:pStyle w:val="TableDataEntries"/>
              <w:rPr>
                <w:rFonts w:ascii="Franklin Gothic Demi" w:hAnsi="Franklin Gothic Demi"/>
              </w:rPr>
            </w:pPr>
            <w:r w:rsidRPr="00563472">
              <w:rPr>
                <w:rFonts w:ascii="Franklin Gothic Demi" w:hAnsi="Franklin Gothic Demi"/>
              </w:rPr>
              <w:t xml:space="preserve"> 16.61</w:t>
            </w:r>
          </w:p>
        </w:tc>
        <w:tc>
          <w:tcPr>
            <w:tcW w:w="1219"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563472" w:rsidRPr="00563472" w:rsidRDefault="00563472" w:rsidP="00563472">
            <w:pPr>
              <w:pStyle w:val="TableDataEntries"/>
              <w:rPr>
                <w:rFonts w:ascii="Franklin Gothic Demi" w:hAnsi="Franklin Gothic Demi"/>
              </w:rPr>
            </w:pPr>
            <w:r w:rsidRPr="00563472">
              <w:rPr>
                <w:rFonts w:ascii="Franklin Gothic Demi" w:hAnsi="Franklin Gothic Demi"/>
              </w:rPr>
              <w:t xml:space="preserve"> 15.04</w:t>
            </w:r>
          </w:p>
        </w:tc>
        <w:tc>
          <w:tcPr>
            <w:tcW w:w="1219"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563472" w:rsidRPr="00563472" w:rsidRDefault="00563472" w:rsidP="00563472">
            <w:pPr>
              <w:pStyle w:val="TableDataEntries"/>
              <w:rPr>
                <w:rFonts w:ascii="Franklin Gothic Demi" w:hAnsi="Franklin Gothic Demi"/>
              </w:rPr>
            </w:pPr>
            <w:r w:rsidRPr="00563472">
              <w:rPr>
                <w:rFonts w:ascii="Franklin Gothic Demi" w:hAnsi="Franklin Gothic Demi"/>
              </w:rPr>
              <w:t xml:space="preserve"> 25.43</w:t>
            </w:r>
          </w:p>
        </w:tc>
        <w:tc>
          <w:tcPr>
            <w:tcW w:w="1219"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563472" w:rsidRPr="00563472" w:rsidRDefault="00563472" w:rsidP="00563472">
            <w:pPr>
              <w:pStyle w:val="TableDataEntries"/>
              <w:rPr>
                <w:rFonts w:ascii="Franklin Gothic Demi" w:hAnsi="Franklin Gothic Demi"/>
              </w:rPr>
            </w:pPr>
            <w:r w:rsidRPr="00563472">
              <w:rPr>
                <w:rFonts w:ascii="Franklin Gothic Demi" w:hAnsi="Franklin Gothic Demi"/>
              </w:rPr>
              <w:t xml:space="preserve"> 13.05</w:t>
            </w:r>
          </w:p>
        </w:tc>
        <w:tc>
          <w:tcPr>
            <w:tcW w:w="1220"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563472" w:rsidRPr="00563472" w:rsidRDefault="00563472" w:rsidP="00563472">
            <w:pPr>
              <w:pStyle w:val="TableDataEntries"/>
              <w:rPr>
                <w:rFonts w:ascii="Franklin Gothic Demi" w:hAnsi="Franklin Gothic Demi"/>
              </w:rPr>
            </w:pPr>
            <w:r w:rsidRPr="00563472">
              <w:rPr>
                <w:rFonts w:ascii="Franklin Gothic Demi" w:hAnsi="Franklin Gothic Demi"/>
              </w:rPr>
              <w:t xml:space="preserve"> 13.01</w:t>
            </w:r>
          </w:p>
        </w:tc>
      </w:tr>
    </w:tbl>
    <w:p w:rsidR="00B23227" w:rsidRDefault="00B23227" w:rsidP="00B23227">
      <w:pPr>
        <w:pStyle w:val="Note"/>
        <w:rPr>
          <w:lang w:bidi="fa-IR"/>
        </w:rPr>
      </w:pPr>
      <w:r w:rsidRPr="007D1B4F">
        <w:rPr>
          <w:i/>
        </w:rPr>
        <w:t>Note:</w:t>
      </w:r>
      <w:r w:rsidRPr="00E879B8">
        <w:t xml:space="preserve"> </w:t>
      </w:r>
      <w:r w:rsidR="00CA6CF4">
        <w:rPr>
          <w:lang w:bidi="fa-IR"/>
        </w:rPr>
        <w:t xml:space="preserve">Net impacts include the private benefits and costs to building owners/tenants and the global benefits from reduced GHG emissions. </w:t>
      </w:r>
      <w:r>
        <w:t>Costs and benefits expressed in net present value terms over the assumed 40 year life of the building, using a discount rate of 7 per cent. Benefit estimates are based on future energy price (and GHG emission) profiles from 2019.</w:t>
      </w:r>
    </w:p>
    <w:p w:rsidR="00B23227" w:rsidRDefault="00B23227" w:rsidP="00B23227">
      <w:pPr>
        <w:pStyle w:val="Source"/>
        <w:rPr>
          <w:lang w:bidi="fa-IR"/>
        </w:rPr>
      </w:pPr>
      <w:r w:rsidRPr="0030137D">
        <w:rPr>
          <w:i/>
          <w:lang w:bidi="fa-IR"/>
        </w:rPr>
        <w:t>Source:</w:t>
      </w:r>
      <w:r>
        <w:rPr>
          <w:lang w:bidi="fa-IR"/>
        </w:rPr>
        <w:t xml:space="preserve"> CIE based on </w:t>
      </w:r>
      <w:r w:rsidR="003F28DD">
        <w:rPr>
          <w:lang w:bidi="fa-IR"/>
        </w:rPr>
        <w:t>EA</w:t>
      </w:r>
      <w:r>
        <w:rPr>
          <w:lang w:bidi="fa-IR"/>
        </w:rPr>
        <w:t xml:space="preserve"> modelling.</w:t>
      </w:r>
    </w:p>
    <w:p w:rsidR="006F3243" w:rsidRDefault="006F3243" w:rsidP="006F3243">
      <w:pPr>
        <w:pStyle w:val="Heading4"/>
        <w:rPr>
          <w:lang w:eastAsia="en-US" w:bidi="fa-IR"/>
        </w:rPr>
      </w:pPr>
      <w:r>
        <w:rPr>
          <w:lang w:eastAsia="en-US" w:bidi="fa-IR"/>
        </w:rPr>
        <w:t>Retail</w:t>
      </w:r>
    </w:p>
    <w:p w:rsidR="002E7417" w:rsidRDefault="002E7417" w:rsidP="0030137D">
      <w:pPr>
        <w:pStyle w:val="BodyText"/>
        <w:rPr>
          <w:lang w:eastAsia="en-US" w:bidi="fa-IR"/>
        </w:rPr>
      </w:pPr>
      <w:r>
        <w:rPr>
          <w:lang w:eastAsia="en-US" w:bidi="fa-IR"/>
        </w:rPr>
        <w:t xml:space="preserve">For the retail building archetype, </w:t>
      </w:r>
      <w:r w:rsidR="003F28DD">
        <w:rPr>
          <w:lang w:eastAsia="en-US" w:bidi="fa-IR"/>
        </w:rPr>
        <w:t>EA</w:t>
      </w:r>
      <w:r>
        <w:rPr>
          <w:lang w:eastAsia="en-US" w:bidi="fa-IR"/>
        </w:rPr>
        <w:t xml:space="preserve"> modelling suggest</w:t>
      </w:r>
      <w:r w:rsidR="00251538">
        <w:rPr>
          <w:lang w:eastAsia="en-US" w:bidi="fa-IR"/>
        </w:rPr>
        <w:t>s</w:t>
      </w:r>
      <w:r>
        <w:rPr>
          <w:lang w:eastAsia="en-US" w:bidi="fa-IR"/>
        </w:rPr>
        <w:t xml:space="preserve"> that more stringent minimum standards for services deliver large net benefits at minimal additional cost across all cities</w:t>
      </w:r>
      <w:r w:rsidR="00C076A1">
        <w:rPr>
          <w:lang w:eastAsia="en-US" w:bidi="fa-IR"/>
        </w:rPr>
        <w:t xml:space="preserve"> (table </w:t>
      </w:r>
      <w:r w:rsidR="00C076A1">
        <w:rPr>
          <w:lang w:eastAsia="en-US" w:bidi="fa-IR"/>
        </w:rPr>
        <w:fldChar w:fldCharType="begin"/>
      </w:r>
      <w:r w:rsidR="00C076A1">
        <w:rPr>
          <w:lang w:eastAsia="en-US" w:bidi="fa-IR"/>
        </w:rPr>
        <w:instrText xml:space="preserve"> REF _Caption7739 </w:instrText>
      </w:r>
      <w:r w:rsidR="00C076A1">
        <w:rPr>
          <w:lang w:eastAsia="en-US" w:bidi="fa-IR"/>
        </w:rPr>
        <w:fldChar w:fldCharType="separate"/>
      </w:r>
      <w:r w:rsidR="006B79B8">
        <w:rPr>
          <w:noProof/>
        </w:rPr>
        <w:t>8</w:t>
      </w:r>
      <w:r w:rsidR="006B79B8" w:rsidRPr="00F977CD">
        <w:rPr>
          <w:noProof/>
        </w:rPr>
        <w:t>.</w:t>
      </w:r>
      <w:r w:rsidR="006B79B8">
        <w:rPr>
          <w:noProof/>
        </w:rPr>
        <w:t>11</w:t>
      </w:r>
      <w:r w:rsidR="00C076A1">
        <w:rPr>
          <w:lang w:eastAsia="en-US" w:bidi="fa-IR"/>
        </w:rPr>
        <w:fldChar w:fldCharType="end"/>
      </w:r>
      <w:r w:rsidR="00C076A1">
        <w:rPr>
          <w:lang w:eastAsia="en-US" w:bidi="fa-IR"/>
        </w:rPr>
        <w:t>)</w:t>
      </w:r>
      <w:r>
        <w:rPr>
          <w:lang w:eastAsia="en-US" w:bidi="fa-IR"/>
        </w:rPr>
        <w:t>.</w:t>
      </w:r>
    </w:p>
    <w:p w:rsidR="002E7417" w:rsidRDefault="002E7417" w:rsidP="0030137D">
      <w:pPr>
        <w:pStyle w:val="BodyText"/>
        <w:rPr>
          <w:lang w:eastAsia="en-US" w:bidi="fa-IR"/>
        </w:rPr>
      </w:pPr>
      <w:r>
        <w:rPr>
          <w:lang w:eastAsia="en-US" w:bidi="fa-IR"/>
        </w:rPr>
        <w:t>By contrast, the revised façade requirements</w:t>
      </w:r>
      <w:r w:rsidR="00C076A1">
        <w:rPr>
          <w:lang w:eastAsia="en-US" w:bidi="fa-IR"/>
        </w:rPr>
        <w:t xml:space="preserve"> are estimated to increase energy consumption, as well as imposing modest additional costs.</w:t>
      </w:r>
    </w:p>
    <w:p w:rsidR="00B23227" w:rsidRDefault="00B23227" w:rsidP="00B23227">
      <w:pPr>
        <w:pStyle w:val="Caption"/>
      </w:pPr>
      <w:r w:rsidRPr="00F977CD">
        <w:fldChar w:fldCharType="begin"/>
      </w:r>
      <w:r w:rsidRPr="00F977CD">
        <w:instrText xml:space="preserve"> IF 1 = 1 "</w:instrText>
      </w:r>
      <w:r w:rsidRPr="00F977CD">
        <w:fldChar w:fldCharType="begin"/>
      </w:r>
      <w:r w:rsidRPr="00F977CD">
        <w:instrText xml:space="preserve"> IF </w:instrText>
      </w:r>
      <w:r w:rsidRPr="00F977CD">
        <w:rPr>
          <w:noProof/>
        </w:rPr>
        <w:fldChar w:fldCharType="begin"/>
      </w:r>
      <w:r w:rsidRPr="00F977CD">
        <w:rPr>
          <w:noProof/>
        </w:rPr>
        <w:instrText xml:space="preserve"> STYLEREF "Heading 6" \l \n </w:instrText>
      </w:r>
      <w:r w:rsidRPr="00F977CD">
        <w:rPr>
          <w:noProof/>
        </w:rPr>
        <w:fldChar w:fldCharType="separate"/>
      </w:r>
      <w:r w:rsidR="00B833F1">
        <w:rPr>
          <w:noProof/>
        </w:rPr>
        <w:instrText>0</w:instrText>
      </w:r>
      <w:r w:rsidRPr="00F977CD">
        <w:rPr>
          <w:noProof/>
        </w:rPr>
        <w:fldChar w:fldCharType="end"/>
      </w:r>
      <w:r w:rsidRPr="00F977CD">
        <w:instrText xml:space="preserve"> = 0 "</w:instrText>
      </w:r>
      <w:r w:rsidRPr="00F977CD">
        <w:fldChar w:fldCharType="begin"/>
      </w:r>
      <w:r w:rsidRPr="00F977CD">
        <w:instrText xml:space="preserve"> IF </w:instrText>
      </w:r>
      <w:r w:rsidRPr="00F977CD">
        <w:rPr>
          <w:noProof/>
        </w:rPr>
        <w:fldChar w:fldCharType="begin"/>
      </w:r>
      <w:r w:rsidRPr="00F977CD">
        <w:rPr>
          <w:noProof/>
        </w:rPr>
        <w:instrText xml:space="preserve"> STYLEREF "Heading 1" \l \n </w:instrText>
      </w:r>
      <w:r w:rsidRPr="00F977CD">
        <w:rPr>
          <w:noProof/>
        </w:rPr>
        <w:fldChar w:fldCharType="separate"/>
      </w:r>
      <w:r w:rsidR="00B833F1">
        <w:rPr>
          <w:noProof/>
        </w:rPr>
        <w:instrText>8</w:instrText>
      </w:r>
      <w:r w:rsidRPr="00F977CD">
        <w:rPr>
          <w:noProof/>
        </w:rPr>
        <w:fldChar w:fldCharType="end"/>
      </w:r>
      <w:r w:rsidRPr="00F977CD">
        <w:instrText xml:space="preserve"> = 0 "" "</w:instrText>
      </w:r>
      <w:r w:rsidRPr="00F977CD">
        <w:rPr>
          <w:noProof/>
        </w:rPr>
        <w:fldChar w:fldCharType="begin"/>
      </w:r>
      <w:r w:rsidRPr="00F977CD">
        <w:rPr>
          <w:noProof/>
        </w:rPr>
        <w:instrText xml:space="preserve"> STYLEREF "Heading 1" \l \n </w:instrText>
      </w:r>
      <w:r w:rsidRPr="00F977CD">
        <w:rPr>
          <w:noProof/>
        </w:rPr>
        <w:fldChar w:fldCharType="separate"/>
      </w:r>
      <w:r w:rsidR="00B833F1">
        <w:rPr>
          <w:noProof/>
        </w:rPr>
        <w:instrText>8</w:instrText>
      </w:r>
      <w:r w:rsidRPr="00F977CD">
        <w:rPr>
          <w:noProof/>
        </w:rPr>
        <w:fldChar w:fldCharType="end"/>
      </w:r>
      <w:r w:rsidRPr="00F977CD">
        <w:instrText xml:space="preserve">." </w:instrText>
      </w:r>
      <w:r w:rsidRPr="00F977CD">
        <w:fldChar w:fldCharType="separate"/>
      </w:r>
      <w:r w:rsidR="00B833F1">
        <w:rPr>
          <w:noProof/>
        </w:rPr>
        <w:instrText>8</w:instrText>
      </w:r>
      <w:r w:rsidR="00B833F1" w:rsidRPr="00F977CD">
        <w:rPr>
          <w:noProof/>
        </w:rPr>
        <w:instrText>.</w:instrText>
      </w:r>
      <w:r w:rsidRPr="00F977CD">
        <w:fldChar w:fldCharType="end"/>
      </w:r>
      <w:r w:rsidRPr="00F977CD">
        <w:instrText>" "</w:instrText>
      </w:r>
      <w:r w:rsidR="001F6F43">
        <w:fldChar w:fldCharType="begin"/>
      </w:r>
      <w:r w:rsidR="001F6F43">
        <w:instrText xml:space="preserve"> STYLEREF "Heading 6" \l \n </w:instrText>
      </w:r>
      <w:r w:rsidR="001F6F43">
        <w:fldChar w:fldCharType="separate"/>
      </w:r>
      <w:r w:rsidRPr="00F977CD">
        <w:instrText>B</w:instrText>
      </w:r>
      <w:r w:rsidR="001F6F43">
        <w:fldChar w:fldCharType="end"/>
      </w:r>
      <w:r w:rsidRPr="00F977CD">
        <w:instrText xml:space="preserve">." </w:instrText>
      </w:r>
      <w:r w:rsidRPr="00F977CD">
        <w:fldChar w:fldCharType="separate"/>
      </w:r>
      <w:r w:rsidR="00EA42ED">
        <w:rPr>
          <w:noProof/>
        </w:rPr>
        <w:instrText>8</w:instrText>
      </w:r>
      <w:r w:rsidR="00EA42ED" w:rsidRPr="00F977CD">
        <w:rPr>
          <w:noProof/>
        </w:rPr>
        <w:instrText>.</w:instrText>
      </w:r>
      <w:r w:rsidRPr="00F977CD">
        <w:fldChar w:fldCharType="end"/>
      </w:r>
      <w:r w:rsidRPr="00F977CD">
        <w:fldChar w:fldCharType="begin"/>
      </w:r>
      <w:r w:rsidRPr="00F977CD">
        <w:instrText xml:space="preserve"> SEQ Item \* ARABIC \s </w:instrText>
      </w:r>
      <w:r w:rsidRPr="00F977CD">
        <w:fldChar w:fldCharType="begin"/>
      </w:r>
      <w:r w:rsidRPr="00F977CD">
        <w:instrText xml:space="preserve"> IF </w:instrText>
      </w:r>
      <w:r w:rsidRPr="00F977CD">
        <w:rPr>
          <w:noProof/>
        </w:rPr>
        <w:fldChar w:fldCharType="begin"/>
      </w:r>
      <w:r w:rsidRPr="00F977CD">
        <w:rPr>
          <w:noProof/>
        </w:rPr>
        <w:instrText xml:space="preserve"> STYLEREF "Heading 6" \l \n </w:instrText>
      </w:r>
      <w:r w:rsidRPr="00F977CD">
        <w:rPr>
          <w:noProof/>
        </w:rPr>
        <w:fldChar w:fldCharType="separate"/>
      </w:r>
      <w:r w:rsidR="00B833F1">
        <w:rPr>
          <w:noProof/>
        </w:rPr>
        <w:instrText>0</w:instrText>
      </w:r>
      <w:r w:rsidRPr="00F977CD">
        <w:rPr>
          <w:noProof/>
        </w:rPr>
        <w:fldChar w:fldCharType="end"/>
      </w:r>
      <w:r w:rsidRPr="00F977CD">
        <w:instrText xml:space="preserve"> = 0 "</w:instrText>
      </w:r>
      <w:r w:rsidRPr="00F977CD">
        <w:fldChar w:fldCharType="begin"/>
      </w:r>
      <w:r w:rsidRPr="00F977CD">
        <w:instrText xml:space="preserve"> IF </w:instrText>
      </w:r>
      <w:r w:rsidRPr="00F977CD">
        <w:rPr>
          <w:noProof/>
        </w:rPr>
        <w:fldChar w:fldCharType="begin"/>
      </w:r>
      <w:r w:rsidRPr="00F977CD">
        <w:rPr>
          <w:noProof/>
        </w:rPr>
        <w:instrText xml:space="preserve"> STYLEREF "Heading 1" \l \n </w:instrText>
      </w:r>
      <w:r w:rsidRPr="00F977CD">
        <w:rPr>
          <w:noProof/>
        </w:rPr>
        <w:fldChar w:fldCharType="separate"/>
      </w:r>
      <w:r w:rsidR="00B833F1">
        <w:rPr>
          <w:noProof/>
        </w:rPr>
        <w:instrText>8</w:instrText>
      </w:r>
      <w:r w:rsidRPr="00F977CD">
        <w:rPr>
          <w:noProof/>
        </w:rPr>
        <w:fldChar w:fldCharType="end"/>
      </w:r>
      <w:r w:rsidRPr="00F977CD">
        <w:instrText xml:space="preserve"> = 0 "" "1" </w:instrText>
      </w:r>
      <w:r w:rsidRPr="00F977CD">
        <w:fldChar w:fldCharType="separate"/>
      </w:r>
      <w:r w:rsidR="00EA42ED" w:rsidRPr="00F977CD">
        <w:rPr>
          <w:noProof/>
        </w:rPr>
        <w:instrText>1</w:instrText>
      </w:r>
      <w:r w:rsidRPr="00F977CD">
        <w:fldChar w:fldCharType="end"/>
      </w:r>
      <w:r w:rsidRPr="00F977CD">
        <w:instrText xml:space="preserve">" "6" </w:instrText>
      </w:r>
      <w:r w:rsidRPr="00F977CD">
        <w:fldChar w:fldCharType="separate"/>
      </w:r>
      <w:r w:rsidR="00EA42ED" w:rsidRPr="00F977CD">
        <w:rPr>
          <w:noProof/>
        </w:rPr>
        <w:instrText>1</w:instrText>
      </w:r>
      <w:r w:rsidRPr="00F977CD">
        <w:fldChar w:fldCharType="end"/>
      </w:r>
      <w:r w:rsidRPr="00F977CD">
        <w:instrText xml:space="preserve"> </w:instrText>
      </w:r>
      <w:r w:rsidRPr="00F977CD">
        <w:fldChar w:fldCharType="separate"/>
      </w:r>
      <w:r w:rsidR="00B833F1">
        <w:rPr>
          <w:noProof/>
        </w:rPr>
        <w:instrText>11</w:instrText>
      </w:r>
      <w:r w:rsidRPr="00F977CD">
        <w:fldChar w:fldCharType="end"/>
      </w:r>
      <w:r w:rsidRPr="00F977CD">
        <w:instrText xml:space="preserve">" "" </w:instrText>
      </w:r>
      <w:r w:rsidRPr="00F977CD">
        <w:fldChar w:fldCharType="separate"/>
      </w:r>
      <w:bookmarkStart w:id="3826" w:name="_Caption4539"/>
      <w:bookmarkStart w:id="3827" w:name="_Caption3744"/>
      <w:bookmarkStart w:id="3828" w:name="_Caption7629"/>
      <w:bookmarkStart w:id="3829" w:name="_Caption7444"/>
      <w:bookmarkStart w:id="3830" w:name="_Caption4378"/>
      <w:bookmarkStart w:id="3831" w:name="_Caption3858"/>
      <w:bookmarkStart w:id="3832" w:name="_Caption4327"/>
      <w:bookmarkStart w:id="3833" w:name="_Caption7586"/>
      <w:bookmarkStart w:id="3834" w:name="_Caption6396"/>
      <w:bookmarkStart w:id="3835" w:name="_Caption2746"/>
      <w:bookmarkStart w:id="3836" w:name="_Caption5056"/>
      <w:bookmarkStart w:id="3837" w:name="_Caption1756"/>
      <w:bookmarkStart w:id="3838" w:name="_Caption5652"/>
      <w:bookmarkStart w:id="3839" w:name="_Caption7739"/>
      <w:bookmarkStart w:id="3840" w:name="_Caption3935"/>
      <w:bookmarkStart w:id="3841" w:name="_Caption1357"/>
      <w:bookmarkStart w:id="3842" w:name="_Caption8456"/>
      <w:bookmarkStart w:id="3843" w:name="_Caption1915"/>
      <w:bookmarkStart w:id="3844" w:name="_Caption8955"/>
      <w:bookmarkStart w:id="3845" w:name="_Caption8860"/>
      <w:bookmarkStart w:id="3846" w:name="_Caption6429"/>
      <w:bookmarkStart w:id="3847" w:name="_Caption6599"/>
      <w:bookmarkStart w:id="3848" w:name="_Caption5398"/>
      <w:bookmarkStart w:id="3849" w:name="_Caption8727"/>
      <w:bookmarkStart w:id="3850" w:name="_Caption8915"/>
      <w:bookmarkStart w:id="3851" w:name="_Caption7029"/>
      <w:bookmarkStart w:id="3852" w:name="_Caption5747"/>
      <w:bookmarkStart w:id="3853" w:name="_Caption4601"/>
      <w:bookmarkStart w:id="3854" w:name="_Caption9879"/>
      <w:bookmarkStart w:id="3855" w:name="_Caption2699"/>
      <w:bookmarkStart w:id="3856" w:name="_Caption8330"/>
      <w:bookmarkStart w:id="3857" w:name="_Caption9878"/>
      <w:bookmarkStart w:id="3858" w:name="_Caption9529"/>
      <w:bookmarkStart w:id="3859" w:name="_Caption5541"/>
      <w:bookmarkStart w:id="3860" w:name="_Caption1531"/>
      <w:bookmarkStart w:id="3861" w:name="_Caption4081"/>
      <w:bookmarkStart w:id="3862" w:name="_Caption3732"/>
      <w:bookmarkStart w:id="3863" w:name="_Caption9954"/>
      <w:bookmarkStart w:id="3864" w:name="_Caption6751"/>
      <w:bookmarkStart w:id="3865" w:name="_Caption0982"/>
      <w:bookmarkStart w:id="3866" w:name="_Caption4122"/>
      <w:bookmarkStart w:id="3867" w:name="_Caption7145"/>
      <w:bookmarkStart w:id="3868" w:name="_Toc529869950"/>
      <w:bookmarkStart w:id="3869" w:name="_Toc530748446"/>
      <w:r w:rsidR="00EA42ED">
        <w:rPr>
          <w:noProof/>
        </w:rPr>
        <w:t>8</w:t>
      </w:r>
      <w:r w:rsidR="00EA42ED" w:rsidRPr="00F977CD">
        <w:rPr>
          <w:noProof/>
        </w:rPr>
        <w:t>.</w:t>
      </w:r>
      <w:r w:rsidR="00EA42ED">
        <w:rPr>
          <w:noProof/>
        </w:rPr>
        <w:t>11</w:t>
      </w:r>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r w:rsidRPr="00F977CD">
        <w:fldChar w:fldCharType="end"/>
      </w:r>
      <w:r w:rsidRPr="00F977CD">
        <w:tab/>
        <w:t>Services/façade decomposition — retail building</w:t>
      </w:r>
      <w:bookmarkEnd w:id="3868"/>
      <w:bookmarkEnd w:id="3869"/>
    </w:p>
    <w:tbl>
      <w:tblPr>
        <w:tblW w:w="7939" w:type="dxa"/>
        <w:tblLayout w:type="fixed"/>
        <w:tblLook w:val="0000" w:firstRow="0" w:lastRow="0" w:firstColumn="0" w:lastColumn="0" w:noHBand="0" w:noVBand="0"/>
        <w:tblCaption w:val="Table 8.11: Services/facade decomposition - retail building"/>
        <w:tblDescription w:val="This table outlines the composition of costs and benefits of proposed changes to the NCC 2019. There are two primary impacts, impacts to services and impacts to the facade of the building.  "/>
      </w:tblPr>
      <w:tblGrid>
        <w:gridCol w:w="1843"/>
        <w:gridCol w:w="1219"/>
        <w:gridCol w:w="1219"/>
        <w:gridCol w:w="1219"/>
        <w:gridCol w:w="1219"/>
        <w:gridCol w:w="1220"/>
      </w:tblGrid>
      <w:tr w:rsidR="00B23227" w:rsidRPr="00143A66" w:rsidTr="00E52B0E">
        <w:trPr>
          <w:trHeight w:val="230"/>
          <w:tblHeader/>
        </w:trPr>
        <w:tc>
          <w:tcPr>
            <w:tcW w:w="1843" w:type="dxa"/>
            <w:shd w:val="clear" w:color="auto" w:fill="6F6652"/>
            <w:tcMar>
              <w:left w:w="57" w:type="dxa"/>
              <w:right w:w="57" w:type="dxa"/>
            </w:tcMar>
          </w:tcPr>
          <w:p w:rsidR="00B23227" w:rsidRPr="00143A66" w:rsidRDefault="00B23227" w:rsidP="00E52B0E">
            <w:pPr>
              <w:pStyle w:val="TableDataColumnHeading"/>
              <w:jc w:val="left"/>
              <w:rPr>
                <w:lang w:val="en-GB"/>
              </w:rPr>
            </w:pPr>
          </w:p>
        </w:tc>
        <w:tc>
          <w:tcPr>
            <w:tcW w:w="1219" w:type="dxa"/>
            <w:shd w:val="clear" w:color="auto" w:fill="6F6652"/>
            <w:tcMar>
              <w:left w:w="57" w:type="dxa"/>
              <w:right w:w="57" w:type="dxa"/>
            </w:tcMar>
          </w:tcPr>
          <w:p w:rsidR="00B23227" w:rsidRPr="00143A66" w:rsidRDefault="00B23227" w:rsidP="00E52B0E">
            <w:pPr>
              <w:pStyle w:val="TableDataColumnHeading"/>
              <w:rPr>
                <w:bCs/>
                <w:lang w:val="en-GB"/>
              </w:rPr>
            </w:pPr>
            <w:r w:rsidRPr="00143A66">
              <w:rPr>
                <w:bCs/>
                <w:lang w:val="en-GB"/>
              </w:rPr>
              <w:t>Sydney</w:t>
            </w:r>
          </w:p>
        </w:tc>
        <w:tc>
          <w:tcPr>
            <w:tcW w:w="1219" w:type="dxa"/>
            <w:shd w:val="clear" w:color="auto" w:fill="6F6652"/>
            <w:tcMar>
              <w:left w:w="57" w:type="dxa"/>
              <w:right w:w="57" w:type="dxa"/>
            </w:tcMar>
          </w:tcPr>
          <w:p w:rsidR="00B23227" w:rsidRPr="00143A66" w:rsidRDefault="00B23227" w:rsidP="00E52B0E">
            <w:pPr>
              <w:pStyle w:val="TableDataColumnHeading"/>
              <w:rPr>
                <w:bCs/>
                <w:lang w:val="en-GB"/>
              </w:rPr>
            </w:pPr>
            <w:r w:rsidRPr="00143A66">
              <w:rPr>
                <w:bCs/>
                <w:lang w:val="en-GB"/>
              </w:rPr>
              <w:t>Melbourne</w:t>
            </w:r>
          </w:p>
        </w:tc>
        <w:tc>
          <w:tcPr>
            <w:tcW w:w="1219" w:type="dxa"/>
            <w:shd w:val="clear" w:color="auto" w:fill="6F6652"/>
            <w:tcMar>
              <w:left w:w="57" w:type="dxa"/>
              <w:right w:w="57" w:type="dxa"/>
            </w:tcMar>
          </w:tcPr>
          <w:p w:rsidR="00B23227" w:rsidRPr="00143A66" w:rsidRDefault="00B23227" w:rsidP="00E52B0E">
            <w:pPr>
              <w:pStyle w:val="TableDataColumnHeading"/>
              <w:rPr>
                <w:bCs/>
                <w:lang w:val="en-GB"/>
              </w:rPr>
            </w:pPr>
            <w:r w:rsidRPr="00143A66">
              <w:rPr>
                <w:bCs/>
                <w:lang w:val="en-GB"/>
              </w:rPr>
              <w:t>Brisbane</w:t>
            </w:r>
          </w:p>
        </w:tc>
        <w:tc>
          <w:tcPr>
            <w:tcW w:w="1219" w:type="dxa"/>
            <w:shd w:val="clear" w:color="auto" w:fill="6F6652"/>
            <w:tcMar>
              <w:left w:w="57" w:type="dxa"/>
              <w:right w:w="57" w:type="dxa"/>
            </w:tcMar>
          </w:tcPr>
          <w:p w:rsidR="00B23227" w:rsidRPr="00143A66" w:rsidRDefault="00B23227" w:rsidP="00E52B0E">
            <w:pPr>
              <w:pStyle w:val="TableDataColumnHeading"/>
              <w:rPr>
                <w:bCs/>
                <w:lang w:val="en-GB"/>
              </w:rPr>
            </w:pPr>
            <w:r w:rsidRPr="00143A66">
              <w:rPr>
                <w:bCs/>
                <w:lang w:val="en-GB"/>
              </w:rPr>
              <w:t>Adelaide</w:t>
            </w:r>
          </w:p>
        </w:tc>
        <w:tc>
          <w:tcPr>
            <w:tcW w:w="1220" w:type="dxa"/>
            <w:shd w:val="clear" w:color="auto" w:fill="6F6652"/>
            <w:tcMar>
              <w:left w:w="57" w:type="dxa"/>
              <w:right w:w="57" w:type="dxa"/>
            </w:tcMar>
          </w:tcPr>
          <w:p w:rsidR="00B23227" w:rsidRPr="00143A66" w:rsidRDefault="00B23227" w:rsidP="00E52B0E">
            <w:pPr>
              <w:pStyle w:val="TableDataColumnHeading"/>
              <w:rPr>
                <w:bCs/>
                <w:lang w:val="en-GB"/>
              </w:rPr>
            </w:pPr>
            <w:r w:rsidRPr="00143A66">
              <w:rPr>
                <w:bCs/>
                <w:lang w:val="en-GB"/>
              </w:rPr>
              <w:t>Perth</w:t>
            </w:r>
          </w:p>
        </w:tc>
      </w:tr>
      <w:tr w:rsidR="00B23227" w:rsidRPr="0030137D" w:rsidTr="00E52B0E">
        <w:trPr>
          <w:trHeight w:val="230"/>
          <w:tblHeader/>
        </w:trPr>
        <w:tc>
          <w:tcPr>
            <w:tcW w:w="1843" w:type="dxa"/>
            <w:tcBorders>
              <w:bottom w:val="single" w:sz="8" w:space="0" w:color="FFFFFF" w:themeColor="background1"/>
            </w:tcBorders>
            <w:shd w:val="clear" w:color="auto" w:fill="auto"/>
            <w:tcMar>
              <w:left w:w="57" w:type="dxa"/>
              <w:right w:w="57" w:type="dxa"/>
            </w:tcMar>
          </w:tcPr>
          <w:p w:rsidR="00B23227" w:rsidRPr="0030137D" w:rsidRDefault="00B23227" w:rsidP="00E52B0E">
            <w:pPr>
              <w:pStyle w:val="TableUnit"/>
              <w:jc w:val="left"/>
              <w:rPr>
                <w:lang w:val="en-GB"/>
              </w:rPr>
            </w:pPr>
          </w:p>
        </w:tc>
        <w:tc>
          <w:tcPr>
            <w:tcW w:w="1219" w:type="dxa"/>
            <w:tcBorders>
              <w:bottom w:val="single" w:sz="8" w:space="0" w:color="FFFFFF" w:themeColor="background1"/>
            </w:tcBorders>
            <w:shd w:val="clear" w:color="auto" w:fill="auto"/>
            <w:tcMar>
              <w:left w:w="57" w:type="dxa"/>
              <w:right w:w="57" w:type="dxa"/>
            </w:tcMar>
          </w:tcPr>
          <w:p w:rsidR="00B23227" w:rsidRPr="0030137D" w:rsidRDefault="00B23227" w:rsidP="00E52B0E">
            <w:pPr>
              <w:pStyle w:val="TableUnit"/>
              <w:rPr>
                <w:lang w:val="en-GB"/>
              </w:rPr>
            </w:pPr>
            <w:r w:rsidRPr="0030137D">
              <w:rPr>
                <w:lang w:val="en-GB"/>
              </w:rPr>
              <w:t>$ per m</w:t>
            </w:r>
            <w:r w:rsidRPr="001640D9">
              <w:rPr>
                <w:vertAlign w:val="superscript"/>
                <w:lang w:val="en-GB"/>
              </w:rPr>
              <w:t>2</w:t>
            </w:r>
          </w:p>
        </w:tc>
        <w:tc>
          <w:tcPr>
            <w:tcW w:w="1219" w:type="dxa"/>
            <w:tcBorders>
              <w:bottom w:val="single" w:sz="8" w:space="0" w:color="FFFFFF" w:themeColor="background1"/>
            </w:tcBorders>
            <w:shd w:val="clear" w:color="auto" w:fill="auto"/>
            <w:tcMar>
              <w:left w:w="57" w:type="dxa"/>
              <w:right w:w="57" w:type="dxa"/>
            </w:tcMar>
          </w:tcPr>
          <w:p w:rsidR="00B23227" w:rsidRPr="0030137D" w:rsidRDefault="00B23227" w:rsidP="00E52B0E">
            <w:pPr>
              <w:pStyle w:val="TableUnit"/>
              <w:rPr>
                <w:lang w:val="en-GB"/>
              </w:rPr>
            </w:pPr>
            <w:r w:rsidRPr="0030137D">
              <w:rPr>
                <w:lang w:val="en-GB"/>
              </w:rPr>
              <w:t>$ per m</w:t>
            </w:r>
            <w:r w:rsidRPr="001640D9">
              <w:rPr>
                <w:vertAlign w:val="superscript"/>
                <w:lang w:val="en-GB"/>
              </w:rPr>
              <w:t>2</w:t>
            </w:r>
          </w:p>
        </w:tc>
        <w:tc>
          <w:tcPr>
            <w:tcW w:w="1219" w:type="dxa"/>
            <w:tcBorders>
              <w:bottom w:val="single" w:sz="8" w:space="0" w:color="FFFFFF" w:themeColor="background1"/>
            </w:tcBorders>
            <w:shd w:val="clear" w:color="auto" w:fill="auto"/>
            <w:tcMar>
              <w:left w:w="57" w:type="dxa"/>
              <w:right w:w="57" w:type="dxa"/>
            </w:tcMar>
          </w:tcPr>
          <w:p w:rsidR="00B23227" w:rsidRPr="0030137D" w:rsidRDefault="00B23227" w:rsidP="00E52B0E">
            <w:pPr>
              <w:pStyle w:val="TableUnit"/>
              <w:rPr>
                <w:lang w:val="en-GB"/>
              </w:rPr>
            </w:pPr>
            <w:r w:rsidRPr="0030137D">
              <w:rPr>
                <w:lang w:val="en-GB"/>
              </w:rPr>
              <w:t>$ per m</w:t>
            </w:r>
            <w:r w:rsidRPr="001640D9">
              <w:rPr>
                <w:vertAlign w:val="superscript"/>
                <w:lang w:val="en-GB"/>
              </w:rPr>
              <w:t>2</w:t>
            </w:r>
          </w:p>
        </w:tc>
        <w:tc>
          <w:tcPr>
            <w:tcW w:w="1219" w:type="dxa"/>
            <w:tcBorders>
              <w:bottom w:val="single" w:sz="8" w:space="0" w:color="FFFFFF" w:themeColor="background1"/>
            </w:tcBorders>
            <w:shd w:val="clear" w:color="auto" w:fill="auto"/>
            <w:tcMar>
              <w:left w:w="57" w:type="dxa"/>
              <w:right w:w="57" w:type="dxa"/>
            </w:tcMar>
          </w:tcPr>
          <w:p w:rsidR="00B23227" w:rsidRPr="0030137D" w:rsidRDefault="00B23227" w:rsidP="00E52B0E">
            <w:pPr>
              <w:pStyle w:val="TableUnit"/>
              <w:rPr>
                <w:lang w:val="en-GB"/>
              </w:rPr>
            </w:pPr>
            <w:r w:rsidRPr="0030137D">
              <w:rPr>
                <w:lang w:val="en-GB"/>
              </w:rPr>
              <w:t>$ per m</w:t>
            </w:r>
            <w:r w:rsidRPr="001640D9">
              <w:rPr>
                <w:vertAlign w:val="superscript"/>
                <w:lang w:val="en-GB"/>
              </w:rPr>
              <w:t>2</w:t>
            </w:r>
          </w:p>
        </w:tc>
        <w:tc>
          <w:tcPr>
            <w:tcW w:w="1220" w:type="dxa"/>
            <w:tcBorders>
              <w:bottom w:val="single" w:sz="8" w:space="0" w:color="FFFFFF" w:themeColor="background1"/>
            </w:tcBorders>
            <w:shd w:val="clear" w:color="auto" w:fill="auto"/>
            <w:tcMar>
              <w:left w:w="57" w:type="dxa"/>
              <w:right w:w="57" w:type="dxa"/>
            </w:tcMar>
          </w:tcPr>
          <w:p w:rsidR="00B23227" w:rsidRPr="0030137D" w:rsidRDefault="00B23227" w:rsidP="00E52B0E">
            <w:pPr>
              <w:pStyle w:val="TableUnit"/>
              <w:rPr>
                <w:lang w:val="en-GB"/>
              </w:rPr>
            </w:pPr>
            <w:r w:rsidRPr="0030137D">
              <w:rPr>
                <w:lang w:val="en-GB"/>
              </w:rPr>
              <w:t>$ per m</w:t>
            </w:r>
            <w:r w:rsidRPr="001640D9">
              <w:rPr>
                <w:vertAlign w:val="superscript"/>
                <w:lang w:val="en-GB"/>
              </w:rPr>
              <w:t>2</w:t>
            </w:r>
          </w:p>
        </w:tc>
      </w:tr>
      <w:tr w:rsidR="00B23227" w:rsidRPr="0030137D" w:rsidTr="00E52B0E">
        <w:trPr>
          <w:trHeight w:val="230"/>
        </w:trPr>
        <w:tc>
          <w:tcPr>
            <w:tcW w:w="184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B23227" w:rsidRPr="0030137D" w:rsidRDefault="00B23227" w:rsidP="00E52B0E">
            <w:pPr>
              <w:pStyle w:val="TableHeading1"/>
              <w:rPr>
                <w:lang w:val="en-GB"/>
              </w:rPr>
            </w:pPr>
            <w:r w:rsidRPr="0030137D">
              <w:rPr>
                <w:lang w:val="en-GB"/>
              </w:rPr>
              <w:t>Services</w:t>
            </w:r>
          </w:p>
        </w:tc>
        <w:tc>
          <w:tcPr>
            <w:tcW w:w="121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B23227" w:rsidRPr="0030137D" w:rsidRDefault="00B23227" w:rsidP="00E52B0E">
            <w:pPr>
              <w:pStyle w:val="TableHeading1"/>
              <w:rPr>
                <w:lang w:val="en-GB"/>
              </w:rPr>
            </w:pPr>
          </w:p>
        </w:tc>
        <w:tc>
          <w:tcPr>
            <w:tcW w:w="121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B23227" w:rsidRPr="0030137D" w:rsidRDefault="00B23227" w:rsidP="00E52B0E">
            <w:pPr>
              <w:pStyle w:val="TableHeading1"/>
              <w:rPr>
                <w:lang w:val="en-GB"/>
              </w:rPr>
            </w:pPr>
          </w:p>
        </w:tc>
        <w:tc>
          <w:tcPr>
            <w:tcW w:w="121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B23227" w:rsidRPr="0030137D" w:rsidRDefault="00B23227" w:rsidP="00E52B0E">
            <w:pPr>
              <w:pStyle w:val="TableHeading1"/>
              <w:rPr>
                <w:lang w:val="en-GB"/>
              </w:rPr>
            </w:pPr>
          </w:p>
        </w:tc>
        <w:tc>
          <w:tcPr>
            <w:tcW w:w="121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B23227" w:rsidRPr="0030137D" w:rsidRDefault="00B23227" w:rsidP="00E52B0E">
            <w:pPr>
              <w:pStyle w:val="TableHeading1"/>
              <w:rPr>
                <w:lang w:val="en-GB"/>
              </w:rPr>
            </w:pPr>
          </w:p>
        </w:tc>
        <w:tc>
          <w:tcPr>
            <w:tcW w:w="1220"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B23227" w:rsidRPr="0030137D" w:rsidRDefault="00B23227" w:rsidP="00E52B0E">
            <w:pPr>
              <w:pStyle w:val="TableHeading1"/>
              <w:rPr>
                <w:lang w:val="en-GB"/>
              </w:rPr>
            </w:pPr>
          </w:p>
        </w:tc>
      </w:tr>
      <w:tr w:rsidR="00F977CD" w:rsidRPr="0030137D" w:rsidTr="00E52B0E">
        <w:trPr>
          <w:trHeight w:val="230"/>
        </w:trPr>
        <w:tc>
          <w:tcPr>
            <w:tcW w:w="184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F977CD" w:rsidRPr="0030137D" w:rsidRDefault="00F977CD" w:rsidP="00F977CD">
            <w:pPr>
              <w:pStyle w:val="TableDataEntries"/>
              <w:jc w:val="left"/>
              <w:rPr>
                <w:lang w:val="en-GB"/>
              </w:rPr>
            </w:pPr>
            <w:r w:rsidRPr="0030137D">
              <w:rPr>
                <w:lang w:val="en-GB"/>
              </w:rPr>
              <w:t>Benefits</w:t>
            </w:r>
          </w:p>
        </w:tc>
        <w:tc>
          <w:tcPr>
            <w:tcW w:w="12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977CD" w:rsidRPr="00F977CD" w:rsidRDefault="00F977CD" w:rsidP="00F977CD">
            <w:pPr>
              <w:pStyle w:val="TableDataEntries"/>
            </w:pPr>
            <w:r w:rsidRPr="00F977CD">
              <w:t xml:space="preserve"> 107.92</w:t>
            </w:r>
          </w:p>
        </w:tc>
        <w:tc>
          <w:tcPr>
            <w:tcW w:w="12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977CD" w:rsidRPr="00F977CD" w:rsidRDefault="00F977CD" w:rsidP="00F977CD">
            <w:pPr>
              <w:pStyle w:val="TableDataEntries"/>
            </w:pPr>
            <w:r w:rsidRPr="00F977CD">
              <w:t xml:space="preserve"> 100.21</w:t>
            </w:r>
          </w:p>
        </w:tc>
        <w:tc>
          <w:tcPr>
            <w:tcW w:w="12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977CD" w:rsidRPr="00F977CD" w:rsidRDefault="00F977CD" w:rsidP="00F977CD">
            <w:pPr>
              <w:pStyle w:val="TableDataEntries"/>
            </w:pPr>
            <w:r w:rsidRPr="00F977CD">
              <w:t xml:space="preserve"> 78.18</w:t>
            </w:r>
          </w:p>
        </w:tc>
        <w:tc>
          <w:tcPr>
            <w:tcW w:w="12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977CD" w:rsidRPr="00F977CD" w:rsidRDefault="00F977CD" w:rsidP="00F977CD">
            <w:pPr>
              <w:pStyle w:val="TableDataEntries"/>
            </w:pPr>
            <w:r w:rsidRPr="00F977CD">
              <w:t xml:space="preserve"> 98.89</w:t>
            </w:r>
          </w:p>
        </w:tc>
        <w:tc>
          <w:tcPr>
            <w:tcW w:w="122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977CD" w:rsidRPr="00F977CD" w:rsidRDefault="00F977CD" w:rsidP="00F977CD">
            <w:pPr>
              <w:pStyle w:val="TableDataEntries"/>
            </w:pPr>
            <w:r w:rsidRPr="00F977CD">
              <w:t xml:space="preserve"> 102.93</w:t>
            </w:r>
          </w:p>
        </w:tc>
      </w:tr>
      <w:tr w:rsidR="00F977CD" w:rsidRPr="0030137D" w:rsidTr="00E52B0E">
        <w:trPr>
          <w:trHeight w:val="230"/>
        </w:trPr>
        <w:tc>
          <w:tcPr>
            <w:tcW w:w="184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F977CD" w:rsidRPr="0030137D" w:rsidRDefault="00F977CD" w:rsidP="00F977CD">
            <w:pPr>
              <w:pStyle w:val="TableDataEntries"/>
              <w:jc w:val="left"/>
              <w:rPr>
                <w:lang w:val="en-GB"/>
              </w:rPr>
            </w:pPr>
            <w:r w:rsidRPr="0030137D">
              <w:rPr>
                <w:lang w:val="en-GB"/>
              </w:rPr>
              <w:t>Costs</w:t>
            </w:r>
          </w:p>
        </w:tc>
        <w:tc>
          <w:tcPr>
            <w:tcW w:w="12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977CD" w:rsidRPr="00F977CD" w:rsidRDefault="00F977CD" w:rsidP="00F977CD">
            <w:pPr>
              <w:pStyle w:val="TableDataEntries"/>
            </w:pPr>
            <w:r w:rsidRPr="00F977CD">
              <w:t>- 3.83</w:t>
            </w:r>
          </w:p>
        </w:tc>
        <w:tc>
          <w:tcPr>
            <w:tcW w:w="12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977CD" w:rsidRPr="00F977CD" w:rsidRDefault="00F977CD" w:rsidP="00F977CD">
            <w:pPr>
              <w:pStyle w:val="TableDataEntries"/>
            </w:pPr>
            <w:r w:rsidRPr="00F977CD">
              <w:t>- 7.88</w:t>
            </w:r>
          </w:p>
        </w:tc>
        <w:tc>
          <w:tcPr>
            <w:tcW w:w="12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977CD" w:rsidRPr="00F977CD" w:rsidRDefault="00F977CD" w:rsidP="00F977CD">
            <w:pPr>
              <w:pStyle w:val="TableDataEntries"/>
            </w:pPr>
            <w:r w:rsidRPr="00F977CD">
              <w:t>- 3.18</w:t>
            </w:r>
          </w:p>
        </w:tc>
        <w:tc>
          <w:tcPr>
            <w:tcW w:w="12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977CD" w:rsidRPr="00F977CD" w:rsidRDefault="00F977CD" w:rsidP="00F977CD">
            <w:pPr>
              <w:pStyle w:val="TableDataEntries"/>
            </w:pPr>
            <w:r w:rsidRPr="00F977CD">
              <w:t>- 3.83</w:t>
            </w:r>
          </w:p>
        </w:tc>
        <w:tc>
          <w:tcPr>
            <w:tcW w:w="122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977CD" w:rsidRPr="00F977CD" w:rsidRDefault="00F977CD" w:rsidP="00F977CD">
            <w:pPr>
              <w:pStyle w:val="TableDataEntries"/>
            </w:pPr>
            <w:r w:rsidRPr="00F977CD">
              <w:t>- 3.83</w:t>
            </w:r>
          </w:p>
        </w:tc>
      </w:tr>
      <w:tr w:rsidR="00F977CD" w:rsidRPr="0030137D" w:rsidTr="00E52B0E">
        <w:trPr>
          <w:trHeight w:val="230"/>
        </w:trPr>
        <w:tc>
          <w:tcPr>
            <w:tcW w:w="184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F977CD" w:rsidRPr="0030137D" w:rsidRDefault="00F977CD" w:rsidP="00F977CD">
            <w:pPr>
              <w:pStyle w:val="TableDataEntries"/>
              <w:jc w:val="left"/>
              <w:rPr>
                <w:lang w:val="en-GB"/>
              </w:rPr>
            </w:pPr>
            <w:r w:rsidRPr="0030137D">
              <w:rPr>
                <w:lang w:val="en-GB"/>
              </w:rPr>
              <w:t>Net benefits/costs</w:t>
            </w:r>
          </w:p>
        </w:tc>
        <w:tc>
          <w:tcPr>
            <w:tcW w:w="1219"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F977CD" w:rsidRPr="00F977CD" w:rsidRDefault="00F977CD" w:rsidP="00F977CD">
            <w:pPr>
              <w:pStyle w:val="TableDataEntries"/>
            </w:pPr>
            <w:r w:rsidRPr="00F977CD">
              <w:t xml:space="preserve"> 104.08</w:t>
            </w:r>
          </w:p>
        </w:tc>
        <w:tc>
          <w:tcPr>
            <w:tcW w:w="1219"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F977CD" w:rsidRPr="00F977CD" w:rsidRDefault="00F977CD" w:rsidP="00F977CD">
            <w:pPr>
              <w:pStyle w:val="TableDataEntries"/>
            </w:pPr>
            <w:r w:rsidRPr="00F977CD">
              <w:t xml:space="preserve"> 92.33</w:t>
            </w:r>
          </w:p>
        </w:tc>
        <w:tc>
          <w:tcPr>
            <w:tcW w:w="1219"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F977CD" w:rsidRPr="00F977CD" w:rsidRDefault="00F977CD" w:rsidP="00F977CD">
            <w:pPr>
              <w:pStyle w:val="TableDataEntries"/>
            </w:pPr>
            <w:r w:rsidRPr="00F977CD">
              <w:t xml:space="preserve"> 75.00</w:t>
            </w:r>
          </w:p>
        </w:tc>
        <w:tc>
          <w:tcPr>
            <w:tcW w:w="1219"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F977CD" w:rsidRPr="00F977CD" w:rsidRDefault="00F977CD" w:rsidP="00F977CD">
            <w:pPr>
              <w:pStyle w:val="TableDataEntries"/>
            </w:pPr>
            <w:r w:rsidRPr="00F977CD">
              <w:t xml:space="preserve"> 95.06</w:t>
            </w:r>
          </w:p>
        </w:tc>
        <w:tc>
          <w:tcPr>
            <w:tcW w:w="1220"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F977CD" w:rsidRPr="00F977CD" w:rsidRDefault="00F977CD" w:rsidP="00F977CD">
            <w:pPr>
              <w:pStyle w:val="TableDataEntries"/>
            </w:pPr>
            <w:r w:rsidRPr="00F977CD">
              <w:t xml:space="preserve"> 99.10</w:t>
            </w:r>
          </w:p>
        </w:tc>
      </w:tr>
      <w:tr w:rsidR="00F977CD" w:rsidRPr="0030137D" w:rsidTr="00E52B0E">
        <w:trPr>
          <w:trHeight w:val="230"/>
        </w:trPr>
        <w:tc>
          <w:tcPr>
            <w:tcW w:w="184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F977CD" w:rsidRPr="0030137D" w:rsidRDefault="00F977CD" w:rsidP="00F977CD">
            <w:pPr>
              <w:pStyle w:val="TableHeading1"/>
              <w:rPr>
                <w:lang w:val="en-GB"/>
              </w:rPr>
            </w:pPr>
            <w:r w:rsidRPr="0030137D">
              <w:rPr>
                <w:lang w:val="en-GB"/>
              </w:rPr>
              <w:t>Façade</w:t>
            </w:r>
          </w:p>
        </w:tc>
        <w:tc>
          <w:tcPr>
            <w:tcW w:w="121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F977CD" w:rsidRPr="00F977CD" w:rsidRDefault="00F977CD" w:rsidP="00F977CD">
            <w:pPr>
              <w:pStyle w:val="TableDataEntries"/>
            </w:pPr>
          </w:p>
        </w:tc>
        <w:tc>
          <w:tcPr>
            <w:tcW w:w="121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F977CD" w:rsidRPr="00F977CD" w:rsidRDefault="00F977CD" w:rsidP="00F977CD">
            <w:pPr>
              <w:pStyle w:val="TableDataEntries"/>
            </w:pPr>
          </w:p>
        </w:tc>
        <w:tc>
          <w:tcPr>
            <w:tcW w:w="121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F977CD" w:rsidRPr="00F977CD" w:rsidRDefault="00F977CD" w:rsidP="00F977CD">
            <w:pPr>
              <w:pStyle w:val="TableDataEntries"/>
            </w:pPr>
          </w:p>
        </w:tc>
        <w:tc>
          <w:tcPr>
            <w:tcW w:w="121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F977CD" w:rsidRPr="00F977CD" w:rsidRDefault="00F977CD" w:rsidP="00F977CD">
            <w:pPr>
              <w:pStyle w:val="TableDataEntries"/>
            </w:pPr>
          </w:p>
        </w:tc>
        <w:tc>
          <w:tcPr>
            <w:tcW w:w="1220"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F977CD" w:rsidRPr="00F977CD" w:rsidRDefault="00F977CD" w:rsidP="00F977CD">
            <w:pPr>
              <w:pStyle w:val="TableDataEntries"/>
            </w:pPr>
          </w:p>
        </w:tc>
      </w:tr>
      <w:tr w:rsidR="00F977CD" w:rsidRPr="0030137D" w:rsidTr="00E52B0E">
        <w:trPr>
          <w:trHeight w:val="230"/>
        </w:trPr>
        <w:tc>
          <w:tcPr>
            <w:tcW w:w="184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F977CD" w:rsidRPr="0030137D" w:rsidRDefault="00F977CD" w:rsidP="00F977CD">
            <w:pPr>
              <w:pStyle w:val="TableDataEntries"/>
              <w:jc w:val="left"/>
              <w:rPr>
                <w:lang w:val="en-GB"/>
              </w:rPr>
            </w:pPr>
            <w:r w:rsidRPr="0030137D">
              <w:rPr>
                <w:lang w:val="en-GB"/>
              </w:rPr>
              <w:t>Benefits</w:t>
            </w:r>
          </w:p>
        </w:tc>
        <w:tc>
          <w:tcPr>
            <w:tcW w:w="12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977CD" w:rsidRPr="00F977CD" w:rsidRDefault="00F977CD" w:rsidP="00F977CD">
            <w:pPr>
              <w:pStyle w:val="TableDataEntries"/>
            </w:pPr>
            <w:r w:rsidRPr="00F977CD">
              <w:t>- 8.45</w:t>
            </w:r>
          </w:p>
        </w:tc>
        <w:tc>
          <w:tcPr>
            <w:tcW w:w="12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977CD" w:rsidRPr="00F977CD" w:rsidRDefault="00F977CD" w:rsidP="00F977CD">
            <w:pPr>
              <w:pStyle w:val="TableDataEntries"/>
            </w:pPr>
            <w:r w:rsidRPr="00F977CD">
              <w:t>- 19.37</w:t>
            </w:r>
          </w:p>
        </w:tc>
        <w:tc>
          <w:tcPr>
            <w:tcW w:w="12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977CD" w:rsidRPr="00F977CD" w:rsidRDefault="00F977CD" w:rsidP="00F977CD">
            <w:pPr>
              <w:pStyle w:val="TableDataEntries"/>
            </w:pPr>
            <w:r w:rsidRPr="00F977CD">
              <w:t>- 4.46</w:t>
            </w:r>
          </w:p>
        </w:tc>
        <w:tc>
          <w:tcPr>
            <w:tcW w:w="12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977CD" w:rsidRPr="00F977CD" w:rsidRDefault="00F977CD" w:rsidP="00F977CD">
            <w:pPr>
              <w:pStyle w:val="TableDataEntries"/>
            </w:pPr>
            <w:r w:rsidRPr="00F977CD">
              <w:t>- 5.51</w:t>
            </w:r>
          </w:p>
        </w:tc>
        <w:tc>
          <w:tcPr>
            <w:tcW w:w="122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977CD" w:rsidRPr="00F977CD" w:rsidRDefault="00F977CD" w:rsidP="00F977CD">
            <w:pPr>
              <w:pStyle w:val="TableDataEntries"/>
            </w:pPr>
            <w:r w:rsidRPr="00F977CD">
              <w:t>- 3.88</w:t>
            </w:r>
          </w:p>
        </w:tc>
      </w:tr>
      <w:tr w:rsidR="00F977CD" w:rsidRPr="0030137D" w:rsidTr="00E52B0E">
        <w:trPr>
          <w:trHeight w:val="230"/>
        </w:trPr>
        <w:tc>
          <w:tcPr>
            <w:tcW w:w="184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F977CD" w:rsidRPr="0030137D" w:rsidRDefault="00F977CD" w:rsidP="00F977CD">
            <w:pPr>
              <w:pStyle w:val="TableDataEntries"/>
              <w:jc w:val="left"/>
              <w:rPr>
                <w:lang w:val="en-GB"/>
              </w:rPr>
            </w:pPr>
            <w:r w:rsidRPr="0030137D">
              <w:rPr>
                <w:lang w:val="en-GB"/>
              </w:rPr>
              <w:t>Costs</w:t>
            </w:r>
          </w:p>
        </w:tc>
        <w:tc>
          <w:tcPr>
            <w:tcW w:w="12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977CD" w:rsidRPr="00F977CD" w:rsidRDefault="00F977CD" w:rsidP="00F977CD">
            <w:pPr>
              <w:pStyle w:val="TableDataEntries"/>
            </w:pPr>
            <w:r w:rsidRPr="00F977CD">
              <w:t>- 4.58</w:t>
            </w:r>
          </w:p>
        </w:tc>
        <w:tc>
          <w:tcPr>
            <w:tcW w:w="12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977CD" w:rsidRPr="00F977CD" w:rsidRDefault="00F977CD" w:rsidP="00F977CD">
            <w:pPr>
              <w:pStyle w:val="TableDataEntries"/>
            </w:pPr>
            <w:r w:rsidRPr="00F977CD">
              <w:t>- 3.67</w:t>
            </w:r>
          </w:p>
        </w:tc>
        <w:tc>
          <w:tcPr>
            <w:tcW w:w="12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977CD" w:rsidRPr="00F977CD" w:rsidRDefault="00F977CD" w:rsidP="00F977CD">
            <w:pPr>
              <w:pStyle w:val="TableDataEntries"/>
            </w:pPr>
            <w:r w:rsidRPr="00F977CD">
              <w:t>- 2.40</w:t>
            </w:r>
          </w:p>
        </w:tc>
        <w:tc>
          <w:tcPr>
            <w:tcW w:w="12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977CD" w:rsidRPr="00F977CD" w:rsidRDefault="00F977CD" w:rsidP="00F977CD">
            <w:pPr>
              <w:pStyle w:val="TableDataEntries"/>
            </w:pPr>
            <w:r w:rsidRPr="00F977CD">
              <w:t>- 4.58</w:t>
            </w:r>
          </w:p>
        </w:tc>
        <w:tc>
          <w:tcPr>
            <w:tcW w:w="122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977CD" w:rsidRPr="00F977CD" w:rsidRDefault="00F977CD" w:rsidP="00F977CD">
            <w:pPr>
              <w:pStyle w:val="TableDataEntries"/>
            </w:pPr>
            <w:r w:rsidRPr="00F977CD">
              <w:t>- 4.58</w:t>
            </w:r>
          </w:p>
        </w:tc>
      </w:tr>
      <w:tr w:rsidR="00F977CD" w:rsidRPr="0030137D" w:rsidTr="00E52B0E">
        <w:trPr>
          <w:trHeight w:val="230"/>
        </w:trPr>
        <w:tc>
          <w:tcPr>
            <w:tcW w:w="184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F977CD" w:rsidRPr="0030137D" w:rsidRDefault="00F977CD" w:rsidP="00F977CD">
            <w:pPr>
              <w:pStyle w:val="TableDataEntries"/>
              <w:jc w:val="left"/>
              <w:rPr>
                <w:lang w:val="en-GB"/>
              </w:rPr>
            </w:pPr>
            <w:r w:rsidRPr="0030137D">
              <w:rPr>
                <w:lang w:val="en-GB"/>
              </w:rPr>
              <w:t>Net benefits/costs</w:t>
            </w:r>
          </w:p>
        </w:tc>
        <w:tc>
          <w:tcPr>
            <w:tcW w:w="1219"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F977CD" w:rsidRPr="00F977CD" w:rsidRDefault="00F977CD" w:rsidP="00F977CD">
            <w:pPr>
              <w:pStyle w:val="TableDataEntries"/>
            </w:pPr>
            <w:r w:rsidRPr="00F977CD">
              <w:t>- 13.03</w:t>
            </w:r>
          </w:p>
        </w:tc>
        <w:tc>
          <w:tcPr>
            <w:tcW w:w="1219"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F977CD" w:rsidRPr="00F977CD" w:rsidRDefault="00F977CD" w:rsidP="00F977CD">
            <w:pPr>
              <w:pStyle w:val="TableDataEntries"/>
            </w:pPr>
            <w:r w:rsidRPr="00F977CD">
              <w:t>- 23.04</w:t>
            </w:r>
          </w:p>
        </w:tc>
        <w:tc>
          <w:tcPr>
            <w:tcW w:w="1219"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F977CD" w:rsidRPr="00F977CD" w:rsidRDefault="00F977CD" w:rsidP="00F977CD">
            <w:pPr>
              <w:pStyle w:val="TableDataEntries"/>
            </w:pPr>
            <w:r w:rsidRPr="00F977CD">
              <w:t>- 6.85</w:t>
            </w:r>
          </w:p>
        </w:tc>
        <w:tc>
          <w:tcPr>
            <w:tcW w:w="1219"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F977CD" w:rsidRPr="00F977CD" w:rsidRDefault="00F977CD" w:rsidP="00F977CD">
            <w:pPr>
              <w:pStyle w:val="TableDataEntries"/>
            </w:pPr>
            <w:r w:rsidRPr="00F977CD">
              <w:t>- 10.09</w:t>
            </w:r>
          </w:p>
        </w:tc>
        <w:tc>
          <w:tcPr>
            <w:tcW w:w="1220"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F977CD" w:rsidRPr="00F977CD" w:rsidRDefault="00F977CD" w:rsidP="00F977CD">
            <w:pPr>
              <w:pStyle w:val="TableDataEntries"/>
            </w:pPr>
            <w:r w:rsidRPr="00F977CD">
              <w:t>- 8.46</w:t>
            </w:r>
          </w:p>
        </w:tc>
      </w:tr>
      <w:tr w:rsidR="00F977CD" w:rsidRPr="00F977CD" w:rsidTr="00E52B0E">
        <w:trPr>
          <w:trHeight w:val="230"/>
        </w:trPr>
        <w:tc>
          <w:tcPr>
            <w:tcW w:w="1843"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rsidR="00F977CD" w:rsidRPr="00F977CD" w:rsidRDefault="00F977CD" w:rsidP="00F977CD">
            <w:pPr>
              <w:pStyle w:val="TableDataEntries"/>
              <w:jc w:val="left"/>
              <w:rPr>
                <w:rFonts w:ascii="Franklin Gothic Demi" w:hAnsi="Franklin Gothic Demi"/>
                <w:lang w:val="en-GB"/>
              </w:rPr>
            </w:pPr>
            <w:r w:rsidRPr="00F977CD">
              <w:rPr>
                <w:rFonts w:ascii="Franklin Gothic Demi" w:hAnsi="Franklin Gothic Demi"/>
                <w:lang w:val="en-GB"/>
              </w:rPr>
              <w:t>Total net benefits/costs</w:t>
            </w:r>
          </w:p>
        </w:tc>
        <w:tc>
          <w:tcPr>
            <w:tcW w:w="1219"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F977CD" w:rsidRPr="00F977CD" w:rsidRDefault="00F977CD" w:rsidP="00F977CD">
            <w:pPr>
              <w:pStyle w:val="TableDataEntries"/>
              <w:rPr>
                <w:rFonts w:ascii="Franklin Gothic Demi" w:hAnsi="Franklin Gothic Demi"/>
              </w:rPr>
            </w:pPr>
            <w:r w:rsidRPr="00F977CD">
              <w:rPr>
                <w:rFonts w:ascii="Franklin Gothic Demi" w:hAnsi="Franklin Gothic Demi"/>
              </w:rPr>
              <w:t xml:space="preserve"> 91.05</w:t>
            </w:r>
          </w:p>
        </w:tc>
        <w:tc>
          <w:tcPr>
            <w:tcW w:w="1219"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F977CD" w:rsidRPr="00F977CD" w:rsidRDefault="00F977CD" w:rsidP="00F977CD">
            <w:pPr>
              <w:pStyle w:val="TableDataEntries"/>
              <w:rPr>
                <w:rFonts w:ascii="Franklin Gothic Demi" w:hAnsi="Franklin Gothic Demi"/>
              </w:rPr>
            </w:pPr>
            <w:r w:rsidRPr="00F977CD">
              <w:rPr>
                <w:rFonts w:ascii="Franklin Gothic Demi" w:hAnsi="Franklin Gothic Demi"/>
              </w:rPr>
              <w:t xml:space="preserve"> 69.29</w:t>
            </w:r>
          </w:p>
        </w:tc>
        <w:tc>
          <w:tcPr>
            <w:tcW w:w="1219"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F977CD" w:rsidRPr="00F977CD" w:rsidRDefault="00F977CD" w:rsidP="00F977CD">
            <w:pPr>
              <w:pStyle w:val="TableDataEntries"/>
              <w:rPr>
                <w:rFonts w:ascii="Franklin Gothic Demi" w:hAnsi="Franklin Gothic Demi"/>
              </w:rPr>
            </w:pPr>
            <w:r w:rsidRPr="00F977CD">
              <w:rPr>
                <w:rFonts w:ascii="Franklin Gothic Demi" w:hAnsi="Franklin Gothic Demi"/>
              </w:rPr>
              <w:t xml:space="preserve"> 68.14</w:t>
            </w:r>
          </w:p>
        </w:tc>
        <w:tc>
          <w:tcPr>
            <w:tcW w:w="1219"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F977CD" w:rsidRPr="00F977CD" w:rsidRDefault="00F977CD" w:rsidP="00F977CD">
            <w:pPr>
              <w:pStyle w:val="TableDataEntries"/>
              <w:rPr>
                <w:rFonts w:ascii="Franklin Gothic Demi" w:hAnsi="Franklin Gothic Demi"/>
              </w:rPr>
            </w:pPr>
            <w:r w:rsidRPr="00F977CD">
              <w:rPr>
                <w:rFonts w:ascii="Franklin Gothic Demi" w:hAnsi="Franklin Gothic Demi"/>
              </w:rPr>
              <w:t xml:space="preserve"> 84.97</w:t>
            </w:r>
          </w:p>
        </w:tc>
        <w:tc>
          <w:tcPr>
            <w:tcW w:w="1220"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F977CD" w:rsidRPr="00F977CD" w:rsidRDefault="00F977CD" w:rsidP="00F977CD">
            <w:pPr>
              <w:pStyle w:val="TableDataEntries"/>
              <w:rPr>
                <w:rFonts w:ascii="Franklin Gothic Demi" w:hAnsi="Franklin Gothic Demi"/>
              </w:rPr>
            </w:pPr>
            <w:r w:rsidRPr="00F977CD">
              <w:rPr>
                <w:rFonts w:ascii="Franklin Gothic Demi" w:hAnsi="Franklin Gothic Demi"/>
              </w:rPr>
              <w:t xml:space="preserve"> 90.64</w:t>
            </w:r>
          </w:p>
        </w:tc>
      </w:tr>
    </w:tbl>
    <w:p w:rsidR="00B23227" w:rsidRDefault="00B23227" w:rsidP="00B23227">
      <w:pPr>
        <w:pStyle w:val="Note"/>
        <w:rPr>
          <w:lang w:bidi="fa-IR"/>
        </w:rPr>
      </w:pPr>
      <w:r w:rsidRPr="007D1B4F">
        <w:rPr>
          <w:i/>
        </w:rPr>
        <w:t>Note:</w:t>
      </w:r>
      <w:r w:rsidRPr="00E879B8">
        <w:t xml:space="preserve"> </w:t>
      </w:r>
      <w:r w:rsidR="00CA6CF4">
        <w:rPr>
          <w:lang w:bidi="fa-IR"/>
        </w:rPr>
        <w:t xml:space="preserve">Net impacts include the private benefits and costs to building owners/tenants and the global benefits from reduced GHG emissions. </w:t>
      </w:r>
      <w:r>
        <w:t>Costs and benefits expressed in net present value terms over the assumed 40 year life of the building, using a discount rate of 7 per cent. Benefit estimates are based on future energy price (and GHG emission) profiles from 2019.</w:t>
      </w:r>
    </w:p>
    <w:p w:rsidR="00B23227" w:rsidRDefault="00B23227" w:rsidP="00B23227">
      <w:pPr>
        <w:pStyle w:val="Source"/>
        <w:rPr>
          <w:lang w:bidi="fa-IR"/>
        </w:rPr>
      </w:pPr>
      <w:r w:rsidRPr="0030137D">
        <w:rPr>
          <w:i/>
          <w:lang w:bidi="fa-IR"/>
        </w:rPr>
        <w:t>Source:</w:t>
      </w:r>
      <w:r>
        <w:rPr>
          <w:lang w:bidi="fa-IR"/>
        </w:rPr>
        <w:t xml:space="preserve"> CIE based on </w:t>
      </w:r>
      <w:r w:rsidR="003F28DD">
        <w:rPr>
          <w:lang w:bidi="fa-IR"/>
        </w:rPr>
        <w:t>EA</w:t>
      </w:r>
      <w:r>
        <w:rPr>
          <w:lang w:bidi="fa-IR"/>
        </w:rPr>
        <w:t xml:space="preserve"> modelling.</w:t>
      </w:r>
    </w:p>
    <w:p w:rsidR="006F3243" w:rsidRDefault="006F3243" w:rsidP="006F3243">
      <w:pPr>
        <w:pStyle w:val="Heading4"/>
        <w:rPr>
          <w:lang w:eastAsia="en-US" w:bidi="fa-IR"/>
        </w:rPr>
      </w:pPr>
      <w:r>
        <w:rPr>
          <w:lang w:eastAsia="en-US" w:bidi="fa-IR"/>
        </w:rPr>
        <w:t>Healthcare</w:t>
      </w:r>
    </w:p>
    <w:p w:rsidR="006F3243" w:rsidRDefault="00C076A1" w:rsidP="0030137D">
      <w:pPr>
        <w:pStyle w:val="BodyText"/>
        <w:rPr>
          <w:lang w:eastAsia="en-US" w:bidi="fa-IR"/>
        </w:rPr>
      </w:pPr>
      <w:r>
        <w:rPr>
          <w:lang w:eastAsia="en-US" w:bidi="fa-IR"/>
        </w:rPr>
        <w:t>For the healthcare building archetype, the new services requirements are estimated to deliver energy saving benefits with modest additional costs across all cities (table </w:t>
      </w:r>
      <w:r>
        <w:rPr>
          <w:lang w:eastAsia="en-US" w:bidi="fa-IR"/>
        </w:rPr>
        <w:fldChar w:fldCharType="begin"/>
      </w:r>
      <w:r>
        <w:rPr>
          <w:lang w:eastAsia="en-US" w:bidi="fa-IR"/>
        </w:rPr>
        <w:instrText xml:space="preserve"> REF _Caption0651 </w:instrText>
      </w:r>
      <w:r>
        <w:rPr>
          <w:lang w:eastAsia="en-US" w:bidi="fa-IR"/>
        </w:rPr>
        <w:fldChar w:fldCharType="separate"/>
      </w:r>
      <w:r w:rsidR="006B79B8">
        <w:rPr>
          <w:noProof/>
        </w:rPr>
        <w:t>8</w:t>
      </w:r>
      <w:r w:rsidR="006B79B8" w:rsidRPr="00F977CD">
        <w:rPr>
          <w:noProof/>
        </w:rPr>
        <w:t>.</w:t>
      </w:r>
      <w:r w:rsidR="006B79B8">
        <w:rPr>
          <w:noProof/>
        </w:rPr>
        <w:t>12</w:t>
      </w:r>
      <w:r>
        <w:rPr>
          <w:lang w:eastAsia="en-US" w:bidi="fa-IR"/>
        </w:rPr>
        <w:fldChar w:fldCharType="end"/>
      </w:r>
      <w:r>
        <w:rPr>
          <w:lang w:eastAsia="en-US" w:bidi="fa-IR"/>
        </w:rPr>
        <w:t>).</w:t>
      </w:r>
    </w:p>
    <w:p w:rsidR="00DD1A97" w:rsidRDefault="00C076A1" w:rsidP="0030137D">
      <w:pPr>
        <w:pStyle w:val="BodyText"/>
        <w:rPr>
          <w:lang w:eastAsia="en-US" w:bidi="fa-IR"/>
        </w:rPr>
      </w:pPr>
      <w:r>
        <w:rPr>
          <w:lang w:eastAsia="en-US" w:bidi="fa-IR"/>
        </w:rPr>
        <w:t>The</w:t>
      </w:r>
      <w:r w:rsidR="00DD1A97">
        <w:rPr>
          <w:lang w:eastAsia="en-US" w:bidi="fa-IR"/>
        </w:rPr>
        <w:t xml:space="preserve"> costs and benefits of the new façade requirements are generally relatively small across most </w:t>
      </w:r>
      <w:r w:rsidR="00E31EE8">
        <w:rPr>
          <w:lang w:eastAsia="en-US" w:bidi="fa-IR"/>
        </w:rPr>
        <w:t>Climate Zone</w:t>
      </w:r>
      <w:r w:rsidR="00DD1A97">
        <w:rPr>
          <w:lang w:eastAsia="en-US" w:bidi="fa-IR"/>
        </w:rPr>
        <w:t>s. Nevertheless, the façade requirements are estimated to impose a net cost in all cities except Brisbane.</w:t>
      </w:r>
    </w:p>
    <w:p w:rsidR="00C076A1" w:rsidRDefault="00DD1A97" w:rsidP="0030137D">
      <w:pPr>
        <w:pStyle w:val="BodyText"/>
        <w:rPr>
          <w:lang w:eastAsia="en-US" w:bidi="fa-IR"/>
        </w:rPr>
      </w:pPr>
      <w:r>
        <w:rPr>
          <w:lang w:eastAsia="en-US" w:bidi="fa-IR"/>
        </w:rPr>
        <w:t>In Melbourne, the façade requirements are estimated to increase energy consumption significantly. This is the main factor driving an overall net cost for this building archetype.</w:t>
      </w:r>
    </w:p>
    <w:p w:rsidR="00B23227" w:rsidRDefault="00B23227" w:rsidP="00B23227">
      <w:pPr>
        <w:pStyle w:val="Caption"/>
      </w:pPr>
      <w:r w:rsidRPr="00F977CD">
        <w:fldChar w:fldCharType="begin"/>
      </w:r>
      <w:r w:rsidRPr="00F977CD">
        <w:instrText xml:space="preserve"> IF 1 = 1 "</w:instrText>
      </w:r>
      <w:r w:rsidRPr="00F977CD">
        <w:fldChar w:fldCharType="begin"/>
      </w:r>
      <w:r w:rsidRPr="00F977CD">
        <w:instrText xml:space="preserve"> IF </w:instrText>
      </w:r>
      <w:r w:rsidRPr="00F977CD">
        <w:rPr>
          <w:noProof/>
        </w:rPr>
        <w:fldChar w:fldCharType="begin"/>
      </w:r>
      <w:r w:rsidRPr="00F977CD">
        <w:rPr>
          <w:noProof/>
        </w:rPr>
        <w:instrText xml:space="preserve"> STYLEREF "Heading 6" \l \n </w:instrText>
      </w:r>
      <w:r w:rsidRPr="00F977CD">
        <w:rPr>
          <w:noProof/>
        </w:rPr>
        <w:fldChar w:fldCharType="separate"/>
      </w:r>
      <w:r w:rsidR="00B833F1">
        <w:rPr>
          <w:noProof/>
        </w:rPr>
        <w:instrText>0</w:instrText>
      </w:r>
      <w:r w:rsidRPr="00F977CD">
        <w:rPr>
          <w:noProof/>
        </w:rPr>
        <w:fldChar w:fldCharType="end"/>
      </w:r>
      <w:r w:rsidRPr="00F977CD">
        <w:instrText xml:space="preserve"> = 0 "</w:instrText>
      </w:r>
      <w:r w:rsidRPr="00F977CD">
        <w:fldChar w:fldCharType="begin"/>
      </w:r>
      <w:r w:rsidRPr="00F977CD">
        <w:instrText xml:space="preserve"> IF </w:instrText>
      </w:r>
      <w:r w:rsidRPr="00F977CD">
        <w:rPr>
          <w:noProof/>
        </w:rPr>
        <w:fldChar w:fldCharType="begin"/>
      </w:r>
      <w:r w:rsidRPr="00F977CD">
        <w:rPr>
          <w:noProof/>
        </w:rPr>
        <w:instrText xml:space="preserve"> STYLEREF "Heading 1" \l \n </w:instrText>
      </w:r>
      <w:r w:rsidRPr="00F977CD">
        <w:rPr>
          <w:noProof/>
        </w:rPr>
        <w:fldChar w:fldCharType="separate"/>
      </w:r>
      <w:r w:rsidR="00B833F1">
        <w:rPr>
          <w:noProof/>
        </w:rPr>
        <w:instrText>8</w:instrText>
      </w:r>
      <w:r w:rsidRPr="00F977CD">
        <w:rPr>
          <w:noProof/>
        </w:rPr>
        <w:fldChar w:fldCharType="end"/>
      </w:r>
      <w:r w:rsidRPr="00F977CD">
        <w:instrText xml:space="preserve"> = 0 "" "</w:instrText>
      </w:r>
      <w:r w:rsidRPr="00F977CD">
        <w:rPr>
          <w:noProof/>
        </w:rPr>
        <w:fldChar w:fldCharType="begin"/>
      </w:r>
      <w:r w:rsidRPr="00F977CD">
        <w:rPr>
          <w:noProof/>
        </w:rPr>
        <w:instrText xml:space="preserve"> STYLEREF "Heading 1" \l \n </w:instrText>
      </w:r>
      <w:r w:rsidRPr="00F977CD">
        <w:rPr>
          <w:noProof/>
        </w:rPr>
        <w:fldChar w:fldCharType="separate"/>
      </w:r>
      <w:r w:rsidR="00B833F1">
        <w:rPr>
          <w:noProof/>
        </w:rPr>
        <w:instrText>8</w:instrText>
      </w:r>
      <w:r w:rsidRPr="00F977CD">
        <w:rPr>
          <w:noProof/>
        </w:rPr>
        <w:fldChar w:fldCharType="end"/>
      </w:r>
      <w:r w:rsidRPr="00F977CD">
        <w:instrText xml:space="preserve">." </w:instrText>
      </w:r>
      <w:r w:rsidRPr="00F977CD">
        <w:fldChar w:fldCharType="separate"/>
      </w:r>
      <w:r w:rsidR="00B833F1">
        <w:rPr>
          <w:noProof/>
        </w:rPr>
        <w:instrText>8</w:instrText>
      </w:r>
      <w:r w:rsidR="00B833F1" w:rsidRPr="00F977CD">
        <w:rPr>
          <w:noProof/>
        </w:rPr>
        <w:instrText>.</w:instrText>
      </w:r>
      <w:r w:rsidRPr="00F977CD">
        <w:fldChar w:fldCharType="end"/>
      </w:r>
      <w:r w:rsidRPr="00F977CD">
        <w:instrText>" "</w:instrText>
      </w:r>
      <w:r w:rsidR="001F6F43">
        <w:fldChar w:fldCharType="begin"/>
      </w:r>
      <w:r w:rsidR="001F6F43">
        <w:instrText xml:space="preserve"> STYLEREF "Heading 6" \l \n </w:instrText>
      </w:r>
      <w:r w:rsidR="001F6F43">
        <w:fldChar w:fldCharType="separate"/>
      </w:r>
      <w:r w:rsidRPr="00F977CD">
        <w:instrText>B</w:instrText>
      </w:r>
      <w:r w:rsidR="001F6F43">
        <w:fldChar w:fldCharType="end"/>
      </w:r>
      <w:r w:rsidRPr="00F977CD">
        <w:instrText xml:space="preserve">." </w:instrText>
      </w:r>
      <w:r w:rsidRPr="00F977CD">
        <w:fldChar w:fldCharType="separate"/>
      </w:r>
      <w:r w:rsidR="00EA42ED">
        <w:rPr>
          <w:noProof/>
        </w:rPr>
        <w:instrText>8</w:instrText>
      </w:r>
      <w:r w:rsidR="00EA42ED" w:rsidRPr="00F977CD">
        <w:rPr>
          <w:noProof/>
        </w:rPr>
        <w:instrText>.</w:instrText>
      </w:r>
      <w:r w:rsidRPr="00F977CD">
        <w:fldChar w:fldCharType="end"/>
      </w:r>
      <w:r w:rsidRPr="00F977CD">
        <w:fldChar w:fldCharType="begin"/>
      </w:r>
      <w:r w:rsidRPr="00F977CD">
        <w:instrText xml:space="preserve"> SEQ Item \* ARABIC \s </w:instrText>
      </w:r>
      <w:r w:rsidRPr="00F977CD">
        <w:fldChar w:fldCharType="begin"/>
      </w:r>
      <w:r w:rsidRPr="00F977CD">
        <w:instrText xml:space="preserve"> IF </w:instrText>
      </w:r>
      <w:r w:rsidRPr="00F977CD">
        <w:rPr>
          <w:noProof/>
        </w:rPr>
        <w:fldChar w:fldCharType="begin"/>
      </w:r>
      <w:r w:rsidRPr="00F977CD">
        <w:rPr>
          <w:noProof/>
        </w:rPr>
        <w:instrText xml:space="preserve"> STYLEREF "Heading 6" \l \n </w:instrText>
      </w:r>
      <w:r w:rsidRPr="00F977CD">
        <w:rPr>
          <w:noProof/>
        </w:rPr>
        <w:fldChar w:fldCharType="separate"/>
      </w:r>
      <w:r w:rsidR="00B833F1">
        <w:rPr>
          <w:noProof/>
        </w:rPr>
        <w:instrText>0</w:instrText>
      </w:r>
      <w:r w:rsidRPr="00F977CD">
        <w:rPr>
          <w:noProof/>
        </w:rPr>
        <w:fldChar w:fldCharType="end"/>
      </w:r>
      <w:r w:rsidRPr="00F977CD">
        <w:instrText xml:space="preserve"> = 0 "</w:instrText>
      </w:r>
      <w:r w:rsidRPr="00F977CD">
        <w:fldChar w:fldCharType="begin"/>
      </w:r>
      <w:r w:rsidRPr="00F977CD">
        <w:instrText xml:space="preserve"> IF </w:instrText>
      </w:r>
      <w:r w:rsidRPr="00F977CD">
        <w:rPr>
          <w:noProof/>
        </w:rPr>
        <w:fldChar w:fldCharType="begin"/>
      </w:r>
      <w:r w:rsidRPr="00F977CD">
        <w:rPr>
          <w:noProof/>
        </w:rPr>
        <w:instrText xml:space="preserve"> STYLEREF "Heading 1" \l \n </w:instrText>
      </w:r>
      <w:r w:rsidRPr="00F977CD">
        <w:rPr>
          <w:noProof/>
        </w:rPr>
        <w:fldChar w:fldCharType="separate"/>
      </w:r>
      <w:r w:rsidR="00B833F1">
        <w:rPr>
          <w:noProof/>
        </w:rPr>
        <w:instrText>8</w:instrText>
      </w:r>
      <w:r w:rsidRPr="00F977CD">
        <w:rPr>
          <w:noProof/>
        </w:rPr>
        <w:fldChar w:fldCharType="end"/>
      </w:r>
      <w:r w:rsidRPr="00F977CD">
        <w:instrText xml:space="preserve"> = 0 "" "1" </w:instrText>
      </w:r>
      <w:r w:rsidRPr="00F977CD">
        <w:fldChar w:fldCharType="separate"/>
      </w:r>
      <w:r w:rsidR="00EA42ED" w:rsidRPr="00F977CD">
        <w:rPr>
          <w:noProof/>
        </w:rPr>
        <w:instrText>1</w:instrText>
      </w:r>
      <w:r w:rsidRPr="00F977CD">
        <w:fldChar w:fldCharType="end"/>
      </w:r>
      <w:r w:rsidRPr="00F977CD">
        <w:instrText xml:space="preserve">" "6" </w:instrText>
      </w:r>
      <w:r w:rsidRPr="00F977CD">
        <w:fldChar w:fldCharType="separate"/>
      </w:r>
      <w:r w:rsidR="00EA42ED" w:rsidRPr="00F977CD">
        <w:rPr>
          <w:noProof/>
        </w:rPr>
        <w:instrText>1</w:instrText>
      </w:r>
      <w:r w:rsidRPr="00F977CD">
        <w:fldChar w:fldCharType="end"/>
      </w:r>
      <w:r w:rsidRPr="00F977CD">
        <w:instrText xml:space="preserve"> </w:instrText>
      </w:r>
      <w:r w:rsidRPr="00F977CD">
        <w:fldChar w:fldCharType="separate"/>
      </w:r>
      <w:r w:rsidR="00B833F1">
        <w:rPr>
          <w:noProof/>
        </w:rPr>
        <w:instrText>12</w:instrText>
      </w:r>
      <w:r w:rsidRPr="00F977CD">
        <w:fldChar w:fldCharType="end"/>
      </w:r>
      <w:r w:rsidRPr="00F977CD">
        <w:instrText xml:space="preserve">" "" </w:instrText>
      </w:r>
      <w:r w:rsidRPr="00F977CD">
        <w:fldChar w:fldCharType="separate"/>
      </w:r>
      <w:bookmarkStart w:id="3870" w:name="_Caption9882"/>
      <w:bookmarkStart w:id="3871" w:name="_Caption9671"/>
      <w:bookmarkStart w:id="3872" w:name="_Caption2557"/>
      <w:bookmarkStart w:id="3873" w:name="_Caption0143"/>
      <w:bookmarkStart w:id="3874" w:name="_Caption2713"/>
      <w:bookmarkStart w:id="3875" w:name="_Caption2356"/>
      <w:bookmarkStart w:id="3876" w:name="_Caption7785"/>
      <w:bookmarkStart w:id="3877" w:name="_Caption6583"/>
      <w:bookmarkStart w:id="3878" w:name="_Caption7984"/>
      <w:bookmarkStart w:id="3879" w:name="_Caption0223"/>
      <w:bookmarkStart w:id="3880" w:name="_Caption7219"/>
      <w:bookmarkStart w:id="3881" w:name="_Caption9461"/>
      <w:bookmarkStart w:id="3882" w:name="_Caption0651"/>
      <w:bookmarkStart w:id="3883" w:name="_Caption4844"/>
      <w:bookmarkStart w:id="3884" w:name="_Caption7725"/>
      <w:bookmarkStart w:id="3885" w:name="_Caption6666"/>
      <w:bookmarkStart w:id="3886" w:name="_Caption4739"/>
      <w:bookmarkStart w:id="3887" w:name="_Caption5878"/>
      <w:bookmarkStart w:id="3888" w:name="_Caption9317"/>
      <w:bookmarkStart w:id="3889" w:name="_Caption4181"/>
      <w:bookmarkStart w:id="3890" w:name="_Caption7730"/>
      <w:bookmarkStart w:id="3891" w:name="_Caption4095"/>
      <w:bookmarkStart w:id="3892" w:name="_Caption8684"/>
      <w:bookmarkStart w:id="3893" w:name="_Caption2440"/>
      <w:bookmarkStart w:id="3894" w:name="_Caption3906"/>
      <w:bookmarkStart w:id="3895" w:name="_Caption4428"/>
      <w:bookmarkStart w:id="3896" w:name="_Caption6466"/>
      <w:bookmarkStart w:id="3897" w:name="_Caption1752"/>
      <w:bookmarkStart w:id="3898" w:name="_Caption6701"/>
      <w:bookmarkStart w:id="3899" w:name="_Caption5329"/>
      <w:bookmarkStart w:id="3900" w:name="_Caption2551"/>
      <w:bookmarkStart w:id="3901" w:name="_Caption8957"/>
      <w:bookmarkStart w:id="3902" w:name="_Caption6483"/>
      <w:bookmarkStart w:id="3903" w:name="_Caption4385"/>
      <w:bookmarkStart w:id="3904" w:name="_Caption2423"/>
      <w:bookmarkStart w:id="3905" w:name="_Caption8810"/>
      <w:bookmarkStart w:id="3906" w:name="_Caption9688"/>
      <w:bookmarkStart w:id="3907" w:name="_Caption8482"/>
      <w:bookmarkStart w:id="3908" w:name="_Caption8520"/>
      <w:bookmarkStart w:id="3909" w:name="_Caption6834"/>
      <w:bookmarkStart w:id="3910" w:name="_Caption5304"/>
      <w:bookmarkStart w:id="3911" w:name="_Caption7073"/>
      <w:bookmarkStart w:id="3912" w:name="_Toc529869951"/>
      <w:bookmarkStart w:id="3913" w:name="_Toc530748447"/>
      <w:r w:rsidR="00EA42ED">
        <w:rPr>
          <w:noProof/>
        </w:rPr>
        <w:t>8</w:t>
      </w:r>
      <w:r w:rsidR="00EA42ED" w:rsidRPr="00F977CD">
        <w:rPr>
          <w:noProof/>
        </w:rPr>
        <w:t>.</w:t>
      </w:r>
      <w:r w:rsidR="00EA42ED">
        <w:rPr>
          <w:noProof/>
        </w:rPr>
        <w:t>12</w:t>
      </w:r>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r w:rsidRPr="00F977CD">
        <w:fldChar w:fldCharType="end"/>
      </w:r>
      <w:r w:rsidRPr="00F977CD">
        <w:tab/>
        <w:t>Services/façade decomposition — healthcare building</w:t>
      </w:r>
      <w:bookmarkEnd w:id="3912"/>
      <w:bookmarkEnd w:id="3913"/>
    </w:p>
    <w:tbl>
      <w:tblPr>
        <w:tblW w:w="7939" w:type="dxa"/>
        <w:tblLayout w:type="fixed"/>
        <w:tblLook w:val="0000" w:firstRow="0" w:lastRow="0" w:firstColumn="0" w:lastColumn="0" w:noHBand="0" w:noVBand="0"/>
        <w:tblCaption w:val="Table 8.12: Services/facade decomposition - healthcare buildings"/>
        <w:tblDescription w:val="This table outlines the composition of costs and benefits of proposed changes to the NCC 2019. There are two primary impacts, impacts to services and impacts to the facade of the building.  "/>
      </w:tblPr>
      <w:tblGrid>
        <w:gridCol w:w="1843"/>
        <w:gridCol w:w="1219"/>
        <w:gridCol w:w="1219"/>
        <w:gridCol w:w="1219"/>
        <w:gridCol w:w="1219"/>
        <w:gridCol w:w="1220"/>
      </w:tblGrid>
      <w:tr w:rsidR="00B23227" w:rsidRPr="00143A66" w:rsidTr="00E52B0E">
        <w:trPr>
          <w:trHeight w:val="230"/>
          <w:tblHeader/>
        </w:trPr>
        <w:tc>
          <w:tcPr>
            <w:tcW w:w="1843" w:type="dxa"/>
            <w:shd w:val="clear" w:color="auto" w:fill="6F6652"/>
            <w:tcMar>
              <w:left w:w="57" w:type="dxa"/>
              <w:right w:w="57" w:type="dxa"/>
            </w:tcMar>
          </w:tcPr>
          <w:p w:rsidR="00B23227" w:rsidRPr="00143A66" w:rsidRDefault="00B23227" w:rsidP="00E52B0E">
            <w:pPr>
              <w:pStyle w:val="TableDataColumnHeading"/>
              <w:jc w:val="left"/>
              <w:rPr>
                <w:lang w:val="en-GB"/>
              </w:rPr>
            </w:pPr>
          </w:p>
        </w:tc>
        <w:tc>
          <w:tcPr>
            <w:tcW w:w="1219" w:type="dxa"/>
            <w:shd w:val="clear" w:color="auto" w:fill="6F6652"/>
            <w:tcMar>
              <w:left w:w="57" w:type="dxa"/>
              <w:right w:w="57" w:type="dxa"/>
            </w:tcMar>
          </w:tcPr>
          <w:p w:rsidR="00B23227" w:rsidRPr="00143A66" w:rsidRDefault="00B23227" w:rsidP="00E52B0E">
            <w:pPr>
              <w:pStyle w:val="TableDataColumnHeading"/>
              <w:rPr>
                <w:bCs/>
                <w:lang w:val="en-GB"/>
              </w:rPr>
            </w:pPr>
            <w:r w:rsidRPr="00143A66">
              <w:rPr>
                <w:bCs/>
                <w:lang w:val="en-GB"/>
              </w:rPr>
              <w:t>Sydney</w:t>
            </w:r>
          </w:p>
        </w:tc>
        <w:tc>
          <w:tcPr>
            <w:tcW w:w="1219" w:type="dxa"/>
            <w:shd w:val="clear" w:color="auto" w:fill="6F6652"/>
            <w:tcMar>
              <w:left w:w="57" w:type="dxa"/>
              <w:right w:w="57" w:type="dxa"/>
            </w:tcMar>
          </w:tcPr>
          <w:p w:rsidR="00B23227" w:rsidRPr="00143A66" w:rsidRDefault="00B23227" w:rsidP="00E52B0E">
            <w:pPr>
              <w:pStyle w:val="TableDataColumnHeading"/>
              <w:rPr>
                <w:bCs/>
                <w:lang w:val="en-GB"/>
              </w:rPr>
            </w:pPr>
            <w:r w:rsidRPr="00143A66">
              <w:rPr>
                <w:bCs/>
                <w:lang w:val="en-GB"/>
              </w:rPr>
              <w:t>Melbourne</w:t>
            </w:r>
          </w:p>
        </w:tc>
        <w:tc>
          <w:tcPr>
            <w:tcW w:w="1219" w:type="dxa"/>
            <w:shd w:val="clear" w:color="auto" w:fill="6F6652"/>
            <w:tcMar>
              <w:left w:w="57" w:type="dxa"/>
              <w:right w:w="57" w:type="dxa"/>
            </w:tcMar>
          </w:tcPr>
          <w:p w:rsidR="00B23227" w:rsidRPr="00143A66" w:rsidRDefault="00B23227" w:rsidP="00E52B0E">
            <w:pPr>
              <w:pStyle w:val="TableDataColumnHeading"/>
              <w:rPr>
                <w:bCs/>
                <w:lang w:val="en-GB"/>
              </w:rPr>
            </w:pPr>
            <w:r w:rsidRPr="00143A66">
              <w:rPr>
                <w:bCs/>
                <w:lang w:val="en-GB"/>
              </w:rPr>
              <w:t>Brisbane</w:t>
            </w:r>
          </w:p>
        </w:tc>
        <w:tc>
          <w:tcPr>
            <w:tcW w:w="1219" w:type="dxa"/>
            <w:shd w:val="clear" w:color="auto" w:fill="6F6652"/>
            <w:tcMar>
              <w:left w:w="57" w:type="dxa"/>
              <w:right w:w="57" w:type="dxa"/>
            </w:tcMar>
          </w:tcPr>
          <w:p w:rsidR="00B23227" w:rsidRPr="00143A66" w:rsidRDefault="00B23227" w:rsidP="00E52B0E">
            <w:pPr>
              <w:pStyle w:val="TableDataColumnHeading"/>
              <w:rPr>
                <w:bCs/>
                <w:lang w:val="en-GB"/>
              </w:rPr>
            </w:pPr>
            <w:r w:rsidRPr="00143A66">
              <w:rPr>
                <w:bCs/>
                <w:lang w:val="en-GB"/>
              </w:rPr>
              <w:t>Adelaide</w:t>
            </w:r>
          </w:p>
        </w:tc>
        <w:tc>
          <w:tcPr>
            <w:tcW w:w="1220" w:type="dxa"/>
            <w:shd w:val="clear" w:color="auto" w:fill="6F6652"/>
            <w:tcMar>
              <w:left w:w="57" w:type="dxa"/>
              <w:right w:w="57" w:type="dxa"/>
            </w:tcMar>
          </w:tcPr>
          <w:p w:rsidR="00B23227" w:rsidRPr="00143A66" w:rsidRDefault="00B23227" w:rsidP="00E52B0E">
            <w:pPr>
              <w:pStyle w:val="TableDataColumnHeading"/>
              <w:rPr>
                <w:bCs/>
                <w:lang w:val="en-GB"/>
              </w:rPr>
            </w:pPr>
            <w:r w:rsidRPr="00143A66">
              <w:rPr>
                <w:bCs/>
                <w:lang w:val="en-GB"/>
              </w:rPr>
              <w:t>Perth</w:t>
            </w:r>
          </w:p>
        </w:tc>
      </w:tr>
      <w:tr w:rsidR="00B23227" w:rsidRPr="0030137D" w:rsidTr="00E52B0E">
        <w:trPr>
          <w:trHeight w:val="230"/>
          <w:tblHeader/>
        </w:trPr>
        <w:tc>
          <w:tcPr>
            <w:tcW w:w="1843" w:type="dxa"/>
            <w:tcBorders>
              <w:bottom w:val="single" w:sz="8" w:space="0" w:color="FFFFFF" w:themeColor="background1"/>
            </w:tcBorders>
            <w:shd w:val="clear" w:color="auto" w:fill="auto"/>
            <w:tcMar>
              <w:left w:w="57" w:type="dxa"/>
              <w:right w:w="57" w:type="dxa"/>
            </w:tcMar>
          </w:tcPr>
          <w:p w:rsidR="00B23227" w:rsidRPr="0030137D" w:rsidRDefault="00B23227" w:rsidP="00E52B0E">
            <w:pPr>
              <w:pStyle w:val="TableUnit"/>
              <w:jc w:val="left"/>
              <w:rPr>
                <w:lang w:val="en-GB"/>
              </w:rPr>
            </w:pPr>
          </w:p>
        </w:tc>
        <w:tc>
          <w:tcPr>
            <w:tcW w:w="1219" w:type="dxa"/>
            <w:tcBorders>
              <w:bottom w:val="single" w:sz="8" w:space="0" w:color="FFFFFF" w:themeColor="background1"/>
            </w:tcBorders>
            <w:shd w:val="clear" w:color="auto" w:fill="auto"/>
            <w:tcMar>
              <w:left w:w="57" w:type="dxa"/>
              <w:right w:w="57" w:type="dxa"/>
            </w:tcMar>
          </w:tcPr>
          <w:p w:rsidR="00B23227" w:rsidRPr="0030137D" w:rsidRDefault="00B23227" w:rsidP="00E52B0E">
            <w:pPr>
              <w:pStyle w:val="TableUnit"/>
              <w:rPr>
                <w:lang w:val="en-GB"/>
              </w:rPr>
            </w:pPr>
            <w:r w:rsidRPr="0030137D">
              <w:rPr>
                <w:lang w:val="en-GB"/>
              </w:rPr>
              <w:t>$ per m</w:t>
            </w:r>
            <w:r w:rsidRPr="001640D9">
              <w:rPr>
                <w:vertAlign w:val="superscript"/>
                <w:lang w:val="en-GB"/>
              </w:rPr>
              <w:t>2</w:t>
            </w:r>
          </w:p>
        </w:tc>
        <w:tc>
          <w:tcPr>
            <w:tcW w:w="1219" w:type="dxa"/>
            <w:tcBorders>
              <w:bottom w:val="single" w:sz="8" w:space="0" w:color="FFFFFF" w:themeColor="background1"/>
            </w:tcBorders>
            <w:shd w:val="clear" w:color="auto" w:fill="auto"/>
            <w:tcMar>
              <w:left w:w="57" w:type="dxa"/>
              <w:right w:w="57" w:type="dxa"/>
            </w:tcMar>
          </w:tcPr>
          <w:p w:rsidR="00B23227" w:rsidRPr="0030137D" w:rsidRDefault="00B23227" w:rsidP="00E52B0E">
            <w:pPr>
              <w:pStyle w:val="TableUnit"/>
              <w:rPr>
                <w:lang w:val="en-GB"/>
              </w:rPr>
            </w:pPr>
            <w:r w:rsidRPr="0030137D">
              <w:rPr>
                <w:lang w:val="en-GB"/>
              </w:rPr>
              <w:t>$ per m</w:t>
            </w:r>
            <w:r w:rsidRPr="001640D9">
              <w:rPr>
                <w:vertAlign w:val="superscript"/>
                <w:lang w:val="en-GB"/>
              </w:rPr>
              <w:t>2</w:t>
            </w:r>
          </w:p>
        </w:tc>
        <w:tc>
          <w:tcPr>
            <w:tcW w:w="1219" w:type="dxa"/>
            <w:tcBorders>
              <w:bottom w:val="single" w:sz="8" w:space="0" w:color="FFFFFF" w:themeColor="background1"/>
            </w:tcBorders>
            <w:shd w:val="clear" w:color="auto" w:fill="auto"/>
            <w:tcMar>
              <w:left w:w="57" w:type="dxa"/>
              <w:right w:w="57" w:type="dxa"/>
            </w:tcMar>
          </w:tcPr>
          <w:p w:rsidR="00B23227" w:rsidRPr="0030137D" w:rsidRDefault="00B23227" w:rsidP="00E52B0E">
            <w:pPr>
              <w:pStyle w:val="TableUnit"/>
              <w:rPr>
                <w:lang w:val="en-GB"/>
              </w:rPr>
            </w:pPr>
            <w:r w:rsidRPr="0030137D">
              <w:rPr>
                <w:lang w:val="en-GB"/>
              </w:rPr>
              <w:t>$ per m</w:t>
            </w:r>
            <w:r w:rsidRPr="001640D9">
              <w:rPr>
                <w:vertAlign w:val="superscript"/>
                <w:lang w:val="en-GB"/>
              </w:rPr>
              <w:t>2</w:t>
            </w:r>
          </w:p>
        </w:tc>
        <w:tc>
          <w:tcPr>
            <w:tcW w:w="1219" w:type="dxa"/>
            <w:tcBorders>
              <w:bottom w:val="single" w:sz="8" w:space="0" w:color="FFFFFF" w:themeColor="background1"/>
            </w:tcBorders>
            <w:shd w:val="clear" w:color="auto" w:fill="auto"/>
            <w:tcMar>
              <w:left w:w="57" w:type="dxa"/>
              <w:right w:w="57" w:type="dxa"/>
            </w:tcMar>
          </w:tcPr>
          <w:p w:rsidR="00B23227" w:rsidRPr="0030137D" w:rsidRDefault="00B23227" w:rsidP="00E52B0E">
            <w:pPr>
              <w:pStyle w:val="TableUnit"/>
              <w:rPr>
                <w:lang w:val="en-GB"/>
              </w:rPr>
            </w:pPr>
            <w:r w:rsidRPr="0030137D">
              <w:rPr>
                <w:lang w:val="en-GB"/>
              </w:rPr>
              <w:t>$ per m</w:t>
            </w:r>
            <w:r w:rsidRPr="001640D9">
              <w:rPr>
                <w:vertAlign w:val="superscript"/>
                <w:lang w:val="en-GB"/>
              </w:rPr>
              <w:t>2</w:t>
            </w:r>
          </w:p>
        </w:tc>
        <w:tc>
          <w:tcPr>
            <w:tcW w:w="1220" w:type="dxa"/>
            <w:tcBorders>
              <w:bottom w:val="single" w:sz="8" w:space="0" w:color="FFFFFF" w:themeColor="background1"/>
            </w:tcBorders>
            <w:shd w:val="clear" w:color="auto" w:fill="auto"/>
            <w:tcMar>
              <w:left w:w="57" w:type="dxa"/>
              <w:right w:w="57" w:type="dxa"/>
            </w:tcMar>
          </w:tcPr>
          <w:p w:rsidR="00B23227" w:rsidRPr="0030137D" w:rsidRDefault="00B23227" w:rsidP="00E52B0E">
            <w:pPr>
              <w:pStyle w:val="TableUnit"/>
              <w:rPr>
                <w:lang w:val="en-GB"/>
              </w:rPr>
            </w:pPr>
            <w:r w:rsidRPr="0030137D">
              <w:rPr>
                <w:lang w:val="en-GB"/>
              </w:rPr>
              <w:t>$ per m</w:t>
            </w:r>
            <w:r w:rsidRPr="001640D9">
              <w:rPr>
                <w:vertAlign w:val="superscript"/>
                <w:lang w:val="en-GB"/>
              </w:rPr>
              <w:t>2</w:t>
            </w:r>
          </w:p>
        </w:tc>
      </w:tr>
      <w:tr w:rsidR="00B23227" w:rsidRPr="0030137D" w:rsidTr="00E52B0E">
        <w:trPr>
          <w:trHeight w:val="230"/>
        </w:trPr>
        <w:tc>
          <w:tcPr>
            <w:tcW w:w="184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B23227" w:rsidRPr="0030137D" w:rsidRDefault="00B23227" w:rsidP="00E52B0E">
            <w:pPr>
              <w:pStyle w:val="TableHeading1"/>
              <w:rPr>
                <w:lang w:val="en-GB"/>
              </w:rPr>
            </w:pPr>
            <w:r w:rsidRPr="0030137D">
              <w:rPr>
                <w:lang w:val="en-GB"/>
              </w:rPr>
              <w:t>Services</w:t>
            </w:r>
          </w:p>
        </w:tc>
        <w:tc>
          <w:tcPr>
            <w:tcW w:w="121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B23227" w:rsidRPr="0030137D" w:rsidRDefault="00B23227" w:rsidP="00E52B0E">
            <w:pPr>
              <w:pStyle w:val="TableHeading1"/>
              <w:rPr>
                <w:lang w:val="en-GB"/>
              </w:rPr>
            </w:pPr>
          </w:p>
        </w:tc>
        <w:tc>
          <w:tcPr>
            <w:tcW w:w="121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B23227" w:rsidRPr="0030137D" w:rsidRDefault="00B23227" w:rsidP="00E52B0E">
            <w:pPr>
              <w:pStyle w:val="TableHeading1"/>
              <w:rPr>
                <w:lang w:val="en-GB"/>
              </w:rPr>
            </w:pPr>
          </w:p>
        </w:tc>
        <w:tc>
          <w:tcPr>
            <w:tcW w:w="121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B23227" w:rsidRPr="0030137D" w:rsidRDefault="00B23227" w:rsidP="00E52B0E">
            <w:pPr>
              <w:pStyle w:val="TableHeading1"/>
              <w:rPr>
                <w:lang w:val="en-GB"/>
              </w:rPr>
            </w:pPr>
          </w:p>
        </w:tc>
        <w:tc>
          <w:tcPr>
            <w:tcW w:w="121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B23227" w:rsidRPr="0030137D" w:rsidRDefault="00B23227" w:rsidP="00E52B0E">
            <w:pPr>
              <w:pStyle w:val="TableHeading1"/>
              <w:rPr>
                <w:lang w:val="en-GB"/>
              </w:rPr>
            </w:pPr>
          </w:p>
        </w:tc>
        <w:tc>
          <w:tcPr>
            <w:tcW w:w="1220"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B23227" w:rsidRPr="0030137D" w:rsidRDefault="00B23227" w:rsidP="00E52B0E">
            <w:pPr>
              <w:pStyle w:val="TableHeading1"/>
              <w:rPr>
                <w:lang w:val="en-GB"/>
              </w:rPr>
            </w:pPr>
          </w:p>
        </w:tc>
      </w:tr>
      <w:tr w:rsidR="00F977CD" w:rsidRPr="0030137D" w:rsidTr="00E52B0E">
        <w:trPr>
          <w:trHeight w:val="230"/>
        </w:trPr>
        <w:tc>
          <w:tcPr>
            <w:tcW w:w="184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F977CD" w:rsidRPr="0030137D" w:rsidRDefault="00F977CD" w:rsidP="00F977CD">
            <w:pPr>
              <w:pStyle w:val="TableDataEntries"/>
              <w:jc w:val="left"/>
              <w:rPr>
                <w:lang w:val="en-GB"/>
              </w:rPr>
            </w:pPr>
            <w:r w:rsidRPr="0030137D">
              <w:rPr>
                <w:lang w:val="en-GB"/>
              </w:rPr>
              <w:t>Benefits</w:t>
            </w:r>
          </w:p>
        </w:tc>
        <w:tc>
          <w:tcPr>
            <w:tcW w:w="12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977CD" w:rsidRPr="00F977CD" w:rsidRDefault="00F977CD" w:rsidP="00F977CD">
            <w:pPr>
              <w:pStyle w:val="TableDataEntries"/>
            </w:pPr>
            <w:r w:rsidRPr="00F977CD">
              <w:t xml:space="preserve"> 31.66</w:t>
            </w:r>
          </w:p>
        </w:tc>
        <w:tc>
          <w:tcPr>
            <w:tcW w:w="12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977CD" w:rsidRPr="00F977CD" w:rsidRDefault="00F977CD" w:rsidP="00F977CD">
            <w:pPr>
              <w:pStyle w:val="TableDataEntries"/>
            </w:pPr>
            <w:r w:rsidRPr="00F977CD">
              <w:t xml:space="preserve"> 31.08</w:t>
            </w:r>
          </w:p>
        </w:tc>
        <w:tc>
          <w:tcPr>
            <w:tcW w:w="12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977CD" w:rsidRPr="00F977CD" w:rsidRDefault="00F977CD" w:rsidP="00F977CD">
            <w:pPr>
              <w:pStyle w:val="TableDataEntries"/>
            </w:pPr>
            <w:r w:rsidRPr="00F977CD">
              <w:t xml:space="preserve"> 40.76</w:t>
            </w:r>
          </w:p>
        </w:tc>
        <w:tc>
          <w:tcPr>
            <w:tcW w:w="12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977CD" w:rsidRPr="00F977CD" w:rsidRDefault="00F977CD" w:rsidP="00F977CD">
            <w:pPr>
              <w:pStyle w:val="TableDataEntries"/>
            </w:pPr>
            <w:r w:rsidRPr="00F977CD">
              <w:t xml:space="preserve"> 28.63</w:t>
            </w:r>
          </w:p>
        </w:tc>
        <w:tc>
          <w:tcPr>
            <w:tcW w:w="122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977CD" w:rsidRPr="00F977CD" w:rsidRDefault="00F977CD" w:rsidP="00F977CD">
            <w:pPr>
              <w:pStyle w:val="TableDataEntries"/>
            </w:pPr>
            <w:r w:rsidRPr="00F977CD">
              <w:t xml:space="preserve"> 29.49</w:t>
            </w:r>
          </w:p>
        </w:tc>
      </w:tr>
      <w:tr w:rsidR="00F977CD" w:rsidRPr="0030137D" w:rsidTr="00E52B0E">
        <w:trPr>
          <w:trHeight w:val="230"/>
        </w:trPr>
        <w:tc>
          <w:tcPr>
            <w:tcW w:w="184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F977CD" w:rsidRPr="0030137D" w:rsidRDefault="00F977CD" w:rsidP="00F977CD">
            <w:pPr>
              <w:pStyle w:val="TableDataEntries"/>
              <w:jc w:val="left"/>
              <w:rPr>
                <w:lang w:val="en-GB"/>
              </w:rPr>
            </w:pPr>
            <w:r w:rsidRPr="0030137D">
              <w:rPr>
                <w:lang w:val="en-GB"/>
              </w:rPr>
              <w:t>Costs</w:t>
            </w:r>
          </w:p>
        </w:tc>
        <w:tc>
          <w:tcPr>
            <w:tcW w:w="12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977CD" w:rsidRPr="00F977CD" w:rsidRDefault="00F977CD" w:rsidP="00F977CD">
            <w:pPr>
              <w:pStyle w:val="TableDataEntries"/>
            </w:pPr>
            <w:r w:rsidRPr="00F977CD">
              <w:t>- 10.99</w:t>
            </w:r>
          </w:p>
        </w:tc>
        <w:tc>
          <w:tcPr>
            <w:tcW w:w="12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977CD" w:rsidRPr="00F977CD" w:rsidRDefault="00F977CD" w:rsidP="00F977CD">
            <w:pPr>
              <w:pStyle w:val="TableDataEntries"/>
            </w:pPr>
            <w:r w:rsidRPr="00F977CD">
              <w:t>- 20.38</w:t>
            </w:r>
          </w:p>
        </w:tc>
        <w:tc>
          <w:tcPr>
            <w:tcW w:w="12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977CD" w:rsidRPr="00F977CD" w:rsidRDefault="00F977CD" w:rsidP="00F977CD">
            <w:pPr>
              <w:pStyle w:val="TableDataEntries"/>
            </w:pPr>
            <w:r w:rsidRPr="00F977CD">
              <w:t>- 10.10</w:t>
            </w:r>
          </w:p>
        </w:tc>
        <w:tc>
          <w:tcPr>
            <w:tcW w:w="12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977CD" w:rsidRPr="00F977CD" w:rsidRDefault="00F977CD" w:rsidP="00F977CD">
            <w:pPr>
              <w:pStyle w:val="TableDataEntries"/>
            </w:pPr>
            <w:r w:rsidRPr="00F977CD">
              <w:t>- 10.99</w:t>
            </w:r>
          </w:p>
        </w:tc>
        <w:tc>
          <w:tcPr>
            <w:tcW w:w="122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977CD" w:rsidRPr="00F977CD" w:rsidRDefault="00F977CD" w:rsidP="00F977CD">
            <w:pPr>
              <w:pStyle w:val="TableDataEntries"/>
            </w:pPr>
            <w:r w:rsidRPr="00F977CD">
              <w:t>- 10.99</w:t>
            </w:r>
          </w:p>
        </w:tc>
      </w:tr>
      <w:tr w:rsidR="00F977CD" w:rsidRPr="0030137D" w:rsidTr="00E52B0E">
        <w:trPr>
          <w:trHeight w:val="230"/>
        </w:trPr>
        <w:tc>
          <w:tcPr>
            <w:tcW w:w="184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F977CD" w:rsidRPr="0030137D" w:rsidRDefault="00F977CD" w:rsidP="00F977CD">
            <w:pPr>
              <w:pStyle w:val="TableDataEntries"/>
              <w:jc w:val="left"/>
              <w:rPr>
                <w:lang w:val="en-GB"/>
              </w:rPr>
            </w:pPr>
            <w:r w:rsidRPr="0030137D">
              <w:rPr>
                <w:lang w:val="en-GB"/>
              </w:rPr>
              <w:t>Net benefits/costs</w:t>
            </w:r>
          </w:p>
        </w:tc>
        <w:tc>
          <w:tcPr>
            <w:tcW w:w="1219"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F977CD" w:rsidRPr="00F977CD" w:rsidRDefault="00F977CD" w:rsidP="00F977CD">
            <w:pPr>
              <w:pStyle w:val="TableDataEntries"/>
            </w:pPr>
            <w:r w:rsidRPr="00F977CD">
              <w:t xml:space="preserve"> 20.67</w:t>
            </w:r>
          </w:p>
        </w:tc>
        <w:tc>
          <w:tcPr>
            <w:tcW w:w="1219"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F977CD" w:rsidRPr="00F977CD" w:rsidRDefault="00F977CD" w:rsidP="00F977CD">
            <w:pPr>
              <w:pStyle w:val="TableDataEntries"/>
            </w:pPr>
            <w:r w:rsidRPr="00F977CD">
              <w:t xml:space="preserve"> 10.70</w:t>
            </w:r>
          </w:p>
        </w:tc>
        <w:tc>
          <w:tcPr>
            <w:tcW w:w="1219"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F977CD" w:rsidRPr="00F977CD" w:rsidRDefault="00F977CD" w:rsidP="00F977CD">
            <w:pPr>
              <w:pStyle w:val="TableDataEntries"/>
            </w:pPr>
            <w:r w:rsidRPr="00F977CD">
              <w:t xml:space="preserve"> 30.66</w:t>
            </w:r>
          </w:p>
        </w:tc>
        <w:tc>
          <w:tcPr>
            <w:tcW w:w="1219"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F977CD" w:rsidRPr="00F977CD" w:rsidRDefault="00F977CD" w:rsidP="00F977CD">
            <w:pPr>
              <w:pStyle w:val="TableDataEntries"/>
            </w:pPr>
            <w:r w:rsidRPr="00F977CD">
              <w:t xml:space="preserve"> 17.64</w:t>
            </w:r>
          </w:p>
        </w:tc>
        <w:tc>
          <w:tcPr>
            <w:tcW w:w="1220"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F977CD" w:rsidRPr="00F977CD" w:rsidRDefault="00F977CD" w:rsidP="00F977CD">
            <w:pPr>
              <w:pStyle w:val="TableDataEntries"/>
            </w:pPr>
            <w:r w:rsidRPr="00F977CD">
              <w:t xml:space="preserve"> 18.50</w:t>
            </w:r>
          </w:p>
        </w:tc>
      </w:tr>
      <w:tr w:rsidR="00F977CD" w:rsidRPr="0030137D" w:rsidTr="00E52B0E">
        <w:trPr>
          <w:trHeight w:val="230"/>
        </w:trPr>
        <w:tc>
          <w:tcPr>
            <w:tcW w:w="184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F977CD" w:rsidRPr="0030137D" w:rsidRDefault="00F977CD" w:rsidP="00F977CD">
            <w:pPr>
              <w:pStyle w:val="TableHeading1"/>
              <w:rPr>
                <w:lang w:val="en-GB"/>
              </w:rPr>
            </w:pPr>
            <w:r w:rsidRPr="0030137D">
              <w:rPr>
                <w:lang w:val="en-GB"/>
              </w:rPr>
              <w:t>Façade</w:t>
            </w:r>
          </w:p>
        </w:tc>
        <w:tc>
          <w:tcPr>
            <w:tcW w:w="121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F977CD" w:rsidRPr="00F977CD" w:rsidRDefault="00F977CD" w:rsidP="00F977CD">
            <w:pPr>
              <w:pStyle w:val="TableDataEntries"/>
            </w:pPr>
          </w:p>
        </w:tc>
        <w:tc>
          <w:tcPr>
            <w:tcW w:w="121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F977CD" w:rsidRPr="00F977CD" w:rsidRDefault="00F977CD" w:rsidP="00F977CD">
            <w:pPr>
              <w:pStyle w:val="TableDataEntries"/>
            </w:pPr>
          </w:p>
        </w:tc>
        <w:tc>
          <w:tcPr>
            <w:tcW w:w="121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F977CD" w:rsidRPr="00F977CD" w:rsidRDefault="00F977CD" w:rsidP="00F977CD">
            <w:pPr>
              <w:pStyle w:val="TableDataEntries"/>
            </w:pPr>
          </w:p>
        </w:tc>
        <w:tc>
          <w:tcPr>
            <w:tcW w:w="121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F977CD" w:rsidRPr="00F977CD" w:rsidRDefault="00F977CD" w:rsidP="00F977CD">
            <w:pPr>
              <w:pStyle w:val="TableDataEntries"/>
            </w:pPr>
          </w:p>
        </w:tc>
        <w:tc>
          <w:tcPr>
            <w:tcW w:w="1220"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F977CD" w:rsidRPr="00F977CD" w:rsidRDefault="00F977CD" w:rsidP="00F977CD">
            <w:pPr>
              <w:pStyle w:val="TableDataEntries"/>
            </w:pPr>
          </w:p>
        </w:tc>
      </w:tr>
      <w:tr w:rsidR="00F977CD" w:rsidRPr="0030137D" w:rsidTr="00E52B0E">
        <w:trPr>
          <w:trHeight w:val="230"/>
        </w:trPr>
        <w:tc>
          <w:tcPr>
            <w:tcW w:w="184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F977CD" w:rsidRPr="0030137D" w:rsidRDefault="00F977CD" w:rsidP="00F977CD">
            <w:pPr>
              <w:pStyle w:val="TableDataEntries"/>
              <w:jc w:val="left"/>
              <w:rPr>
                <w:lang w:val="en-GB"/>
              </w:rPr>
            </w:pPr>
            <w:r w:rsidRPr="0030137D">
              <w:rPr>
                <w:lang w:val="en-GB"/>
              </w:rPr>
              <w:t>Benefits</w:t>
            </w:r>
          </w:p>
        </w:tc>
        <w:tc>
          <w:tcPr>
            <w:tcW w:w="12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977CD" w:rsidRPr="00F977CD" w:rsidRDefault="00F977CD" w:rsidP="00F977CD">
            <w:pPr>
              <w:pStyle w:val="TableDataEntries"/>
            </w:pPr>
            <w:r w:rsidRPr="00F977CD">
              <w:t xml:space="preserve"> 0.56</w:t>
            </w:r>
          </w:p>
        </w:tc>
        <w:tc>
          <w:tcPr>
            <w:tcW w:w="12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977CD" w:rsidRPr="00F977CD" w:rsidRDefault="00F977CD" w:rsidP="00F977CD">
            <w:pPr>
              <w:pStyle w:val="TableDataEntries"/>
            </w:pPr>
            <w:r w:rsidRPr="00F977CD">
              <w:t>- 21.22</w:t>
            </w:r>
          </w:p>
        </w:tc>
        <w:tc>
          <w:tcPr>
            <w:tcW w:w="12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977CD" w:rsidRPr="00F977CD" w:rsidRDefault="00F977CD" w:rsidP="00F977CD">
            <w:pPr>
              <w:pStyle w:val="TableDataEntries"/>
            </w:pPr>
            <w:r w:rsidRPr="00F977CD">
              <w:t xml:space="preserve"> 4.16</w:t>
            </w:r>
          </w:p>
        </w:tc>
        <w:tc>
          <w:tcPr>
            <w:tcW w:w="12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977CD" w:rsidRPr="00F977CD" w:rsidRDefault="00F977CD" w:rsidP="00F977CD">
            <w:pPr>
              <w:pStyle w:val="TableDataEntries"/>
            </w:pPr>
            <w:r w:rsidRPr="00F977CD">
              <w:t xml:space="preserve"> 0.95</w:t>
            </w:r>
          </w:p>
        </w:tc>
        <w:tc>
          <w:tcPr>
            <w:tcW w:w="122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977CD" w:rsidRPr="00F977CD" w:rsidRDefault="00F977CD" w:rsidP="00F977CD">
            <w:pPr>
              <w:pStyle w:val="TableDataEntries"/>
            </w:pPr>
            <w:r w:rsidRPr="00F977CD">
              <w:t xml:space="preserve"> 1.35</w:t>
            </w:r>
          </w:p>
        </w:tc>
      </w:tr>
      <w:tr w:rsidR="00F977CD" w:rsidRPr="0030137D" w:rsidTr="00E52B0E">
        <w:trPr>
          <w:trHeight w:val="230"/>
        </w:trPr>
        <w:tc>
          <w:tcPr>
            <w:tcW w:w="184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F977CD" w:rsidRPr="0030137D" w:rsidRDefault="00F977CD" w:rsidP="00F977CD">
            <w:pPr>
              <w:pStyle w:val="TableDataEntries"/>
              <w:jc w:val="left"/>
              <w:rPr>
                <w:lang w:val="en-GB"/>
              </w:rPr>
            </w:pPr>
            <w:r w:rsidRPr="0030137D">
              <w:rPr>
                <w:lang w:val="en-GB"/>
              </w:rPr>
              <w:t>Costs</w:t>
            </w:r>
          </w:p>
        </w:tc>
        <w:tc>
          <w:tcPr>
            <w:tcW w:w="12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977CD" w:rsidRPr="00F977CD" w:rsidRDefault="00F977CD" w:rsidP="00F977CD">
            <w:pPr>
              <w:pStyle w:val="TableDataEntries"/>
            </w:pPr>
            <w:r w:rsidRPr="00F977CD">
              <w:t>- 5.35</w:t>
            </w:r>
          </w:p>
        </w:tc>
        <w:tc>
          <w:tcPr>
            <w:tcW w:w="12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977CD" w:rsidRPr="00F977CD" w:rsidRDefault="00F977CD" w:rsidP="00F977CD">
            <w:pPr>
              <w:pStyle w:val="TableDataEntries"/>
            </w:pPr>
            <w:r w:rsidRPr="00F977CD">
              <w:t>- 6.23</w:t>
            </w:r>
          </w:p>
        </w:tc>
        <w:tc>
          <w:tcPr>
            <w:tcW w:w="12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977CD" w:rsidRPr="00F977CD" w:rsidRDefault="00F977CD" w:rsidP="00F977CD">
            <w:pPr>
              <w:pStyle w:val="TableDataEntries"/>
            </w:pPr>
            <w:r w:rsidRPr="00F977CD">
              <w:t>- 1.15</w:t>
            </w:r>
          </w:p>
        </w:tc>
        <w:tc>
          <w:tcPr>
            <w:tcW w:w="12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977CD" w:rsidRPr="00F977CD" w:rsidRDefault="00F977CD" w:rsidP="00F977CD">
            <w:pPr>
              <w:pStyle w:val="TableDataEntries"/>
            </w:pPr>
            <w:r w:rsidRPr="00F977CD">
              <w:t>- 5.35</w:t>
            </w:r>
          </w:p>
        </w:tc>
        <w:tc>
          <w:tcPr>
            <w:tcW w:w="122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977CD" w:rsidRPr="00F977CD" w:rsidRDefault="00F977CD" w:rsidP="00F977CD">
            <w:pPr>
              <w:pStyle w:val="TableDataEntries"/>
            </w:pPr>
            <w:r w:rsidRPr="00F977CD">
              <w:t>- 5.35</w:t>
            </w:r>
          </w:p>
        </w:tc>
      </w:tr>
      <w:tr w:rsidR="00F977CD" w:rsidRPr="0030137D" w:rsidTr="00E52B0E">
        <w:trPr>
          <w:trHeight w:val="230"/>
        </w:trPr>
        <w:tc>
          <w:tcPr>
            <w:tcW w:w="184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F977CD" w:rsidRPr="0030137D" w:rsidRDefault="00F977CD" w:rsidP="00F977CD">
            <w:pPr>
              <w:pStyle w:val="TableDataEntries"/>
              <w:jc w:val="left"/>
              <w:rPr>
                <w:lang w:val="en-GB"/>
              </w:rPr>
            </w:pPr>
            <w:r w:rsidRPr="0030137D">
              <w:rPr>
                <w:lang w:val="en-GB"/>
              </w:rPr>
              <w:t>Net benefits/costs</w:t>
            </w:r>
          </w:p>
        </w:tc>
        <w:tc>
          <w:tcPr>
            <w:tcW w:w="1219"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F977CD" w:rsidRPr="00F977CD" w:rsidRDefault="00F977CD" w:rsidP="00F977CD">
            <w:pPr>
              <w:pStyle w:val="TableDataEntries"/>
            </w:pPr>
            <w:r w:rsidRPr="00F977CD">
              <w:t>- 4.79</w:t>
            </w:r>
          </w:p>
        </w:tc>
        <w:tc>
          <w:tcPr>
            <w:tcW w:w="1219"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F977CD" w:rsidRPr="00F977CD" w:rsidRDefault="00F977CD" w:rsidP="00F977CD">
            <w:pPr>
              <w:pStyle w:val="TableDataEntries"/>
            </w:pPr>
            <w:r w:rsidRPr="00F977CD">
              <w:t>- 27.45</w:t>
            </w:r>
          </w:p>
        </w:tc>
        <w:tc>
          <w:tcPr>
            <w:tcW w:w="1219"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F977CD" w:rsidRPr="00F977CD" w:rsidRDefault="00F977CD" w:rsidP="00F977CD">
            <w:pPr>
              <w:pStyle w:val="TableDataEntries"/>
            </w:pPr>
            <w:r w:rsidRPr="00F977CD">
              <w:t xml:space="preserve"> 3.01</w:t>
            </w:r>
          </w:p>
        </w:tc>
        <w:tc>
          <w:tcPr>
            <w:tcW w:w="1219"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F977CD" w:rsidRPr="00F977CD" w:rsidRDefault="00F977CD" w:rsidP="00F977CD">
            <w:pPr>
              <w:pStyle w:val="TableDataEntries"/>
            </w:pPr>
            <w:r w:rsidRPr="00F977CD">
              <w:t>- 4.40</w:t>
            </w:r>
          </w:p>
        </w:tc>
        <w:tc>
          <w:tcPr>
            <w:tcW w:w="1220"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F977CD" w:rsidRPr="00F977CD" w:rsidRDefault="00F977CD" w:rsidP="00F977CD">
            <w:pPr>
              <w:pStyle w:val="TableDataEntries"/>
            </w:pPr>
            <w:r w:rsidRPr="00F977CD">
              <w:t>- 4.00</w:t>
            </w:r>
          </w:p>
        </w:tc>
      </w:tr>
      <w:tr w:rsidR="00F977CD" w:rsidRPr="00143A66" w:rsidTr="00E52B0E">
        <w:trPr>
          <w:trHeight w:val="230"/>
        </w:trPr>
        <w:tc>
          <w:tcPr>
            <w:tcW w:w="1843"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rsidR="00F977CD" w:rsidRPr="00143A66" w:rsidRDefault="00F977CD" w:rsidP="00F977CD">
            <w:pPr>
              <w:pStyle w:val="TableDataEntries"/>
              <w:jc w:val="left"/>
              <w:rPr>
                <w:rFonts w:ascii="Franklin Gothic Demi" w:hAnsi="Franklin Gothic Demi"/>
                <w:lang w:val="en-GB"/>
              </w:rPr>
            </w:pPr>
            <w:r w:rsidRPr="00143A66">
              <w:rPr>
                <w:rFonts w:ascii="Franklin Gothic Demi" w:hAnsi="Franklin Gothic Demi"/>
                <w:lang w:val="en-GB"/>
              </w:rPr>
              <w:t>Total net benefits/costs</w:t>
            </w:r>
          </w:p>
        </w:tc>
        <w:tc>
          <w:tcPr>
            <w:tcW w:w="1219"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F977CD" w:rsidRPr="00143A66" w:rsidRDefault="00F977CD" w:rsidP="00F977CD">
            <w:pPr>
              <w:pStyle w:val="TableDataEntries"/>
              <w:rPr>
                <w:rFonts w:ascii="Franklin Gothic Demi" w:hAnsi="Franklin Gothic Demi"/>
              </w:rPr>
            </w:pPr>
            <w:r w:rsidRPr="00143A66">
              <w:rPr>
                <w:rFonts w:ascii="Franklin Gothic Demi" w:hAnsi="Franklin Gothic Demi"/>
              </w:rPr>
              <w:t xml:space="preserve"> 15.88</w:t>
            </w:r>
          </w:p>
        </w:tc>
        <w:tc>
          <w:tcPr>
            <w:tcW w:w="1219"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F977CD" w:rsidRPr="00143A66" w:rsidRDefault="00F977CD" w:rsidP="00F977CD">
            <w:pPr>
              <w:pStyle w:val="TableDataEntries"/>
              <w:rPr>
                <w:rFonts w:ascii="Franklin Gothic Demi" w:hAnsi="Franklin Gothic Demi"/>
              </w:rPr>
            </w:pPr>
            <w:r w:rsidRPr="00143A66">
              <w:rPr>
                <w:rFonts w:ascii="Franklin Gothic Demi" w:hAnsi="Franklin Gothic Demi"/>
              </w:rPr>
              <w:t>- 16.74</w:t>
            </w:r>
          </w:p>
        </w:tc>
        <w:tc>
          <w:tcPr>
            <w:tcW w:w="1219"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F977CD" w:rsidRPr="00143A66" w:rsidRDefault="00F977CD" w:rsidP="00F977CD">
            <w:pPr>
              <w:pStyle w:val="TableDataEntries"/>
              <w:rPr>
                <w:rFonts w:ascii="Franklin Gothic Demi" w:hAnsi="Franklin Gothic Demi"/>
              </w:rPr>
            </w:pPr>
            <w:r w:rsidRPr="00143A66">
              <w:rPr>
                <w:rFonts w:ascii="Franklin Gothic Demi" w:hAnsi="Franklin Gothic Demi"/>
              </w:rPr>
              <w:t xml:space="preserve"> 33.67</w:t>
            </w:r>
          </w:p>
        </w:tc>
        <w:tc>
          <w:tcPr>
            <w:tcW w:w="1219"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F977CD" w:rsidRPr="00143A66" w:rsidRDefault="00F977CD" w:rsidP="00F977CD">
            <w:pPr>
              <w:pStyle w:val="TableDataEntries"/>
              <w:rPr>
                <w:rFonts w:ascii="Franklin Gothic Demi" w:hAnsi="Franklin Gothic Demi"/>
              </w:rPr>
            </w:pPr>
            <w:r w:rsidRPr="00143A66">
              <w:rPr>
                <w:rFonts w:ascii="Franklin Gothic Demi" w:hAnsi="Franklin Gothic Demi"/>
              </w:rPr>
              <w:t xml:space="preserve"> 13.24</w:t>
            </w:r>
          </w:p>
        </w:tc>
        <w:tc>
          <w:tcPr>
            <w:tcW w:w="1220"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F977CD" w:rsidRPr="00143A66" w:rsidRDefault="00F977CD" w:rsidP="00F977CD">
            <w:pPr>
              <w:pStyle w:val="TableDataEntries"/>
              <w:rPr>
                <w:rFonts w:ascii="Franklin Gothic Demi" w:hAnsi="Franklin Gothic Demi"/>
              </w:rPr>
            </w:pPr>
            <w:r w:rsidRPr="00143A66">
              <w:rPr>
                <w:rFonts w:ascii="Franklin Gothic Demi" w:hAnsi="Franklin Gothic Demi"/>
              </w:rPr>
              <w:t xml:space="preserve"> 14.50</w:t>
            </w:r>
          </w:p>
        </w:tc>
      </w:tr>
    </w:tbl>
    <w:p w:rsidR="00B23227" w:rsidRDefault="00B23227" w:rsidP="00B23227">
      <w:pPr>
        <w:pStyle w:val="Note"/>
        <w:rPr>
          <w:lang w:bidi="fa-IR"/>
        </w:rPr>
      </w:pPr>
      <w:r w:rsidRPr="007D1B4F">
        <w:rPr>
          <w:i/>
        </w:rPr>
        <w:t>Note:</w:t>
      </w:r>
      <w:r w:rsidRPr="00E879B8">
        <w:t xml:space="preserve"> </w:t>
      </w:r>
      <w:r w:rsidR="00CA6CF4">
        <w:rPr>
          <w:lang w:bidi="fa-IR"/>
        </w:rPr>
        <w:t xml:space="preserve">Net impacts include the private benefits and costs to building owners/tenants and the global benefits from reduced GHG emissions. </w:t>
      </w:r>
      <w:r>
        <w:t>Costs and benefits expressed in net present value terms over the assumed 40 year life of the building, using a discount rate of 7 per cent. Benefit estimates are based on future energy price (and GHG emission) profiles from 2019.</w:t>
      </w:r>
    </w:p>
    <w:p w:rsidR="00B23227" w:rsidRDefault="00B23227" w:rsidP="00B23227">
      <w:pPr>
        <w:pStyle w:val="Source"/>
        <w:rPr>
          <w:lang w:bidi="fa-IR"/>
        </w:rPr>
      </w:pPr>
      <w:r w:rsidRPr="0030137D">
        <w:rPr>
          <w:i/>
          <w:lang w:bidi="fa-IR"/>
        </w:rPr>
        <w:t>Source:</w:t>
      </w:r>
      <w:r>
        <w:rPr>
          <w:lang w:bidi="fa-IR"/>
        </w:rPr>
        <w:t xml:space="preserve"> CIE based on </w:t>
      </w:r>
      <w:r w:rsidR="003F28DD">
        <w:rPr>
          <w:lang w:bidi="fa-IR"/>
        </w:rPr>
        <w:t>EA</w:t>
      </w:r>
      <w:r>
        <w:rPr>
          <w:lang w:bidi="fa-IR"/>
        </w:rPr>
        <w:t xml:space="preserve"> modelling.</w:t>
      </w:r>
    </w:p>
    <w:p w:rsidR="006F3243" w:rsidRDefault="006F3243" w:rsidP="006F3243">
      <w:pPr>
        <w:pStyle w:val="Heading4"/>
        <w:rPr>
          <w:lang w:eastAsia="en-US" w:bidi="fa-IR"/>
        </w:rPr>
      </w:pPr>
      <w:r>
        <w:rPr>
          <w:lang w:eastAsia="en-US" w:bidi="fa-IR"/>
        </w:rPr>
        <w:t>School</w:t>
      </w:r>
    </w:p>
    <w:p w:rsidR="0030137D" w:rsidRDefault="00DD1A97" w:rsidP="0030137D">
      <w:pPr>
        <w:pStyle w:val="BodyText"/>
        <w:rPr>
          <w:lang w:eastAsia="en-US" w:bidi="fa-IR"/>
        </w:rPr>
      </w:pPr>
      <w:r>
        <w:rPr>
          <w:lang w:eastAsia="en-US" w:bidi="fa-IR"/>
        </w:rPr>
        <w:t>For the school building archetype, the proposed services requirements are estimated to deliver large benefits associated with energy savings</w:t>
      </w:r>
      <w:r w:rsidR="005376E5">
        <w:rPr>
          <w:lang w:eastAsia="en-US" w:bidi="fa-IR"/>
        </w:rPr>
        <w:t>, with only a small increase in costs (table </w:t>
      </w:r>
      <w:r w:rsidR="005376E5">
        <w:rPr>
          <w:lang w:eastAsia="en-US" w:bidi="fa-IR"/>
        </w:rPr>
        <w:fldChar w:fldCharType="begin"/>
      </w:r>
      <w:r w:rsidR="005376E5">
        <w:rPr>
          <w:lang w:eastAsia="en-US" w:bidi="fa-IR"/>
        </w:rPr>
        <w:instrText xml:space="preserve"> REF _Caption8379 </w:instrText>
      </w:r>
      <w:r w:rsidR="005376E5">
        <w:rPr>
          <w:lang w:eastAsia="en-US" w:bidi="fa-IR"/>
        </w:rPr>
        <w:fldChar w:fldCharType="separate"/>
      </w:r>
      <w:r w:rsidR="006B79B8">
        <w:rPr>
          <w:noProof/>
        </w:rPr>
        <w:t>8</w:t>
      </w:r>
      <w:r w:rsidR="006B79B8" w:rsidRPr="004E29E3">
        <w:rPr>
          <w:noProof/>
        </w:rPr>
        <w:t>.</w:t>
      </w:r>
      <w:r w:rsidR="006B79B8">
        <w:rPr>
          <w:noProof/>
        </w:rPr>
        <w:t>13</w:t>
      </w:r>
      <w:r w:rsidR="005376E5">
        <w:rPr>
          <w:lang w:eastAsia="en-US" w:bidi="fa-IR"/>
        </w:rPr>
        <w:fldChar w:fldCharType="end"/>
      </w:r>
      <w:r w:rsidR="005376E5">
        <w:rPr>
          <w:lang w:eastAsia="en-US" w:bidi="fa-IR"/>
        </w:rPr>
        <w:t>).</w:t>
      </w:r>
    </w:p>
    <w:p w:rsidR="003D72D9" w:rsidRDefault="003D72D9" w:rsidP="0030137D">
      <w:pPr>
        <w:pStyle w:val="BodyText"/>
        <w:rPr>
          <w:lang w:eastAsia="en-US" w:bidi="fa-IR"/>
        </w:rPr>
      </w:pPr>
      <w:r>
        <w:rPr>
          <w:lang w:eastAsia="en-US" w:bidi="fa-IR"/>
        </w:rPr>
        <w:t xml:space="preserve">The impact of the change to the façade requirements vary across </w:t>
      </w:r>
      <w:r w:rsidR="00E31EE8">
        <w:rPr>
          <w:lang w:eastAsia="en-US" w:bidi="fa-IR"/>
        </w:rPr>
        <w:t>Climate Zone</w:t>
      </w:r>
      <w:r>
        <w:rPr>
          <w:lang w:eastAsia="en-US" w:bidi="fa-IR"/>
        </w:rPr>
        <w:t>s, but the modelling suggests small net costs in Sydney, Adelaide and Perth and small net benefits in Melbourne and Brisbane.</w:t>
      </w:r>
    </w:p>
    <w:p w:rsidR="003D72D9" w:rsidRDefault="003D72D9" w:rsidP="003D72D9">
      <w:pPr>
        <w:pStyle w:val="ListBullet"/>
        <w:rPr>
          <w:lang w:eastAsia="en-US" w:bidi="fa-IR"/>
        </w:rPr>
      </w:pPr>
      <w:r>
        <w:rPr>
          <w:lang w:eastAsia="en-US" w:bidi="fa-IR"/>
        </w:rPr>
        <w:t>In all cities except Brisbane, the new façade requirements are estimated to increase energy consumption, partly offsetting the large energy savings from the services requirements.</w:t>
      </w:r>
    </w:p>
    <w:p w:rsidR="003D72D9" w:rsidRDefault="003D72D9" w:rsidP="003D72D9">
      <w:pPr>
        <w:pStyle w:val="ListBullet"/>
        <w:rPr>
          <w:lang w:eastAsia="en-US" w:bidi="fa-IR"/>
        </w:rPr>
      </w:pPr>
      <w:r>
        <w:rPr>
          <w:lang w:eastAsia="en-US" w:bidi="fa-IR"/>
        </w:rPr>
        <w:t>In all cities except Melbourne, the façade requirements are also estimated to increase costs slightly. In Melbourne, the façade requirements are estimated to result in some cost savings.</w:t>
      </w:r>
    </w:p>
    <w:p w:rsidR="00B23227" w:rsidRDefault="00B23227" w:rsidP="00B23227">
      <w:pPr>
        <w:pStyle w:val="Caption"/>
      </w:pPr>
      <w:r w:rsidRPr="004E29E3">
        <w:fldChar w:fldCharType="begin"/>
      </w:r>
      <w:r w:rsidRPr="004E29E3">
        <w:instrText xml:space="preserve"> IF 1 = 1 "</w:instrText>
      </w:r>
      <w:r w:rsidRPr="004E29E3">
        <w:fldChar w:fldCharType="begin"/>
      </w:r>
      <w:r w:rsidRPr="004E29E3">
        <w:instrText xml:space="preserve"> IF </w:instrText>
      </w:r>
      <w:r w:rsidRPr="004E29E3">
        <w:rPr>
          <w:noProof/>
        </w:rPr>
        <w:fldChar w:fldCharType="begin"/>
      </w:r>
      <w:r w:rsidRPr="004E29E3">
        <w:rPr>
          <w:noProof/>
        </w:rPr>
        <w:instrText xml:space="preserve"> STYLEREF "Heading 6" \l \n </w:instrText>
      </w:r>
      <w:r w:rsidRPr="004E29E3">
        <w:rPr>
          <w:noProof/>
        </w:rPr>
        <w:fldChar w:fldCharType="separate"/>
      </w:r>
      <w:r w:rsidR="00B833F1">
        <w:rPr>
          <w:noProof/>
        </w:rPr>
        <w:instrText>0</w:instrText>
      </w:r>
      <w:r w:rsidRPr="004E29E3">
        <w:rPr>
          <w:noProof/>
        </w:rPr>
        <w:fldChar w:fldCharType="end"/>
      </w:r>
      <w:r w:rsidRPr="004E29E3">
        <w:instrText xml:space="preserve"> = 0 "</w:instrText>
      </w:r>
      <w:r w:rsidRPr="004E29E3">
        <w:fldChar w:fldCharType="begin"/>
      </w:r>
      <w:r w:rsidRPr="004E29E3">
        <w:instrText xml:space="preserve"> IF </w:instrText>
      </w:r>
      <w:r w:rsidRPr="004E29E3">
        <w:rPr>
          <w:noProof/>
        </w:rPr>
        <w:fldChar w:fldCharType="begin"/>
      </w:r>
      <w:r w:rsidRPr="004E29E3">
        <w:rPr>
          <w:noProof/>
        </w:rPr>
        <w:instrText xml:space="preserve"> STYLEREF "Heading 1" \l \n </w:instrText>
      </w:r>
      <w:r w:rsidRPr="004E29E3">
        <w:rPr>
          <w:noProof/>
        </w:rPr>
        <w:fldChar w:fldCharType="separate"/>
      </w:r>
      <w:r w:rsidR="00B833F1">
        <w:rPr>
          <w:noProof/>
        </w:rPr>
        <w:instrText>8</w:instrText>
      </w:r>
      <w:r w:rsidRPr="004E29E3">
        <w:rPr>
          <w:noProof/>
        </w:rPr>
        <w:fldChar w:fldCharType="end"/>
      </w:r>
      <w:r w:rsidRPr="004E29E3">
        <w:instrText xml:space="preserve"> = 0 "" "</w:instrText>
      </w:r>
      <w:r w:rsidRPr="004E29E3">
        <w:rPr>
          <w:noProof/>
        </w:rPr>
        <w:fldChar w:fldCharType="begin"/>
      </w:r>
      <w:r w:rsidRPr="004E29E3">
        <w:rPr>
          <w:noProof/>
        </w:rPr>
        <w:instrText xml:space="preserve"> STYLEREF "Heading 1" \l \n </w:instrText>
      </w:r>
      <w:r w:rsidRPr="004E29E3">
        <w:rPr>
          <w:noProof/>
        </w:rPr>
        <w:fldChar w:fldCharType="separate"/>
      </w:r>
      <w:r w:rsidR="00B833F1">
        <w:rPr>
          <w:noProof/>
        </w:rPr>
        <w:instrText>8</w:instrText>
      </w:r>
      <w:r w:rsidRPr="004E29E3">
        <w:rPr>
          <w:noProof/>
        </w:rPr>
        <w:fldChar w:fldCharType="end"/>
      </w:r>
      <w:r w:rsidRPr="004E29E3">
        <w:instrText xml:space="preserve">." </w:instrText>
      </w:r>
      <w:r w:rsidRPr="004E29E3">
        <w:fldChar w:fldCharType="separate"/>
      </w:r>
      <w:r w:rsidR="00B833F1">
        <w:rPr>
          <w:noProof/>
        </w:rPr>
        <w:instrText>8</w:instrText>
      </w:r>
      <w:r w:rsidR="00B833F1" w:rsidRPr="004E29E3">
        <w:rPr>
          <w:noProof/>
        </w:rPr>
        <w:instrText>.</w:instrText>
      </w:r>
      <w:r w:rsidRPr="004E29E3">
        <w:fldChar w:fldCharType="end"/>
      </w:r>
      <w:r w:rsidRPr="004E29E3">
        <w:instrText>" "</w:instrText>
      </w:r>
      <w:r w:rsidR="001F6F43">
        <w:fldChar w:fldCharType="begin"/>
      </w:r>
      <w:r w:rsidR="001F6F43">
        <w:instrText xml:space="preserve"> STYLEREF "Heading 6" \l \n </w:instrText>
      </w:r>
      <w:r w:rsidR="001F6F43">
        <w:fldChar w:fldCharType="separate"/>
      </w:r>
      <w:r w:rsidRPr="004E29E3">
        <w:instrText>B</w:instrText>
      </w:r>
      <w:r w:rsidR="001F6F43">
        <w:fldChar w:fldCharType="end"/>
      </w:r>
      <w:r w:rsidRPr="004E29E3">
        <w:instrText xml:space="preserve">." </w:instrText>
      </w:r>
      <w:r w:rsidRPr="004E29E3">
        <w:fldChar w:fldCharType="separate"/>
      </w:r>
      <w:r w:rsidR="00EA42ED">
        <w:rPr>
          <w:noProof/>
        </w:rPr>
        <w:instrText>8</w:instrText>
      </w:r>
      <w:r w:rsidR="00EA42ED" w:rsidRPr="004E29E3">
        <w:rPr>
          <w:noProof/>
        </w:rPr>
        <w:instrText>.</w:instrText>
      </w:r>
      <w:r w:rsidRPr="004E29E3">
        <w:fldChar w:fldCharType="end"/>
      </w:r>
      <w:r w:rsidRPr="004E29E3">
        <w:fldChar w:fldCharType="begin"/>
      </w:r>
      <w:r w:rsidRPr="004E29E3">
        <w:instrText xml:space="preserve"> SEQ Item \* ARABIC \s </w:instrText>
      </w:r>
      <w:r w:rsidRPr="004E29E3">
        <w:fldChar w:fldCharType="begin"/>
      </w:r>
      <w:r w:rsidRPr="004E29E3">
        <w:instrText xml:space="preserve"> IF </w:instrText>
      </w:r>
      <w:r w:rsidRPr="004E29E3">
        <w:rPr>
          <w:noProof/>
        </w:rPr>
        <w:fldChar w:fldCharType="begin"/>
      </w:r>
      <w:r w:rsidRPr="004E29E3">
        <w:rPr>
          <w:noProof/>
        </w:rPr>
        <w:instrText xml:space="preserve"> STYLEREF "Heading 6" \l \n </w:instrText>
      </w:r>
      <w:r w:rsidRPr="004E29E3">
        <w:rPr>
          <w:noProof/>
        </w:rPr>
        <w:fldChar w:fldCharType="separate"/>
      </w:r>
      <w:r w:rsidR="00B833F1">
        <w:rPr>
          <w:noProof/>
        </w:rPr>
        <w:instrText>0</w:instrText>
      </w:r>
      <w:r w:rsidRPr="004E29E3">
        <w:rPr>
          <w:noProof/>
        </w:rPr>
        <w:fldChar w:fldCharType="end"/>
      </w:r>
      <w:r w:rsidRPr="004E29E3">
        <w:instrText xml:space="preserve"> = 0 "</w:instrText>
      </w:r>
      <w:r w:rsidRPr="004E29E3">
        <w:fldChar w:fldCharType="begin"/>
      </w:r>
      <w:r w:rsidRPr="004E29E3">
        <w:instrText xml:space="preserve"> IF </w:instrText>
      </w:r>
      <w:r w:rsidRPr="004E29E3">
        <w:rPr>
          <w:noProof/>
        </w:rPr>
        <w:fldChar w:fldCharType="begin"/>
      </w:r>
      <w:r w:rsidRPr="004E29E3">
        <w:rPr>
          <w:noProof/>
        </w:rPr>
        <w:instrText xml:space="preserve"> STYLEREF "Heading 1" \l \n </w:instrText>
      </w:r>
      <w:r w:rsidRPr="004E29E3">
        <w:rPr>
          <w:noProof/>
        </w:rPr>
        <w:fldChar w:fldCharType="separate"/>
      </w:r>
      <w:r w:rsidR="00B833F1">
        <w:rPr>
          <w:noProof/>
        </w:rPr>
        <w:instrText>8</w:instrText>
      </w:r>
      <w:r w:rsidRPr="004E29E3">
        <w:rPr>
          <w:noProof/>
        </w:rPr>
        <w:fldChar w:fldCharType="end"/>
      </w:r>
      <w:r w:rsidRPr="004E29E3">
        <w:instrText xml:space="preserve"> = 0 "" "1" </w:instrText>
      </w:r>
      <w:r w:rsidRPr="004E29E3">
        <w:fldChar w:fldCharType="separate"/>
      </w:r>
      <w:r w:rsidR="00EA42ED" w:rsidRPr="004E29E3">
        <w:rPr>
          <w:noProof/>
        </w:rPr>
        <w:instrText>1</w:instrText>
      </w:r>
      <w:r w:rsidRPr="004E29E3">
        <w:fldChar w:fldCharType="end"/>
      </w:r>
      <w:r w:rsidRPr="004E29E3">
        <w:instrText xml:space="preserve">" "6" </w:instrText>
      </w:r>
      <w:r w:rsidRPr="004E29E3">
        <w:fldChar w:fldCharType="separate"/>
      </w:r>
      <w:r w:rsidR="00EA42ED" w:rsidRPr="004E29E3">
        <w:rPr>
          <w:noProof/>
        </w:rPr>
        <w:instrText>1</w:instrText>
      </w:r>
      <w:r w:rsidRPr="004E29E3">
        <w:fldChar w:fldCharType="end"/>
      </w:r>
      <w:r w:rsidRPr="004E29E3">
        <w:instrText xml:space="preserve"> </w:instrText>
      </w:r>
      <w:r w:rsidRPr="004E29E3">
        <w:fldChar w:fldCharType="separate"/>
      </w:r>
      <w:r w:rsidR="00B833F1">
        <w:rPr>
          <w:noProof/>
        </w:rPr>
        <w:instrText>13</w:instrText>
      </w:r>
      <w:r w:rsidRPr="004E29E3">
        <w:fldChar w:fldCharType="end"/>
      </w:r>
      <w:r w:rsidRPr="004E29E3">
        <w:instrText xml:space="preserve">" "" </w:instrText>
      </w:r>
      <w:r w:rsidRPr="004E29E3">
        <w:fldChar w:fldCharType="separate"/>
      </w:r>
      <w:bookmarkStart w:id="3914" w:name="_Caption0376"/>
      <w:bookmarkStart w:id="3915" w:name="_Caption9956"/>
      <w:bookmarkStart w:id="3916" w:name="_Caption8535"/>
      <w:bookmarkStart w:id="3917" w:name="_Caption0529"/>
      <w:bookmarkStart w:id="3918" w:name="_Caption4705"/>
      <w:bookmarkStart w:id="3919" w:name="_Caption0636"/>
      <w:bookmarkStart w:id="3920" w:name="_Caption5612"/>
      <w:bookmarkStart w:id="3921" w:name="_Caption9908"/>
      <w:bookmarkStart w:id="3922" w:name="_Caption1774"/>
      <w:bookmarkStart w:id="3923" w:name="_Caption9233"/>
      <w:bookmarkStart w:id="3924" w:name="_Caption4880"/>
      <w:bookmarkStart w:id="3925" w:name="_Caption8379"/>
      <w:bookmarkStart w:id="3926" w:name="_Caption9384"/>
      <w:bookmarkStart w:id="3927" w:name="_Caption0037"/>
      <w:bookmarkStart w:id="3928" w:name="_Caption4532"/>
      <w:bookmarkStart w:id="3929" w:name="_Caption8337"/>
      <w:bookmarkStart w:id="3930" w:name="_Caption9616"/>
      <w:bookmarkStart w:id="3931" w:name="_Caption5417"/>
      <w:bookmarkStart w:id="3932" w:name="_Caption7035"/>
      <w:bookmarkStart w:id="3933" w:name="_Caption8323"/>
      <w:bookmarkStart w:id="3934" w:name="_Caption6207"/>
      <w:bookmarkStart w:id="3935" w:name="_Caption9684"/>
      <w:bookmarkStart w:id="3936" w:name="_Caption8895"/>
      <w:bookmarkStart w:id="3937" w:name="_Caption9723"/>
      <w:bookmarkStart w:id="3938" w:name="_Caption6426"/>
      <w:bookmarkStart w:id="3939" w:name="_Caption8502"/>
      <w:bookmarkStart w:id="3940" w:name="_Caption5730"/>
      <w:bookmarkStart w:id="3941" w:name="_Caption8125"/>
      <w:bookmarkStart w:id="3942" w:name="_Caption5725"/>
      <w:bookmarkStart w:id="3943" w:name="_Caption5944"/>
      <w:bookmarkStart w:id="3944" w:name="_Caption4459"/>
      <w:bookmarkStart w:id="3945" w:name="_Caption3753"/>
      <w:bookmarkStart w:id="3946" w:name="_Caption1419"/>
      <w:bookmarkStart w:id="3947" w:name="_Caption6056"/>
      <w:bookmarkStart w:id="3948" w:name="_Caption6910"/>
      <w:bookmarkStart w:id="3949" w:name="_Caption3628"/>
      <w:bookmarkStart w:id="3950" w:name="_Caption0528"/>
      <w:bookmarkStart w:id="3951" w:name="_Caption1617"/>
      <w:bookmarkStart w:id="3952" w:name="_Caption4958"/>
      <w:bookmarkStart w:id="3953" w:name="_Caption2875"/>
      <w:bookmarkStart w:id="3954" w:name="_Caption1577"/>
      <w:bookmarkStart w:id="3955" w:name="_Caption1868"/>
      <w:bookmarkStart w:id="3956" w:name="_Toc529869952"/>
      <w:bookmarkStart w:id="3957" w:name="_Toc530748448"/>
      <w:r w:rsidR="00EA42ED">
        <w:rPr>
          <w:noProof/>
        </w:rPr>
        <w:t>8</w:t>
      </w:r>
      <w:r w:rsidR="00EA42ED" w:rsidRPr="004E29E3">
        <w:rPr>
          <w:noProof/>
        </w:rPr>
        <w:t>.</w:t>
      </w:r>
      <w:r w:rsidR="00EA42ED">
        <w:rPr>
          <w:noProof/>
        </w:rPr>
        <w:t>13</w:t>
      </w:r>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r w:rsidRPr="004E29E3">
        <w:fldChar w:fldCharType="end"/>
      </w:r>
      <w:r w:rsidRPr="004E29E3">
        <w:tab/>
        <w:t xml:space="preserve">Services/façade decomposition </w:t>
      </w:r>
      <w:r w:rsidR="00E52B0E" w:rsidRPr="004E29E3">
        <w:t>— school</w:t>
      </w:r>
      <w:bookmarkEnd w:id="3956"/>
      <w:bookmarkEnd w:id="3957"/>
    </w:p>
    <w:tbl>
      <w:tblPr>
        <w:tblW w:w="7939" w:type="dxa"/>
        <w:tblLayout w:type="fixed"/>
        <w:tblLook w:val="0000" w:firstRow="0" w:lastRow="0" w:firstColumn="0" w:lastColumn="0" w:noHBand="0" w:noVBand="0"/>
        <w:tblCaption w:val="Table 8.13: Services/facade decomposition- schools"/>
        <w:tblDescription w:val="This table outlines the composition of costs and benefits of proposed changes to the NCC 2019. There are two primary impacts, impacts to services and impacts to the facade of the building.  "/>
      </w:tblPr>
      <w:tblGrid>
        <w:gridCol w:w="1843"/>
        <w:gridCol w:w="1219"/>
        <w:gridCol w:w="1219"/>
        <w:gridCol w:w="1219"/>
        <w:gridCol w:w="1219"/>
        <w:gridCol w:w="1220"/>
      </w:tblGrid>
      <w:tr w:rsidR="00B23227" w:rsidRPr="007502CF" w:rsidTr="00E52B0E">
        <w:trPr>
          <w:trHeight w:val="230"/>
          <w:tblHeader/>
        </w:trPr>
        <w:tc>
          <w:tcPr>
            <w:tcW w:w="1843" w:type="dxa"/>
            <w:shd w:val="clear" w:color="auto" w:fill="6F6652"/>
            <w:tcMar>
              <w:left w:w="57" w:type="dxa"/>
              <w:right w:w="57" w:type="dxa"/>
            </w:tcMar>
          </w:tcPr>
          <w:p w:rsidR="00B23227" w:rsidRPr="007502CF" w:rsidRDefault="00B23227" w:rsidP="00E52B0E">
            <w:pPr>
              <w:pStyle w:val="TableDataColumnHeading"/>
              <w:jc w:val="left"/>
              <w:rPr>
                <w:lang w:val="en-GB"/>
              </w:rPr>
            </w:pPr>
          </w:p>
        </w:tc>
        <w:tc>
          <w:tcPr>
            <w:tcW w:w="1219" w:type="dxa"/>
            <w:shd w:val="clear" w:color="auto" w:fill="6F6652"/>
            <w:tcMar>
              <w:left w:w="57" w:type="dxa"/>
              <w:right w:w="57" w:type="dxa"/>
            </w:tcMar>
          </w:tcPr>
          <w:p w:rsidR="00B23227" w:rsidRPr="007502CF" w:rsidRDefault="00B23227" w:rsidP="00E52B0E">
            <w:pPr>
              <w:pStyle w:val="TableDataColumnHeading"/>
              <w:rPr>
                <w:bCs/>
                <w:lang w:val="en-GB"/>
              </w:rPr>
            </w:pPr>
            <w:r w:rsidRPr="007502CF">
              <w:rPr>
                <w:bCs/>
                <w:lang w:val="en-GB"/>
              </w:rPr>
              <w:t>Sydney</w:t>
            </w:r>
          </w:p>
        </w:tc>
        <w:tc>
          <w:tcPr>
            <w:tcW w:w="1219" w:type="dxa"/>
            <w:shd w:val="clear" w:color="auto" w:fill="6F6652"/>
            <w:tcMar>
              <w:left w:w="57" w:type="dxa"/>
              <w:right w:w="57" w:type="dxa"/>
            </w:tcMar>
          </w:tcPr>
          <w:p w:rsidR="00B23227" w:rsidRPr="007502CF" w:rsidRDefault="00B23227" w:rsidP="00E52B0E">
            <w:pPr>
              <w:pStyle w:val="TableDataColumnHeading"/>
              <w:rPr>
                <w:bCs/>
                <w:lang w:val="en-GB"/>
              </w:rPr>
            </w:pPr>
            <w:r w:rsidRPr="007502CF">
              <w:rPr>
                <w:bCs/>
                <w:lang w:val="en-GB"/>
              </w:rPr>
              <w:t>Melbourne</w:t>
            </w:r>
          </w:p>
        </w:tc>
        <w:tc>
          <w:tcPr>
            <w:tcW w:w="1219" w:type="dxa"/>
            <w:shd w:val="clear" w:color="auto" w:fill="6F6652"/>
            <w:tcMar>
              <w:left w:w="57" w:type="dxa"/>
              <w:right w:w="57" w:type="dxa"/>
            </w:tcMar>
          </w:tcPr>
          <w:p w:rsidR="00B23227" w:rsidRPr="007502CF" w:rsidRDefault="00B23227" w:rsidP="00E52B0E">
            <w:pPr>
              <w:pStyle w:val="TableDataColumnHeading"/>
              <w:rPr>
                <w:bCs/>
                <w:lang w:val="en-GB"/>
              </w:rPr>
            </w:pPr>
            <w:r w:rsidRPr="007502CF">
              <w:rPr>
                <w:bCs/>
                <w:lang w:val="en-GB"/>
              </w:rPr>
              <w:t>Brisbane</w:t>
            </w:r>
          </w:p>
        </w:tc>
        <w:tc>
          <w:tcPr>
            <w:tcW w:w="1219" w:type="dxa"/>
            <w:shd w:val="clear" w:color="auto" w:fill="6F6652"/>
            <w:tcMar>
              <w:left w:w="57" w:type="dxa"/>
              <w:right w:w="57" w:type="dxa"/>
            </w:tcMar>
          </w:tcPr>
          <w:p w:rsidR="00B23227" w:rsidRPr="007502CF" w:rsidRDefault="00B23227" w:rsidP="00E52B0E">
            <w:pPr>
              <w:pStyle w:val="TableDataColumnHeading"/>
              <w:rPr>
                <w:bCs/>
                <w:lang w:val="en-GB"/>
              </w:rPr>
            </w:pPr>
            <w:r w:rsidRPr="007502CF">
              <w:rPr>
                <w:bCs/>
                <w:lang w:val="en-GB"/>
              </w:rPr>
              <w:t>Adelaide</w:t>
            </w:r>
          </w:p>
        </w:tc>
        <w:tc>
          <w:tcPr>
            <w:tcW w:w="1220" w:type="dxa"/>
            <w:shd w:val="clear" w:color="auto" w:fill="6F6652"/>
            <w:tcMar>
              <w:left w:w="57" w:type="dxa"/>
              <w:right w:w="57" w:type="dxa"/>
            </w:tcMar>
          </w:tcPr>
          <w:p w:rsidR="00B23227" w:rsidRPr="007502CF" w:rsidRDefault="00B23227" w:rsidP="00E52B0E">
            <w:pPr>
              <w:pStyle w:val="TableDataColumnHeading"/>
              <w:rPr>
                <w:bCs/>
                <w:lang w:val="en-GB"/>
              </w:rPr>
            </w:pPr>
            <w:r w:rsidRPr="007502CF">
              <w:rPr>
                <w:bCs/>
                <w:lang w:val="en-GB"/>
              </w:rPr>
              <w:t>Perth</w:t>
            </w:r>
          </w:p>
        </w:tc>
      </w:tr>
      <w:tr w:rsidR="00B23227" w:rsidRPr="0030137D" w:rsidTr="00E52B0E">
        <w:trPr>
          <w:trHeight w:val="230"/>
          <w:tblHeader/>
        </w:trPr>
        <w:tc>
          <w:tcPr>
            <w:tcW w:w="1843" w:type="dxa"/>
            <w:tcBorders>
              <w:bottom w:val="single" w:sz="8" w:space="0" w:color="FFFFFF" w:themeColor="background1"/>
            </w:tcBorders>
            <w:shd w:val="clear" w:color="auto" w:fill="auto"/>
            <w:tcMar>
              <w:left w:w="57" w:type="dxa"/>
              <w:right w:w="57" w:type="dxa"/>
            </w:tcMar>
          </w:tcPr>
          <w:p w:rsidR="00B23227" w:rsidRPr="0030137D" w:rsidRDefault="00B23227" w:rsidP="00E52B0E">
            <w:pPr>
              <w:pStyle w:val="TableUnit"/>
              <w:jc w:val="left"/>
              <w:rPr>
                <w:lang w:val="en-GB"/>
              </w:rPr>
            </w:pPr>
          </w:p>
        </w:tc>
        <w:tc>
          <w:tcPr>
            <w:tcW w:w="1219" w:type="dxa"/>
            <w:tcBorders>
              <w:bottom w:val="single" w:sz="8" w:space="0" w:color="FFFFFF" w:themeColor="background1"/>
            </w:tcBorders>
            <w:shd w:val="clear" w:color="auto" w:fill="auto"/>
            <w:tcMar>
              <w:left w:w="57" w:type="dxa"/>
              <w:right w:w="57" w:type="dxa"/>
            </w:tcMar>
          </w:tcPr>
          <w:p w:rsidR="00B23227" w:rsidRPr="0030137D" w:rsidRDefault="00B23227" w:rsidP="00E52B0E">
            <w:pPr>
              <w:pStyle w:val="TableUnit"/>
              <w:rPr>
                <w:lang w:val="en-GB"/>
              </w:rPr>
            </w:pPr>
            <w:r w:rsidRPr="0030137D">
              <w:rPr>
                <w:lang w:val="en-GB"/>
              </w:rPr>
              <w:t>$ per m</w:t>
            </w:r>
            <w:r w:rsidRPr="001640D9">
              <w:rPr>
                <w:vertAlign w:val="superscript"/>
                <w:lang w:val="en-GB"/>
              </w:rPr>
              <w:t>2</w:t>
            </w:r>
          </w:p>
        </w:tc>
        <w:tc>
          <w:tcPr>
            <w:tcW w:w="1219" w:type="dxa"/>
            <w:tcBorders>
              <w:bottom w:val="single" w:sz="8" w:space="0" w:color="FFFFFF" w:themeColor="background1"/>
            </w:tcBorders>
            <w:shd w:val="clear" w:color="auto" w:fill="auto"/>
            <w:tcMar>
              <w:left w:w="57" w:type="dxa"/>
              <w:right w:w="57" w:type="dxa"/>
            </w:tcMar>
          </w:tcPr>
          <w:p w:rsidR="00B23227" w:rsidRPr="0030137D" w:rsidRDefault="00B23227" w:rsidP="00E52B0E">
            <w:pPr>
              <w:pStyle w:val="TableUnit"/>
              <w:rPr>
                <w:lang w:val="en-GB"/>
              </w:rPr>
            </w:pPr>
            <w:r w:rsidRPr="0030137D">
              <w:rPr>
                <w:lang w:val="en-GB"/>
              </w:rPr>
              <w:t>$ per m</w:t>
            </w:r>
            <w:r w:rsidRPr="001640D9">
              <w:rPr>
                <w:vertAlign w:val="superscript"/>
                <w:lang w:val="en-GB"/>
              </w:rPr>
              <w:t>2</w:t>
            </w:r>
          </w:p>
        </w:tc>
        <w:tc>
          <w:tcPr>
            <w:tcW w:w="1219" w:type="dxa"/>
            <w:tcBorders>
              <w:bottom w:val="single" w:sz="8" w:space="0" w:color="FFFFFF" w:themeColor="background1"/>
            </w:tcBorders>
            <w:shd w:val="clear" w:color="auto" w:fill="auto"/>
            <w:tcMar>
              <w:left w:w="57" w:type="dxa"/>
              <w:right w:w="57" w:type="dxa"/>
            </w:tcMar>
          </w:tcPr>
          <w:p w:rsidR="00B23227" w:rsidRPr="0030137D" w:rsidRDefault="00B23227" w:rsidP="00E52B0E">
            <w:pPr>
              <w:pStyle w:val="TableUnit"/>
              <w:rPr>
                <w:lang w:val="en-GB"/>
              </w:rPr>
            </w:pPr>
            <w:r w:rsidRPr="0030137D">
              <w:rPr>
                <w:lang w:val="en-GB"/>
              </w:rPr>
              <w:t>$ per m</w:t>
            </w:r>
            <w:r w:rsidRPr="001640D9">
              <w:rPr>
                <w:vertAlign w:val="superscript"/>
                <w:lang w:val="en-GB"/>
              </w:rPr>
              <w:t>2</w:t>
            </w:r>
          </w:p>
        </w:tc>
        <w:tc>
          <w:tcPr>
            <w:tcW w:w="1219" w:type="dxa"/>
            <w:tcBorders>
              <w:bottom w:val="single" w:sz="8" w:space="0" w:color="FFFFFF" w:themeColor="background1"/>
            </w:tcBorders>
            <w:shd w:val="clear" w:color="auto" w:fill="auto"/>
            <w:tcMar>
              <w:left w:w="57" w:type="dxa"/>
              <w:right w:w="57" w:type="dxa"/>
            </w:tcMar>
          </w:tcPr>
          <w:p w:rsidR="00B23227" w:rsidRPr="0030137D" w:rsidRDefault="00B23227" w:rsidP="00E52B0E">
            <w:pPr>
              <w:pStyle w:val="TableUnit"/>
              <w:rPr>
                <w:lang w:val="en-GB"/>
              </w:rPr>
            </w:pPr>
            <w:r w:rsidRPr="0030137D">
              <w:rPr>
                <w:lang w:val="en-GB"/>
              </w:rPr>
              <w:t>$ per m</w:t>
            </w:r>
            <w:r w:rsidRPr="001640D9">
              <w:rPr>
                <w:vertAlign w:val="superscript"/>
                <w:lang w:val="en-GB"/>
              </w:rPr>
              <w:t>2</w:t>
            </w:r>
          </w:p>
        </w:tc>
        <w:tc>
          <w:tcPr>
            <w:tcW w:w="1220" w:type="dxa"/>
            <w:tcBorders>
              <w:bottom w:val="single" w:sz="8" w:space="0" w:color="FFFFFF" w:themeColor="background1"/>
            </w:tcBorders>
            <w:shd w:val="clear" w:color="auto" w:fill="auto"/>
            <w:tcMar>
              <w:left w:w="57" w:type="dxa"/>
              <w:right w:w="57" w:type="dxa"/>
            </w:tcMar>
          </w:tcPr>
          <w:p w:rsidR="00B23227" w:rsidRPr="0030137D" w:rsidRDefault="00B23227" w:rsidP="00E52B0E">
            <w:pPr>
              <w:pStyle w:val="TableUnit"/>
              <w:rPr>
                <w:lang w:val="en-GB"/>
              </w:rPr>
            </w:pPr>
            <w:r w:rsidRPr="0030137D">
              <w:rPr>
                <w:lang w:val="en-GB"/>
              </w:rPr>
              <w:t>$ per m</w:t>
            </w:r>
            <w:r w:rsidRPr="001640D9">
              <w:rPr>
                <w:vertAlign w:val="superscript"/>
                <w:lang w:val="en-GB"/>
              </w:rPr>
              <w:t>2</w:t>
            </w:r>
          </w:p>
        </w:tc>
      </w:tr>
      <w:tr w:rsidR="00B23227" w:rsidRPr="0030137D" w:rsidTr="00E52B0E">
        <w:trPr>
          <w:trHeight w:val="230"/>
        </w:trPr>
        <w:tc>
          <w:tcPr>
            <w:tcW w:w="184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B23227" w:rsidRPr="0030137D" w:rsidRDefault="00B23227" w:rsidP="00E52B0E">
            <w:pPr>
              <w:pStyle w:val="TableHeading1"/>
              <w:rPr>
                <w:lang w:val="en-GB"/>
              </w:rPr>
            </w:pPr>
            <w:r w:rsidRPr="0030137D">
              <w:rPr>
                <w:lang w:val="en-GB"/>
              </w:rPr>
              <w:t>Services</w:t>
            </w:r>
          </w:p>
        </w:tc>
        <w:tc>
          <w:tcPr>
            <w:tcW w:w="121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B23227" w:rsidRPr="0030137D" w:rsidRDefault="00B23227" w:rsidP="00E52B0E">
            <w:pPr>
              <w:pStyle w:val="TableHeading1"/>
              <w:rPr>
                <w:lang w:val="en-GB"/>
              </w:rPr>
            </w:pPr>
          </w:p>
        </w:tc>
        <w:tc>
          <w:tcPr>
            <w:tcW w:w="121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B23227" w:rsidRPr="0030137D" w:rsidRDefault="00B23227" w:rsidP="00E52B0E">
            <w:pPr>
              <w:pStyle w:val="TableHeading1"/>
              <w:rPr>
                <w:lang w:val="en-GB"/>
              </w:rPr>
            </w:pPr>
          </w:p>
        </w:tc>
        <w:tc>
          <w:tcPr>
            <w:tcW w:w="121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B23227" w:rsidRPr="0030137D" w:rsidRDefault="00B23227" w:rsidP="00E52B0E">
            <w:pPr>
              <w:pStyle w:val="TableHeading1"/>
              <w:rPr>
                <w:lang w:val="en-GB"/>
              </w:rPr>
            </w:pPr>
          </w:p>
        </w:tc>
        <w:tc>
          <w:tcPr>
            <w:tcW w:w="121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B23227" w:rsidRPr="0030137D" w:rsidRDefault="00B23227" w:rsidP="00E52B0E">
            <w:pPr>
              <w:pStyle w:val="TableHeading1"/>
              <w:rPr>
                <w:lang w:val="en-GB"/>
              </w:rPr>
            </w:pPr>
          </w:p>
        </w:tc>
        <w:tc>
          <w:tcPr>
            <w:tcW w:w="1220"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B23227" w:rsidRPr="0030137D" w:rsidRDefault="00B23227" w:rsidP="00E52B0E">
            <w:pPr>
              <w:pStyle w:val="TableHeading1"/>
              <w:rPr>
                <w:lang w:val="en-GB"/>
              </w:rPr>
            </w:pPr>
          </w:p>
        </w:tc>
      </w:tr>
      <w:tr w:rsidR="00F977CD" w:rsidRPr="0030137D" w:rsidTr="00E52B0E">
        <w:trPr>
          <w:trHeight w:val="230"/>
        </w:trPr>
        <w:tc>
          <w:tcPr>
            <w:tcW w:w="184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F977CD" w:rsidRPr="0030137D" w:rsidRDefault="00F977CD" w:rsidP="00F977CD">
            <w:pPr>
              <w:pStyle w:val="TableDataEntries"/>
              <w:jc w:val="left"/>
              <w:rPr>
                <w:lang w:val="en-GB"/>
              </w:rPr>
            </w:pPr>
            <w:r w:rsidRPr="0030137D">
              <w:rPr>
                <w:lang w:val="en-GB"/>
              </w:rPr>
              <w:t>Benefits</w:t>
            </w:r>
          </w:p>
        </w:tc>
        <w:tc>
          <w:tcPr>
            <w:tcW w:w="12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977CD" w:rsidRPr="00F977CD" w:rsidRDefault="00F977CD" w:rsidP="00F977CD">
            <w:pPr>
              <w:pStyle w:val="TableDataEntries"/>
            </w:pPr>
            <w:r w:rsidRPr="00F977CD">
              <w:t xml:space="preserve"> 68.52</w:t>
            </w:r>
          </w:p>
        </w:tc>
        <w:tc>
          <w:tcPr>
            <w:tcW w:w="12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977CD" w:rsidRPr="00F977CD" w:rsidRDefault="00F977CD" w:rsidP="00F977CD">
            <w:pPr>
              <w:pStyle w:val="TableDataEntries"/>
            </w:pPr>
            <w:r w:rsidRPr="00F977CD">
              <w:t xml:space="preserve"> 88.41</w:t>
            </w:r>
          </w:p>
        </w:tc>
        <w:tc>
          <w:tcPr>
            <w:tcW w:w="12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977CD" w:rsidRPr="00F977CD" w:rsidRDefault="00F977CD" w:rsidP="00F977CD">
            <w:pPr>
              <w:pStyle w:val="TableDataEntries"/>
            </w:pPr>
            <w:r w:rsidRPr="00F977CD">
              <w:t xml:space="preserve"> 112.43</w:t>
            </w:r>
          </w:p>
        </w:tc>
        <w:tc>
          <w:tcPr>
            <w:tcW w:w="12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977CD" w:rsidRPr="00F977CD" w:rsidRDefault="00F977CD" w:rsidP="00F977CD">
            <w:pPr>
              <w:pStyle w:val="TableDataEntries"/>
            </w:pPr>
            <w:r w:rsidRPr="00F977CD">
              <w:t xml:space="preserve"> 58.43</w:t>
            </w:r>
          </w:p>
        </w:tc>
        <w:tc>
          <w:tcPr>
            <w:tcW w:w="122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977CD" w:rsidRPr="00F977CD" w:rsidRDefault="00F977CD" w:rsidP="00F977CD">
            <w:pPr>
              <w:pStyle w:val="TableDataEntries"/>
            </w:pPr>
            <w:r w:rsidRPr="00F977CD">
              <w:t xml:space="preserve"> 57.20</w:t>
            </w:r>
          </w:p>
        </w:tc>
      </w:tr>
      <w:tr w:rsidR="00F977CD" w:rsidRPr="0030137D" w:rsidTr="00E52B0E">
        <w:trPr>
          <w:trHeight w:val="230"/>
        </w:trPr>
        <w:tc>
          <w:tcPr>
            <w:tcW w:w="184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F977CD" w:rsidRPr="0030137D" w:rsidRDefault="00F977CD" w:rsidP="00F977CD">
            <w:pPr>
              <w:pStyle w:val="TableDataEntries"/>
              <w:jc w:val="left"/>
              <w:rPr>
                <w:lang w:val="en-GB"/>
              </w:rPr>
            </w:pPr>
            <w:r w:rsidRPr="0030137D">
              <w:rPr>
                <w:lang w:val="en-GB"/>
              </w:rPr>
              <w:t>Costs</w:t>
            </w:r>
          </w:p>
        </w:tc>
        <w:tc>
          <w:tcPr>
            <w:tcW w:w="12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977CD" w:rsidRPr="00F977CD" w:rsidRDefault="00F977CD" w:rsidP="00F977CD">
            <w:pPr>
              <w:pStyle w:val="TableDataEntries"/>
            </w:pPr>
            <w:r w:rsidRPr="00F977CD">
              <w:t>- 10.94</w:t>
            </w:r>
          </w:p>
        </w:tc>
        <w:tc>
          <w:tcPr>
            <w:tcW w:w="12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977CD" w:rsidRPr="00F977CD" w:rsidRDefault="00F977CD" w:rsidP="00F977CD">
            <w:pPr>
              <w:pStyle w:val="TableDataEntries"/>
            </w:pPr>
            <w:r w:rsidRPr="00F977CD">
              <w:t>- 8.48</w:t>
            </w:r>
          </w:p>
        </w:tc>
        <w:tc>
          <w:tcPr>
            <w:tcW w:w="12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977CD" w:rsidRPr="00F977CD" w:rsidRDefault="00F977CD" w:rsidP="00F977CD">
            <w:pPr>
              <w:pStyle w:val="TableDataEntries"/>
            </w:pPr>
            <w:r w:rsidRPr="00F977CD">
              <w:t>- 10.21</w:t>
            </w:r>
          </w:p>
        </w:tc>
        <w:tc>
          <w:tcPr>
            <w:tcW w:w="12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977CD" w:rsidRPr="00F977CD" w:rsidRDefault="00F977CD" w:rsidP="00F977CD">
            <w:pPr>
              <w:pStyle w:val="TableDataEntries"/>
            </w:pPr>
            <w:r w:rsidRPr="00F977CD">
              <w:t>- 10.94</w:t>
            </w:r>
          </w:p>
        </w:tc>
        <w:tc>
          <w:tcPr>
            <w:tcW w:w="122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977CD" w:rsidRPr="00F977CD" w:rsidRDefault="00F977CD" w:rsidP="00F977CD">
            <w:pPr>
              <w:pStyle w:val="TableDataEntries"/>
            </w:pPr>
            <w:r w:rsidRPr="00F977CD">
              <w:t>- 10.94</w:t>
            </w:r>
          </w:p>
        </w:tc>
      </w:tr>
      <w:tr w:rsidR="00F977CD" w:rsidRPr="0030137D" w:rsidTr="00E52B0E">
        <w:trPr>
          <w:trHeight w:val="230"/>
        </w:trPr>
        <w:tc>
          <w:tcPr>
            <w:tcW w:w="184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F977CD" w:rsidRPr="0030137D" w:rsidRDefault="00F977CD" w:rsidP="00F977CD">
            <w:pPr>
              <w:pStyle w:val="TableDataEntries"/>
              <w:jc w:val="left"/>
              <w:rPr>
                <w:lang w:val="en-GB"/>
              </w:rPr>
            </w:pPr>
            <w:r w:rsidRPr="0030137D">
              <w:rPr>
                <w:lang w:val="en-GB"/>
              </w:rPr>
              <w:t>Net benefits/costs</w:t>
            </w:r>
          </w:p>
        </w:tc>
        <w:tc>
          <w:tcPr>
            <w:tcW w:w="1219"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F977CD" w:rsidRPr="00F977CD" w:rsidRDefault="00F977CD" w:rsidP="00F977CD">
            <w:pPr>
              <w:pStyle w:val="TableDataEntries"/>
            </w:pPr>
            <w:r w:rsidRPr="00F977CD">
              <w:t xml:space="preserve"> 57.58</w:t>
            </w:r>
          </w:p>
        </w:tc>
        <w:tc>
          <w:tcPr>
            <w:tcW w:w="1219"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F977CD" w:rsidRPr="00F977CD" w:rsidRDefault="00F977CD" w:rsidP="00F977CD">
            <w:pPr>
              <w:pStyle w:val="TableDataEntries"/>
            </w:pPr>
            <w:r w:rsidRPr="00F977CD">
              <w:t xml:space="preserve"> 79.93</w:t>
            </w:r>
          </w:p>
        </w:tc>
        <w:tc>
          <w:tcPr>
            <w:tcW w:w="1219"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F977CD" w:rsidRPr="00F977CD" w:rsidRDefault="00F977CD" w:rsidP="00F977CD">
            <w:pPr>
              <w:pStyle w:val="TableDataEntries"/>
            </w:pPr>
            <w:r w:rsidRPr="00F977CD">
              <w:t xml:space="preserve"> 102.23</w:t>
            </w:r>
          </w:p>
        </w:tc>
        <w:tc>
          <w:tcPr>
            <w:tcW w:w="1219"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F977CD" w:rsidRPr="00F977CD" w:rsidRDefault="00F977CD" w:rsidP="00F977CD">
            <w:pPr>
              <w:pStyle w:val="TableDataEntries"/>
            </w:pPr>
            <w:r w:rsidRPr="00F977CD">
              <w:t xml:space="preserve"> 47.49</w:t>
            </w:r>
          </w:p>
        </w:tc>
        <w:tc>
          <w:tcPr>
            <w:tcW w:w="1220"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F977CD" w:rsidRPr="00F977CD" w:rsidRDefault="00F977CD" w:rsidP="00F977CD">
            <w:pPr>
              <w:pStyle w:val="TableDataEntries"/>
            </w:pPr>
            <w:r w:rsidRPr="00F977CD">
              <w:t xml:space="preserve"> 46.26</w:t>
            </w:r>
          </w:p>
        </w:tc>
      </w:tr>
      <w:tr w:rsidR="00F977CD" w:rsidRPr="0030137D" w:rsidTr="00E52B0E">
        <w:trPr>
          <w:trHeight w:val="230"/>
        </w:trPr>
        <w:tc>
          <w:tcPr>
            <w:tcW w:w="184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F977CD" w:rsidRPr="0030137D" w:rsidRDefault="00F977CD" w:rsidP="00F977CD">
            <w:pPr>
              <w:pStyle w:val="TableHeading1"/>
              <w:rPr>
                <w:lang w:val="en-GB"/>
              </w:rPr>
            </w:pPr>
            <w:r w:rsidRPr="0030137D">
              <w:rPr>
                <w:lang w:val="en-GB"/>
              </w:rPr>
              <w:t>Façade</w:t>
            </w:r>
          </w:p>
        </w:tc>
        <w:tc>
          <w:tcPr>
            <w:tcW w:w="121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F977CD" w:rsidRPr="00F977CD" w:rsidRDefault="00F977CD" w:rsidP="00F977CD">
            <w:pPr>
              <w:pStyle w:val="TableDataEntries"/>
            </w:pPr>
          </w:p>
        </w:tc>
        <w:tc>
          <w:tcPr>
            <w:tcW w:w="121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F977CD" w:rsidRPr="00F977CD" w:rsidRDefault="00F977CD" w:rsidP="00F977CD">
            <w:pPr>
              <w:pStyle w:val="TableDataEntries"/>
            </w:pPr>
          </w:p>
        </w:tc>
        <w:tc>
          <w:tcPr>
            <w:tcW w:w="121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F977CD" w:rsidRPr="00F977CD" w:rsidRDefault="00F977CD" w:rsidP="00F977CD">
            <w:pPr>
              <w:pStyle w:val="TableDataEntries"/>
            </w:pPr>
          </w:p>
        </w:tc>
        <w:tc>
          <w:tcPr>
            <w:tcW w:w="121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F977CD" w:rsidRPr="00F977CD" w:rsidRDefault="00F977CD" w:rsidP="00F977CD">
            <w:pPr>
              <w:pStyle w:val="TableDataEntries"/>
            </w:pPr>
          </w:p>
        </w:tc>
        <w:tc>
          <w:tcPr>
            <w:tcW w:w="1220"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F977CD" w:rsidRPr="00F977CD" w:rsidRDefault="00F977CD" w:rsidP="00F977CD">
            <w:pPr>
              <w:pStyle w:val="TableDataEntries"/>
            </w:pPr>
          </w:p>
        </w:tc>
      </w:tr>
      <w:tr w:rsidR="00F977CD" w:rsidRPr="0030137D" w:rsidTr="00E52B0E">
        <w:trPr>
          <w:trHeight w:val="230"/>
        </w:trPr>
        <w:tc>
          <w:tcPr>
            <w:tcW w:w="184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F977CD" w:rsidRPr="0030137D" w:rsidRDefault="00F977CD" w:rsidP="00F977CD">
            <w:pPr>
              <w:pStyle w:val="TableDataEntries"/>
              <w:jc w:val="left"/>
              <w:rPr>
                <w:lang w:val="en-GB"/>
              </w:rPr>
            </w:pPr>
            <w:r w:rsidRPr="0030137D">
              <w:rPr>
                <w:lang w:val="en-GB"/>
              </w:rPr>
              <w:t>Benefits</w:t>
            </w:r>
          </w:p>
        </w:tc>
        <w:tc>
          <w:tcPr>
            <w:tcW w:w="12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977CD" w:rsidRPr="00F977CD" w:rsidRDefault="00F977CD" w:rsidP="00F977CD">
            <w:pPr>
              <w:pStyle w:val="TableDataEntries"/>
            </w:pPr>
            <w:r w:rsidRPr="00F977CD">
              <w:t>- 4.76</w:t>
            </w:r>
          </w:p>
        </w:tc>
        <w:tc>
          <w:tcPr>
            <w:tcW w:w="12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977CD" w:rsidRPr="00F977CD" w:rsidRDefault="00F977CD" w:rsidP="00F977CD">
            <w:pPr>
              <w:pStyle w:val="TableDataEntries"/>
            </w:pPr>
            <w:r w:rsidRPr="00F977CD">
              <w:t>- 10.56</w:t>
            </w:r>
          </w:p>
        </w:tc>
        <w:tc>
          <w:tcPr>
            <w:tcW w:w="12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977CD" w:rsidRPr="00F977CD" w:rsidRDefault="00F977CD" w:rsidP="00F977CD">
            <w:pPr>
              <w:pStyle w:val="TableDataEntries"/>
            </w:pPr>
            <w:r w:rsidRPr="00F977CD">
              <w:t xml:space="preserve"> 7.37</w:t>
            </w:r>
          </w:p>
        </w:tc>
        <w:tc>
          <w:tcPr>
            <w:tcW w:w="12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977CD" w:rsidRPr="00F977CD" w:rsidRDefault="00F977CD" w:rsidP="00F977CD">
            <w:pPr>
              <w:pStyle w:val="TableDataEntries"/>
            </w:pPr>
            <w:r w:rsidRPr="00F977CD">
              <w:t>- 2.89</w:t>
            </w:r>
          </w:p>
        </w:tc>
        <w:tc>
          <w:tcPr>
            <w:tcW w:w="122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977CD" w:rsidRPr="00F977CD" w:rsidRDefault="00F977CD" w:rsidP="00F977CD">
            <w:pPr>
              <w:pStyle w:val="TableDataEntries"/>
            </w:pPr>
            <w:r w:rsidRPr="00F977CD">
              <w:t>- 1.79</w:t>
            </w:r>
          </w:p>
        </w:tc>
      </w:tr>
      <w:tr w:rsidR="00F977CD" w:rsidRPr="0030137D" w:rsidTr="00E52B0E">
        <w:trPr>
          <w:trHeight w:val="230"/>
        </w:trPr>
        <w:tc>
          <w:tcPr>
            <w:tcW w:w="184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F977CD" w:rsidRPr="0030137D" w:rsidRDefault="00F977CD" w:rsidP="00F977CD">
            <w:pPr>
              <w:pStyle w:val="TableDataEntries"/>
              <w:jc w:val="left"/>
              <w:rPr>
                <w:lang w:val="en-GB"/>
              </w:rPr>
            </w:pPr>
            <w:r w:rsidRPr="0030137D">
              <w:rPr>
                <w:lang w:val="en-GB"/>
              </w:rPr>
              <w:t>Costs</w:t>
            </w:r>
          </w:p>
        </w:tc>
        <w:tc>
          <w:tcPr>
            <w:tcW w:w="12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977CD" w:rsidRPr="00F977CD" w:rsidRDefault="00F977CD" w:rsidP="00F977CD">
            <w:pPr>
              <w:pStyle w:val="TableDataEntries"/>
            </w:pPr>
            <w:r w:rsidRPr="00F977CD">
              <w:t>- 7.26</w:t>
            </w:r>
          </w:p>
        </w:tc>
        <w:tc>
          <w:tcPr>
            <w:tcW w:w="12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977CD" w:rsidRPr="00F977CD" w:rsidRDefault="00F977CD" w:rsidP="00F977CD">
            <w:pPr>
              <w:pStyle w:val="TableDataEntries"/>
            </w:pPr>
            <w:r w:rsidRPr="00F977CD">
              <w:t xml:space="preserve"> 0.68</w:t>
            </w:r>
          </w:p>
        </w:tc>
        <w:tc>
          <w:tcPr>
            <w:tcW w:w="12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977CD" w:rsidRPr="00F977CD" w:rsidRDefault="00F977CD" w:rsidP="00F977CD">
            <w:pPr>
              <w:pStyle w:val="TableDataEntries"/>
            </w:pPr>
            <w:r w:rsidRPr="00F977CD">
              <w:t>- 10.54</w:t>
            </w:r>
          </w:p>
        </w:tc>
        <w:tc>
          <w:tcPr>
            <w:tcW w:w="121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977CD" w:rsidRPr="00F977CD" w:rsidRDefault="00F977CD" w:rsidP="00F977CD">
            <w:pPr>
              <w:pStyle w:val="TableDataEntries"/>
            </w:pPr>
            <w:r w:rsidRPr="00F977CD">
              <w:t>- 7.26</w:t>
            </w:r>
          </w:p>
        </w:tc>
        <w:tc>
          <w:tcPr>
            <w:tcW w:w="122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F977CD" w:rsidRPr="00F977CD" w:rsidRDefault="00F977CD" w:rsidP="00F977CD">
            <w:pPr>
              <w:pStyle w:val="TableDataEntries"/>
            </w:pPr>
            <w:r w:rsidRPr="00F977CD">
              <w:t>- 7.26</w:t>
            </w:r>
          </w:p>
        </w:tc>
      </w:tr>
      <w:tr w:rsidR="00F977CD" w:rsidRPr="0030137D" w:rsidTr="00E52B0E">
        <w:trPr>
          <w:trHeight w:val="230"/>
        </w:trPr>
        <w:tc>
          <w:tcPr>
            <w:tcW w:w="184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F977CD" w:rsidRPr="0030137D" w:rsidRDefault="00F977CD" w:rsidP="00F977CD">
            <w:pPr>
              <w:pStyle w:val="TableDataEntries"/>
              <w:jc w:val="left"/>
              <w:rPr>
                <w:lang w:val="en-GB"/>
              </w:rPr>
            </w:pPr>
            <w:r w:rsidRPr="0030137D">
              <w:rPr>
                <w:lang w:val="en-GB"/>
              </w:rPr>
              <w:t>Net benefits/costs</w:t>
            </w:r>
          </w:p>
        </w:tc>
        <w:tc>
          <w:tcPr>
            <w:tcW w:w="1219"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F977CD" w:rsidRPr="00F977CD" w:rsidRDefault="00F977CD" w:rsidP="00F977CD">
            <w:pPr>
              <w:pStyle w:val="TableDataEntries"/>
            </w:pPr>
            <w:r w:rsidRPr="00F977CD">
              <w:t>- 12.02</w:t>
            </w:r>
          </w:p>
        </w:tc>
        <w:tc>
          <w:tcPr>
            <w:tcW w:w="1219"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F977CD" w:rsidRPr="00F977CD" w:rsidRDefault="00F977CD" w:rsidP="00F977CD">
            <w:pPr>
              <w:pStyle w:val="TableDataEntries"/>
            </w:pPr>
            <w:r w:rsidRPr="00F977CD">
              <w:t>- 9.88</w:t>
            </w:r>
          </w:p>
        </w:tc>
        <w:tc>
          <w:tcPr>
            <w:tcW w:w="1219"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F977CD" w:rsidRPr="00F977CD" w:rsidRDefault="00F977CD" w:rsidP="00F977CD">
            <w:pPr>
              <w:pStyle w:val="TableDataEntries"/>
            </w:pPr>
            <w:r w:rsidRPr="00F977CD">
              <w:t>- 3.17</w:t>
            </w:r>
          </w:p>
        </w:tc>
        <w:tc>
          <w:tcPr>
            <w:tcW w:w="1219"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F977CD" w:rsidRPr="00F977CD" w:rsidRDefault="00F977CD" w:rsidP="00F977CD">
            <w:pPr>
              <w:pStyle w:val="TableDataEntries"/>
            </w:pPr>
            <w:r w:rsidRPr="00F977CD">
              <w:t>- 10.14</w:t>
            </w:r>
          </w:p>
        </w:tc>
        <w:tc>
          <w:tcPr>
            <w:tcW w:w="1220"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F977CD" w:rsidRPr="00F977CD" w:rsidRDefault="00F977CD" w:rsidP="00F977CD">
            <w:pPr>
              <w:pStyle w:val="TableDataEntries"/>
            </w:pPr>
            <w:r w:rsidRPr="00F977CD">
              <w:t>- 9.04</w:t>
            </w:r>
          </w:p>
        </w:tc>
      </w:tr>
      <w:tr w:rsidR="00F977CD" w:rsidRPr="00F977CD" w:rsidTr="00E52B0E">
        <w:trPr>
          <w:trHeight w:val="230"/>
        </w:trPr>
        <w:tc>
          <w:tcPr>
            <w:tcW w:w="1843"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rsidR="00F977CD" w:rsidRPr="00F977CD" w:rsidRDefault="00F977CD" w:rsidP="00F977CD">
            <w:pPr>
              <w:pStyle w:val="TableDataEntries"/>
              <w:jc w:val="left"/>
              <w:rPr>
                <w:rFonts w:ascii="Franklin Gothic Demi" w:hAnsi="Franklin Gothic Demi"/>
                <w:lang w:val="en-GB"/>
              </w:rPr>
            </w:pPr>
            <w:r w:rsidRPr="00F977CD">
              <w:rPr>
                <w:rFonts w:ascii="Franklin Gothic Demi" w:hAnsi="Franklin Gothic Demi"/>
                <w:lang w:val="en-GB"/>
              </w:rPr>
              <w:t>Total net benefits/costs</w:t>
            </w:r>
          </w:p>
        </w:tc>
        <w:tc>
          <w:tcPr>
            <w:tcW w:w="1219"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F977CD" w:rsidRPr="00F977CD" w:rsidRDefault="00F977CD" w:rsidP="00F977CD">
            <w:pPr>
              <w:pStyle w:val="TableDataEntries"/>
              <w:rPr>
                <w:rFonts w:ascii="Franklin Gothic Demi" w:hAnsi="Franklin Gothic Demi"/>
              </w:rPr>
            </w:pPr>
            <w:r w:rsidRPr="00F977CD">
              <w:rPr>
                <w:rFonts w:ascii="Franklin Gothic Demi" w:hAnsi="Franklin Gothic Demi"/>
              </w:rPr>
              <w:t xml:space="preserve"> 45.56</w:t>
            </w:r>
          </w:p>
        </w:tc>
        <w:tc>
          <w:tcPr>
            <w:tcW w:w="1219"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F977CD" w:rsidRPr="00F977CD" w:rsidRDefault="00F977CD" w:rsidP="00F977CD">
            <w:pPr>
              <w:pStyle w:val="TableDataEntries"/>
              <w:rPr>
                <w:rFonts w:ascii="Franklin Gothic Demi" w:hAnsi="Franklin Gothic Demi"/>
              </w:rPr>
            </w:pPr>
            <w:r w:rsidRPr="00F977CD">
              <w:rPr>
                <w:rFonts w:ascii="Franklin Gothic Demi" w:hAnsi="Franklin Gothic Demi"/>
              </w:rPr>
              <w:t xml:space="preserve"> 70.06</w:t>
            </w:r>
          </w:p>
        </w:tc>
        <w:tc>
          <w:tcPr>
            <w:tcW w:w="1219"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F977CD" w:rsidRPr="00F977CD" w:rsidRDefault="00F977CD" w:rsidP="00F977CD">
            <w:pPr>
              <w:pStyle w:val="TableDataEntries"/>
              <w:rPr>
                <w:rFonts w:ascii="Franklin Gothic Demi" w:hAnsi="Franklin Gothic Demi"/>
              </w:rPr>
            </w:pPr>
            <w:r w:rsidRPr="00F977CD">
              <w:rPr>
                <w:rFonts w:ascii="Franklin Gothic Demi" w:hAnsi="Franklin Gothic Demi"/>
              </w:rPr>
              <w:t xml:space="preserve"> 99.06</w:t>
            </w:r>
          </w:p>
        </w:tc>
        <w:tc>
          <w:tcPr>
            <w:tcW w:w="1219"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F977CD" w:rsidRPr="00F977CD" w:rsidRDefault="00F977CD" w:rsidP="00F977CD">
            <w:pPr>
              <w:pStyle w:val="TableDataEntries"/>
              <w:rPr>
                <w:rFonts w:ascii="Franklin Gothic Demi" w:hAnsi="Franklin Gothic Demi"/>
              </w:rPr>
            </w:pPr>
            <w:r w:rsidRPr="00F977CD">
              <w:rPr>
                <w:rFonts w:ascii="Franklin Gothic Demi" w:hAnsi="Franklin Gothic Demi"/>
              </w:rPr>
              <w:t xml:space="preserve"> 37.34</w:t>
            </w:r>
          </w:p>
        </w:tc>
        <w:tc>
          <w:tcPr>
            <w:tcW w:w="1220"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F977CD" w:rsidRPr="00F977CD" w:rsidRDefault="00F977CD" w:rsidP="00F977CD">
            <w:pPr>
              <w:pStyle w:val="TableDataEntries"/>
              <w:rPr>
                <w:rFonts w:ascii="Franklin Gothic Demi" w:hAnsi="Franklin Gothic Demi"/>
              </w:rPr>
            </w:pPr>
            <w:r w:rsidRPr="00F977CD">
              <w:rPr>
                <w:rFonts w:ascii="Franklin Gothic Demi" w:hAnsi="Franklin Gothic Demi"/>
              </w:rPr>
              <w:t xml:space="preserve"> 37.22</w:t>
            </w:r>
          </w:p>
        </w:tc>
      </w:tr>
    </w:tbl>
    <w:p w:rsidR="00B23227" w:rsidRDefault="00B23227" w:rsidP="00B23227">
      <w:pPr>
        <w:pStyle w:val="Note"/>
        <w:rPr>
          <w:lang w:bidi="fa-IR"/>
        </w:rPr>
      </w:pPr>
      <w:r w:rsidRPr="007D1B4F">
        <w:rPr>
          <w:i/>
        </w:rPr>
        <w:t>Note:</w:t>
      </w:r>
      <w:r w:rsidRPr="00E879B8">
        <w:t xml:space="preserve"> </w:t>
      </w:r>
      <w:r w:rsidR="00CA6CF4">
        <w:rPr>
          <w:lang w:bidi="fa-IR"/>
        </w:rPr>
        <w:t xml:space="preserve">Net impacts include the private benefits and costs to building owners/tenants and the global benefits from reduced GHG emissions. </w:t>
      </w:r>
      <w:r>
        <w:t>Costs and benefits expressed in net present value terms over the assumed 40 year life of the building, using a discount rate of 7 per cent. Benefit estimates are based on future energy price (and GHG emission) profiles from 2019.</w:t>
      </w:r>
    </w:p>
    <w:p w:rsidR="00B23227" w:rsidRDefault="00B23227" w:rsidP="00B23227">
      <w:pPr>
        <w:pStyle w:val="Source"/>
        <w:rPr>
          <w:lang w:bidi="fa-IR"/>
        </w:rPr>
      </w:pPr>
      <w:r w:rsidRPr="0030137D">
        <w:rPr>
          <w:i/>
          <w:lang w:bidi="fa-IR"/>
        </w:rPr>
        <w:t>Source:</w:t>
      </w:r>
      <w:r>
        <w:rPr>
          <w:lang w:bidi="fa-IR"/>
        </w:rPr>
        <w:t xml:space="preserve"> CIE based on </w:t>
      </w:r>
      <w:r w:rsidR="003F28DD">
        <w:rPr>
          <w:lang w:bidi="fa-IR"/>
        </w:rPr>
        <w:t>EA</w:t>
      </w:r>
      <w:r>
        <w:rPr>
          <w:lang w:bidi="fa-IR"/>
        </w:rPr>
        <w:t xml:space="preserve"> modelling.</w:t>
      </w:r>
    </w:p>
    <w:p w:rsidR="00612FD3" w:rsidRDefault="00612FD3" w:rsidP="00612FD3">
      <w:pPr>
        <w:pStyle w:val="Heading2"/>
        <w:numPr>
          <w:ilvl w:val="1"/>
          <w:numId w:val="5"/>
        </w:numPr>
      </w:pPr>
      <w:bookmarkStart w:id="3958" w:name="_Toc529869859"/>
      <w:bookmarkStart w:id="3959" w:name="_Toc530748577"/>
      <w:r>
        <w:t>Aggregating benefits and costs</w:t>
      </w:r>
      <w:bookmarkEnd w:id="3958"/>
      <w:bookmarkEnd w:id="3959"/>
    </w:p>
    <w:p w:rsidR="00612FD3" w:rsidRDefault="00612FD3" w:rsidP="00612FD3">
      <w:pPr>
        <w:pStyle w:val="BodyText"/>
        <w:spacing w:before="60"/>
        <w:ind w:right="-285"/>
      </w:pPr>
      <w:r>
        <w:t>Cost and benefit estimates on a square metre basis are applied to the construction profile shown above and then aggregated up to the state and national level. Some commercial buildings, such as warehouses, factories and aged care facilities were not explicitly modelled.</w:t>
      </w:r>
    </w:p>
    <w:p w:rsidR="00612FD3" w:rsidRDefault="00612FD3" w:rsidP="00612FD3">
      <w:pPr>
        <w:pStyle w:val="ListBullet"/>
        <w:numPr>
          <w:ilvl w:val="0"/>
          <w:numId w:val="36"/>
        </w:numPr>
      </w:pPr>
      <w:r>
        <w:t>Many warehouses and factories are not air</w:t>
      </w:r>
      <w:r>
        <w:noBreakHyphen/>
        <w:t>conditioned and have low WWRs, so many of the proposed changes are less likely to affect these buildings. Changes to lighting requirements may be relevant to these buildings; however, due to the LED uptake assumptions, the proposed changes will have little impact.</w:t>
      </w:r>
    </w:p>
    <w:p w:rsidR="00612FD3" w:rsidRDefault="00612FD3" w:rsidP="00612FD3">
      <w:pPr>
        <w:pStyle w:val="ListBullet"/>
        <w:numPr>
          <w:ilvl w:val="0"/>
          <w:numId w:val="36"/>
        </w:numPr>
      </w:pPr>
      <w:r>
        <w:t xml:space="preserve">For </w:t>
      </w:r>
      <w:r w:rsidR="00DC6755">
        <w:t>aged care facilities</w:t>
      </w:r>
      <w:r>
        <w:t xml:space="preserve">, we apply the results for </w:t>
      </w:r>
      <w:r w:rsidR="00DC6755">
        <w:t xml:space="preserve">the </w:t>
      </w:r>
      <w:r w:rsidR="00E92A21">
        <w:t xml:space="preserve">modelled </w:t>
      </w:r>
      <w:r w:rsidR="00DC6755">
        <w:t>healthcare building</w:t>
      </w:r>
      <w:r>
        <w:t>.</w:t>
      </w:r>
    </w:p>
    <w:p w:rsidR="00612FD3" w:rsidRDefault="00612FD3" w:rsidP="00612FD3">
      <w:pPr>
        <w:pStyle w:val="BodyText"/>
      </w:pPr>
      <w:r>
        <w:t>Based on the modelled outcomes discussed above, the CBA results under each of the realisation scenarios are shown in table </w:t>
      </w:r>
      <w:r w:rsidR="00D466CC">
        <w:rPr>
          <w:noProof/>
        </w:rPr>
        <w:fldChar w:fldCharType="begin"/>
      </w:r>
      <w:r w:rsidR="00D466CC">
        <w:rPr>
          <w:noProof/>
        </w:rPr>
        <w:instrText xml:space="preserve"> REF _Caption2664 </w:instrText>
      </w:r>
      <w:r w:rsidR="00D466CC">
        <w:rPr>
          <w:noProof/>
        </w:rPr>
        <w:fldChar w:fldCharType="separate"/>
      </w:r>
      <w:r w:rsidR="006B79B8">
        <w:rPr>
          <w:noProof/>
        </w:rPr>
        <w:t>8</w:t>
      </w:r>
      <w:r w:rsidR="006B79B8" w:rsidRPr="00251244">
        <w:rPr>
          <w:noProof/>
        </w:rPr>
        <w:t>.</w:t>
      </w:r>
      <w:r w:rsidR="006B79B8">
        <w:rPr>
          <w:noProof/>
        </w:rPr>
        <w:t>14</w:t>
      </w:r>
      <w:r w:rsidR="00D466CC">
        <w:rPr>
          <w:noProof/>
        </w:rPr>
        <w:fldChar w:fldCharType="end"/>
      </w:r>
      <w:r w:rsidR="00406AD8">
        <w:t>.</w:t>
      </w:r>
    </w:p>
    <w:p w:rsidR="00612FD3" w:rsidRDefault="00612FD3" w:rsidP="00612FD3">
      <w:pPr>
        <w:pStyle w:val="ListBullet"/>
        <w:numPr>
          <w:ilvl w:val="0"/>
          <w:numId w:val="36"/>
        </w:numPr>
      </w:pPr>
      <w:r>
        <w:t xml:space="preserve">Even under the low realisation scenario (where only 50 per cent of modelled energy savings are assumed to be achieved in practice, based on the observed relationship between modelled and actual GHG emissions from the sample of Green Star rated buildings), the proposed changes to the NCC are estimated to deliver significant net benefits to the community in addition to the </w:t>
      </w:r>
      <w:r w:rsidR="009B5546">
        <w:t xml:space="preserve">global </w:t>
      </w:r>
      <w:r>
        <w:t xml:space="preserve">benefits </w:t>
      </w:r>
      <w:r w:rsidR="009B5546">
        <w:t xml:space="preserve">associated with reduced </w:t>
      </w:r>
      <w:r>
        <w:t xml:space="preserve">GHG </w:t>
      </w:r>
      <w:r w:rsidR="009B5546">
        <w:t>emissions</w:t>
      </w:r>
      <w:r>
        <w:t xml:space="preserve">. </w:t>
      </w:r>
    </w:p>
    <w:p w:rsidR="005E7CBB" w:rsidRDefault="005E7CBB" w:rsidP="00612FD3">
      <w:pPr>
        <w:pStyle w:val="ListBullet2"/>
        <w:numPr>
          <w:ilvl w:val="1"/>
          <w:numId w:val="36"/>
        </w:numPr>
      </w:pPr>
      <w:r>
        <w:t>N</w:t>
      </w:r>
      <w:r w:rsidR="00612FD3">
        <w:t>ationwide</w:t>
      </w:r>
      <w:r>
        <w:t>,</w:t>
      </w:r>
      <w:r w:rsidR="00612FD3">
        <w:t xml:space="preserve"> net benefit</w:t>
      </w:r>
      <w:r>
        <w:t>s</w:t>
      </w:r>
      <w:r w:rsidR="00612FD3">
        <w:t xml:space="preserve"> </w:t>
      </w:r>
      <w:r w:rsidR="008D1885">
        <w:t xml:space="preserve">to </w:t>
      </w:r>
      <w:r w:rsidR="009B5546">
        <w:t xml:space="preserve">the community </w:t>
      </w:r>
      <w:r w:rsidR="00612FD3">
        <w:t xml:space="preserve">under this scenario </w:t>
      </w:r>
      <w:r>
        <w:t xml:space="preserve">are </w:t>
      </w:r>
      <w:r w:rsidR="00612FD3">
        <w:t xml:space="preserve">estimated at around </w:t>
      </w:r>
      <w:r>
        <w:t>$</w:t>
      </w:r>
      <w:r w:rsidR="009B5546">
        <w:t>769 </w:t>
      </w:r>
      <w:r>
        <w:t>million in net present value terms, using a discount rate of 7 per cent.</w:t>
      </w:r>
    </w:p>
    <w:p w:rsidR="005E7CBB" w:rsidRDefault="009B5546" w:rsidP="005E7CBB">
      <w:pPr>
        <w:pStyle w:val="ListBullet2"/>
        <w:numPr>
          <w:ilvl w:val="1"/>
          <w:numId w:val="36"/>
        </w:numPr>
      </w:pPr>
      <w:r>
        <w:t>In addition, global</w:t>
      </w:r>
      <w:r w:rsidR="005E7CBB">
        <w:t xml:space="preserve"> benefits </w:t>
      </w:r>
      <w:r>
        <w:t>from</w:t>
      </w:r>
      <w:r w:rsidR="005E7CBB">
        <w:t xml:space="preserve"> reduced GHG emissions</w:t>
      </w:r>
      <w:r w:rsidR="008D1885">
        <w:t xml:space="preserve"> </w:t>
      </w:r>
      <w:r>
        <w:t>are estimated at around $369 million</w:t>
      </w:r>
      <w:r w:rsidR="00612FD3">
        <w:t>.</w:t>
      </w:r>
    </w:p>
    <w:p w:rsidR="00612FD3" w:rsidRDefault="00612FD3" w:rsidP="00612FD3">
      <w:pPr>
        <w:pStyle w:val="ListBullet"/>
        <w:numPr>
          <w:ilvl w:val="0"/>
          <w:numId w:val="36"/>
        </w:numPr>
      </w:pPr>
      <w:r>
        <w:t>Under the medium realisation scenario (where 75 per cent of modelled energy savings are assumed to be achieved in practice, based on the observed relationship between modelled and actual GHG emissions from the sample of Green Star rated buildings with several outliers removed from the sample):</w:t>
      </w:r>
    </w:p>
    <w:p w:rsidR="005E7CBB" w:rsidRDefault="00612FD3" w:rsidP="00612FD3">
      <w:pPr>
        <w:pStyle w:val="ListBullet2"/>
        <w:numPr>
          <w:ilvl w:val="1"/>
          <w:numId w:val="36"/>
        </w:numPr>
      </w:pPr>
      <w:r>
        <w:t>net benefit</w:t>
      </w:r>
      <w:r w:rsidR="005E7CBB">
        <w:t>s</w:t>
      </w:r>
      <w:r>
        <w:t xml:space="preserve"> </w:t>
      </w:r>
      <w:r w:rsidR="008D1885">
        <w:t xml:space="preserve">to </w:t>
      </w:r>
      <w:r w:rsidR="009B5546">
        <w:t xml:space="preserve">the community </w:t>
      </w:r>
      <w:r w:rsidR="005E7CBB">
        <w:t xml:space="preserve">are </w:t>
      </w:r>
      <w:r>
        <w:t xml:space="preserve">estimated at around </w:t>
      </w:r>
      <w:r w:rsidR="005E7CBB">
        <w:t>$1.4 billion</w:t>
      </w:r>
      <w:r w:rsidR="009B5546">
        <w:t xml:space="preserve"> nationally</w:t>
      </w:r>
    </w:p>
    <w:p w:rsidR="00612FD3" w:rsidRDefault="009B5546" w:rsidP="00612FD3">
      <w:pPr>
        <w:pStyle w:val="ListBullet2"/>
        <w:numPr>
          <w:ilvl w:val="1"/>
          <w:numId w:val="36"/>
        </w:numPr>
      </w:pPr>
      <w:r>
        <w:t>global benefits from reduced GHG emissions are estimated at around $553 million</w:t>
      </w:r>
      <w:r w:rsidR="005E7CBB">
        <w:t>.</w:t>
      </w:r>
    </w:p>
    <w:p w:rsidR="00612FD3" w:rsidRDefault="00612FD3" w:rsidP="00612FD3">
      <w:pPr>
        <w:pStyle w:val="ListBullet"/>
        <w:numPr>
          <w:ilvl w:val="0"/>
          <w:numId w:val="36"/>
        </w:numPr>
      </w:pPr>
      <w:r>
        <w:t>Under the high realisation scenario, modelled energy savings are assumed to be fully realised. Under this scenario:</w:t>
      </w:r>
    </w:p>
    <w:p w:rsidR="00612FD3" w:rsidRDefault="00612FD3" w:rsidP="00612FD3">
      <w:pPr>
        <w:pStyle w:val="ListBullet2"/>
        <w:numPr>
          <w:ilvl w:val="1"/>
          <w:numId w:val="36"/>
        </w:numPr>
      </w:pPr>
      <w:r>
        <w:t xml:space="preserve">net benefits </w:t>
      </w:r>
      <w:r w:rsidR="008D1885">
        <w:t xml:space="preserve">to </w:t>
      </w:r>
      <w:r w:rsidR="009B5546">
        <w:t xml:space="preserve">the community </w:t>
      </w:r>
      <w:r>
        <w:t>are estimated at around $</w:t>
      </w:r>
      <w:r w:rsidR="005E7CBB">
        <w:t>2</w:t>
      </w:r>
      <w:r>
        <w:t>.1 billion</w:t>
      </w:r>
    </w:p>
    <w:p w:rsidR="00612FD3" w:rsidRDefault="009B5546" w:rsidP="00612FD3">
      <w:pPr>
        <w:pStyle w:val="ListBullet2"/>
        <w:numPr>
          <w:ilvl w:val="1"/>
          <w:numId w:val="36"/>
        </w:numPr>
      </w:pPr>
      <w:r>
        <w:t>global benefits from reduced GHG emissions are estimated at around $738 million</w:t>
      </w:r>
      <w:r w:rsidR="00612FD3">
        <w:t>.</w:t>
      </w:r>
    </w:p>
    <w:p w:rsidR="00406AD8" w:rsidRDefault="00406AD8" w:rsidP="00406AD8">
      <w:pPr>
        <w:pStyle w:val="Caption"/>
        <w:spacing w:before="240"/>
      </w:pPr>
      <w:r w:rsidRPr="00251244">
        <w:fldChar w:fldCharType="begin"/>
      </w:r>
      <w:r w:rsidRPr="00251244">
        <w:instrText xml:space="preserve"> IF 1 = 1 "</w:instrText>
      </w:r>
      <w:r w:rsidRPr="00251244">
        <w:fldChar w:fldCharType="begin"/>
      </w:r>
      <w:r w:rsidRPr="00251244">
        <w:instrText xml:space="preserve"> IF </w:instrText>
      </w:r>
      <w:r>
        <w:rPr>
          <w:noProof/>
        </w:rPr>
        <w:fldChar w:fldCharType="begin"/>
      </w:r>
      <w:r>
        <w:rPr>
          <w:noProof/>
        </w:rPr>
        <w:instrText xml:space="preserve"> STYLEREF "Heading 6" \l \n </w:instrText>
      </w:r>
      <w:r>
        <w:rPr>
          <w:noProof/>
        </w:rPr>
        <w:fldChar w:fldCharType="separate"/>
      </w:r>
      <w:r w:rsidR="00B833F1">
        <w:rPr>
          <w:noProof/>
        </w:rPr>
        <w:instrText>0</w:instrText>
      </w:r>
      <w:r>
        <w:rPr>
          <w:noProof/>
        </w:rPr>
        <w:fldChar w:fldCharType="end"/>
      </w:r>
      <w:r w:rsidRPr="00251244">
        <w:instrText xml:space="preserve"> = 0 "</w:instrText>
      </w:r>
      <w:r w:rsidRPr="00251244">
        <w:fldChar w:fldCharType="begin"/>
      </w:r>
      <w:r w:rsidRPr="00251244">
        <w:instrText xml:space="preserve"> IF </w:instrText>
      </w:r>
      <w:r>
        <w:rPr>
          <w:noProof/>
        </w:rPr>
        <w:fldChar w:fldCharType="begin"/>
      </w:r>
      <w:r>
        <w:rPr>
          <w:noProof/>
        </w:rPr>
        <w:instrText xml:space="preserve"> STYLEREF "Heading 1" \l \n </w:instrText>
      </w:r>
      <w:r>
        <w:rPr>
          <w:noProof/>
        </w:rPr>
        <w:fldChar w:fldCharType="separate"/>
      </w:r>
      <w:r w:rsidR="00B833F1">
        <w:rPr>
          <w:noProof/>
        </w:rPr>
        <w:instrText>8</w:instrText>
      </w:r>
      <w:r>
        <w:rPr>
          <w:noProof/>
        </w:rPr>
        <w:fldChar w:fldCharType="end"/>
      </w:r>
      <w:r w:rsidRPr="00251244">
        <w:instrText xml:space="preserve"> = 0 "" "</w:instrText>
      </w:r>
      <w:r>
        <w:rPr>
          <w:noProof/>
        </w:rPr>
        <w:fldChar w:fldCharType="begin"/>
      </w:r>
      <w:r>
        <w:rPr>
          <w:noProof/>
        </w:rPr>
        <w:instrText xml:space="preserve"> STYLEREF "Heading 1" \l \n </w:instrText>
      </w:r>
      <w:r>
        <w:rPr>
          <w:noProof/>
        </w:rPr>
        <w:fldChar w:fldCharType="separate"/>
      </w:r>
      <w:r w:rsidR="00B833F1">
        <w:rPr>
          <w:noProof/>
        </w:rPr>
        <w:instrText>8</w:instrText>
      </w:r>
      <w:r>
        <w:rPr>
          <w:noProof/>
        </w:rPr>
        <w:fldChar w:fldCharType="end"/>
      </w:r>
      <w:r w:rsidRPr="00251244">
        <w:instrText xml:space="preserve">." </w:instrText>
      </w:r>
      <w:r w:rsidRPr="00251244">
        <w:fldChar w:fldCharType="separate"/>
      </w:r>
      <w:r w:rsidR="00B833F1">
        <w:rPr>
          <w:noProof/>
        </w:rPr>
        <w:instrText>8</w:instrText>
      </w:r>
      <w:r w:rsidR="00B833F1" w:rsidRPr="00251244">
        <w:rPr>
          <w:noProof/>
        </w:rPr>
        <w:instrText>.</w:instrText>
      </w:r>
      <w:r w:rsidRPr="00251244">
        <w:fldChar w:fldCharType="end"/>
      </w:r>
      <w:r w:rsidRPr="00251244">
        <w:instrText>" "</w:instrText>
      </w:r>
      <w:r w:rsidR="001F6F43">
        <w:fldChar w:fldCharType="begin"/>
      </w:r>
      <w:r w:rsidR="001F6F43">
        <w:instrText xml:space="preserve"> STYLEREF "Heading 6" \l \n </w:instrText>
      </w:r>
      <w:r w:rsidR="001F6F43">
        <w:fldChar w:fldCharType="separate"/>
      </w:r>
      <w:r w:rsidRPr="00251244">
        <w:instrText>B</w:instrText>
      </w:r>
      <w:r w:rsidR="001F6F43">
        <w:fldChar w:fldCharType="end"/>
      </w:r>
      <w:r w:rsidRPr="00251244">
        <w:instrText xml:space="preserve">." </w:instrText>
      </w:r>
      <w:r w:rsidRPr="00251244">
        <w:fldChar w:fldCharType="separate"/>
      </w:r>
      <w:r w:rsidR="00EA42ED">
        <w:rPr>
          <w:noProof/>
        </w:rPr>
        <w:instrText>8</w:instrText>
      </w:r>
      <w:r w:rsidR="00EA42ED" w:rsidRPr="00251244">
        <w:rPr>
          <w:noProof/>
        </w:rPr>
        <w:instrText>.</w:instrText>
      </w:r>
      <w:r w:rsidRPr="00251244">
        <w:fldChar w:fldCharType="end"/>
      </w:r>
      <w:r w:rsidRPr="00251244">
        <w:fldChar w:fldCharType="begin"/>
      </w:r>
      <w:r w:rsidRPr="00251244">
        <w:instrText xml:space="preserve"> SEQ Item \* ARABIC \s </w:instrText>
      </w:r>
      <w:r w:rsidRPr="00251244">
        <w:fldChar w:fldCharType="begin"/>
      </w:r>
      <w:r w:rsidRPr="00251244">
        <w:instrText xml:space="preserve"> IF </w:instrText>
      </w:r>
      <w:r>
        <w:rPr>
          <w:noProof/>
        </w:rPr>
        <w:fldChar w:fldCharType="begin"/>
      </w:r>
      <w:r>
        <w:rPr>
          <w:noProof/>
        </w:rPr>
        <w:instrText xml:space="preserve"> STYLEREF "Heading 6" \l \n </w:instrText>
      </w:r>
      <w:r>
        <w:rPr>
          <w:noProof/>
        </w:rPr>
        <w:fldChar w:fldCharType="separate"/>
      </w:r>
      <w:r w:rsidR="00B833F1">
        <w:rPr>
          <w:noProof/>
        </w:rPr>
        <w:instrText>0</w:instrText>
      </w:r>
      <w:r>
        <w:rPr>
          <w:noProof/>
        </w:rPr>
        <w:fldChar w:fldCharType="end"/>
      </w:r>
      <w:r w:rsidRPr="00251244">
        <w:instrText xml:space="preserve"> = 0 "</w:instrText>
      </w:r>
      <w:r w:rsidRPr="00251244">
        <w:fldChar w:fldCharType="begin"/>
      </w:r>
      <w:r w:rsidRPr="00251244">
        <w:instrText xml:space="preserve"> IF </w:instrText>
      </w:r>
      <w:r>
        <w:rPr>
          <w:noProof/>
        </w:rPr>
        <w:fldChar w:fldCharType="begin"/>
      </w:r>
      <w:r>
        <w:rPr>
          <w:noProof/>
        </w:rPr>
        <w:instrText xml:space="preserve"> STYLEREF "Heading 1" \l \n </w:instrText>
      </w:r>
      <w:r>
        <w:rPr>
          <w:noProof/>
        </w:rPr>
        <w:fldChar w:fldCharType="separate"/>
      </w:r>
      <w:r w:rsidR="00B833F1">
        <w:rPr>
          <w:noProof/>
        </w:rPr>
        <w:instrText>8</w:instrText>
      </w:r>
      <w:r>
        <w:rPr>
          <w:noProof/>
        </w:rPr>
        <w:fldChar w:fldCharType="end"/>
      </w:r>
      <w:r w:rsidRPr="00251244">
        <w:instrText xml:space="preserve"> = 0 "" "1" </w:instrText>
      </w:r>
      <w:r w:rsidRPr="00251244">
        <w:fldChar w:fldCharType="separate"/>
      </w:r>
      <w:r w:rsidR="00EA42ED" w:rsidRPr="00251244">
        <w:rPr>
          <w:noProof/>
        </w:rPr>
        <w:instrText>1</w:instrText>
      </w:r>
      <w:r w:rsidRPr="00251244">
        <w:fldChar w:fldCharType="end"/>
      </w:r>
      <w:r w:rsidRPr="00251244">
        <w:instrText xml:space="preserve">" "6" </w:instrText>
      </w:r>
      <w:r w:rsidRPr="00251244">
        <w:fldChar w:fldCharType="separate"/>
      </w:r>
      <w:r w:rsidR="00EA42ED" w:rsidRPr="00251244">
        <w:rPr>
          <w:noProof/>
        </w:rPr>
        <w:instrText>1</w:instrText>
      </w:r>
      <w:r w:rsidRPr="00251244">
        <w:fldChar w:fldCharType="end"/>
      </w:r>
      <w:r w:rsidRPr="00251244">
        <w:instrText xml:space="preserve"> </w:instrText>
      </w:r>
      <w:r w:rsidRPr="00251244">
        <w:fldChar w:fldCharType="separate"/>
      </w:r>
      <w:r w:rsidR="00B833F1">
        <w:rPr>
          <w:noProof/>
        </w:rPr>
        <w:instrText>14</w:instrText>
      </w:r>
      <w:r w:rsidRPr="00251244">
        <w:fldChar w:fldCharType="end"/>
      </w:r>
      <w:r w:rsidRPr="00251244">
        <w:instrText xml:space="preserve">" "" </w:instrText>
      </w:r>
      <w:r w:rsidRPr="00251244">
        <w:fldChar w:fldCharType="separate"/>
      </w:r>
      <w:bookmarkStart w:id="3960" w:name="_Caption2664"/>
      <w:bookmarkStart w:id="3961" w:name="_Caption6086"/>
      <w:bookmarkStart w:id="3962" w:name="_Caption8433"/>
      <w:bookmarkStart w:id="3963" w:name="_Caption1262"/>
      <w:bookmarkStart w:id="3964" w:name="_Caption2074"/>
      <w:bookmarkStart w:id="3965" w:name="_Toc529869953"/>
      <w:bookmarkStart w:id="3966" w:name="_Toc530748449"/>
      <w:r w:rsidR="00EA42ED">
        <w:rPr>
          <w:noProof/>
        </w:rPr>
        <w:t>8</w:t>
      </w:r>
      <w:r w:rsidR="00EA42ED" w:rsidRPr="00251244">
        <w:rPr>
          <w:noProof/>
        </w:rPr>
        <w:t>.</w:t>
      </w:r>
      <w:r w:rsidR="00EA42ED">
        <w:rPr>
          <w:noProof/>
        </w:rPr>
        <w:t>14</w:t>
      </w:r>
      <w:bookmarkEnd w:id="3960"/>
      <w:bookmarkEnd w:id="3961"/>
      <w:bookmarkEnd w:id="3962"/>
      <w:bookmarkEnd w:id="3963"/>
      <w:bookmarkEnd w:id="3964"/>
      <w:r w:rsidRPr="00251244">
        <w:fldChar w:fldCharType="end"/>
      </w:r>
      <w:r w:rsidRPr="00251244">
        <w:tab/>
        <w:t>Net benefit/costs of proposed changes to the NCC</w:t>
      </w:r>
      <w:bookmarkEnd w:id="3965"/>
      <w:bookmarkEnd w:id="3966"/>
    </w:p>
    <w:tbl>
      <w:tblPr>
        <w:tblW w:w="8080" w:type="dxa"/>
        <w:tblLayout w:type="fixed"/>
        <w:tblLook w:val="0000" w:firstRow="0" w:lastRow="0" w:firstColumn="0" w:lastColumn="0" w:noHBand="0" w:noVBand="0"/>
        <w:tblCaption w:val="Table 8.14: Net benefit/costs of proposed changes to the NCC"/>
        <w:tblDescription w:val="This table summarises the costs and benefits of proposed changes to the NCC in Net Present Value terms. The estimated benefits of the proposed changes range from $770 milion to $2 billion. "/>
      </w:tblPr>
      <w:tblGrid>
        <w:gridCol w:w="1616"/>
        <w:gridCol w:w="709"/>
        <w:gridCol w:w="709"/>
        <w:gridCol w:w="709"/>
        <w:gridCol w:w="709"/>
        <w:gridCol w:w="709"/>
        <w:gridCol w:w="709"/>
        <w:gridCol w:w="709"/>
        <w:gridCol w:w="709"/>
        <w:gridCol w:w="792"/>
      </w:tblGrid>
      <w:tr w:rsidR="00406AD8" w:rsidTr="00C045C7">
        <w:trPr>
          <w:trHeight w:val="230"/>
          <w:tblHeader/>
        </w:trPr>
        <w:tc>
          <w:tcPr>
            <w:tcW w:w="1616" w:type="dxa"/>
            <w:shd w:val="clear" w:color="auto" w:fill="6F6652"/>
            <w:tcMar>
              <w:left w:w="57" w:type="dxa"/>
              <w:right w:w="57" w:type="dxa"/>
            </w:tcMar>
          </w:tcPr>
          <w:p w:rsidR="00406AD8" w:rsidRDefault="00406AD8" w:rsidP="00C045C7">
            <w:pPr>
              <w:pStyle w:val="TableDataColumnHeading"/>
              <w:jc w:val="left"/>
              <w:rPr>
                <w:lang w:val="en-GB"/>
              </w:rPr>
            </w:pPr>
          </w:p>
        </w:tc>
        <w:tc>
          <w:tcPr>
            <w:tcW w:w="709" w:type="dxa"/>
            <w:shd w:val="clear" w:color="auto" w:fill="6F6652"/>
            <w:tcMar>
              <w:left w:w="57" w:type="dxa"/>
              <w:right w:w="57" w:type="dxa"/>
            </w:tcMar>
          </w:tcPr>
          <w:p w:rsidR="00406AD8" w:rsidRDefault="00406AD8" w:rsidP="00C045C7">
            <w:pPr>
              <w:pStyle w:val="TableDataColumnHeading"/>
              <w:rPr>
                <w:lang w:val="en-GB"/>
              </w:rPr>
            </w:pPr>
            <w:r>
              <w:rPr>
                <w:lang w:val="en-GB"/>
              </w:rPr>
              <w:t>NSW</w:t>
            </w:r>
          </w:p>
        </w:tc>
        <w:tc>
          <w:tcPr>
            <w:tcW w:w="709" w:type="dxa"/>
            <w:shd w:val="clear" w:color="auto" w:fill="6F6652"/>
            <w:tcMar>
              <w:left w:w="57" w:type="dxa"/>
              <w:right w:w="57" w:type="dxa"/>
            </w:tcMar>
          </w:tcPr>
          <w:p w:rsidR="00406AD8" w:rsidRDefault="00406AD8" w:rsidP="00C045C7">
            <w:pPr>
              <w:pStyle w:val="TableDataColumnHeading"/>
              <w:rPr>
                <w:lang w:val="en-GB"/>
              </w:rPr>
            </w:pPr>
            <w:r>
              <w:rPr>
                <w:lang w:val="en-GB"/>
              </w:rPr>
              <w:t>Vic</w:t>
            </w:r>
          </w:p>
        </w:tc>
        <w:tc>
          <w:tcPr>
            <w:tcW w:w="709" w:type="dxa"/>
            <w:shd w:val="clear" w:color="auto" w:fill="6F6652"/>
            <w:tcMar>
              <w:left w:w="57" w:type="dxa"/>
              <w:right w:w="57" w:type="dxa"/>
            </w:tcMar>
          </w:tcPr>
          <w:p w:rsidR="00406AD8" w:rsidRDefault="00406AD8" w:rsidP="00C045C7">
            <w:pPr>
              <w:pStyle w:val="TableDataColumnHeading"/>
              <w:rPr>
                <w:lang w:val="en-GB"/>
              </w:rPr>
            </w:pPr>
            <w:r>
              <w:rPr>
                <w:lang w:val="en-GB"/>
              </w:rPr>
              <w:t>Qld</w:t>
            </w:r>
          </w:p>
        </w:tc>
        <w:tc>
          <w:tcPr>
            <w:tcW w:w="709" w:type="dxa"/>
            <w:shd w:val="clear" w:color="auto" w:fill="6F6652"/>
            <w:tcMar>
              <w:left w:w="57" w:type="dxa"/>
              <w:right w:w="57" w:type="dxa"/>
            </w:tcMar>
          </w:tcPr>
          <w:p w:rsidR="00406AD8" w:rsidRDefault="00406AD8" w:rsidP="00C045C7">
            <w:pPr>
              <w:pStyle w:val="TableDataColumnHeading"/>
              <w:rPr>
                <w:lang w:val="en-GB"/>
              </w:rPr>
            </w:pPr>
            <w:r>
              <w:rPr>
                <w:lang w:val="en-GB"/>
              </w:rPr>
              <w:t>SA</w:t>
            </w:r>
          </w:p>
        </w:tc>
        <w:tc>
          <w:tcPr>
            <w:tcW w:w="709" w:type="dxa"/>
            <w:shd w:val="clear" w:color="auto" w:fill="6F6652"/>
            <w:tcMar>
              <w:left w:w="57" w:type="dxa"/>
              <w:right w:w="57" w:type="dxa"/>
            </w:tcMar>
          </w:tcPr>
          <w:p w:rsidR="00406AD8" w:rsidRDefault="00406AD8" w:rsidP="00C045C7">
            <w:pPr>
              <w:pStyle w:val="TableDataColumnHeading"/>
              <w:rPr>
                <w:lang w:val="en-GB"/>
              </w:rPr>
            </w:pPr>
            <w:r>
              <w:rPr>
                <w:lang w:val="en-GB"/>
              </w:rPr>
              <w:t>WA</w:t>
            </w:r>
          </w:p>
        </w:tc>
        <w:tc>
          <w:tcPr>
            <w:tcW w:w="709" w:type="dxa"/>
            <w:shd w:val="clear" w:color="auto" w:fill="6F6652"/>
            <w:tcMar>
              <w:left w:w="57" w:type="dxa"/>
              <w:right w:w="57" w:type="dxa"/>
            </w:tcMar>
          </w:tcPr>
          <w:p w:rsidR="00406AD8" w:rsidRDefault="00406AD8" w:rsidP="00C045C7">
            <w:pPr>
              <w:pStyle w:val="TableDataColumnHeading"/>
              <w:rPr>
                <w:lang w:val="en-GB"/>
              </w:rPr>
            </w:pPr>
            <w:r>
              <w:rPr>
                <w:lang w:val="en-GB"/>
              </w:rPr>
              <w:t>Tas</w:t>
            </w:r>
          </w:p>
        </w:tc>
        <w:tc>
          <w:tcPr>
            <w:tcW w:w="709" w:type="dxa"/>
            <w:shd w:val="clear" w:color="auto" w:fill="6F6652"/>
            <w:tcMar>
              <w:left w:w="57" w:type="dxa"/>
              <w:right w:w="57" w:type="dxa"/>
            </w:tcMar>
          </w:tcPr>
          <w:p w:rsidR="00406AD8" w:rsidRDefault="00406AD8" w:rsidP="00C045C7">
            <w:pPr>
              <w:pStyle w:val="TableDataColumnHeading"/>
              <w:rPr>
                <w:lang w:val="en-GB"/>
              </w:rPr>
            </w:pPr>
            <w:r>
              <w:rPr>
                <w:lang w:val="en-GB"/>
              </w:rPr>
              <w:t>ACT</w:t>
            </w:r>
          </w:p>
        </w:tc>
        <w:tc>
          <w:tcPr>
            <w:tcW w:w="709" w:type="dxa"/>
            <w:shd w:val="clear" w:color="auto" w:fill="6F6652"/>
            <w:tcMar>
              <w:left w:w="57" w:type="dxa"/>
              <w:right w:w="57" w:type="dxa"/>
            </w:tcMar>
          </w:tcPr>
          <w:p w:rsidR="00406AD8" w:rsidRDefault="00406AD8" w:rsidP="00C045C7">
            <w:pPr>
              <w:pStyle w:val="TableDataColumnHeading"/>
              <w:rPr>
                <w:lang w:val="en-GB"/>
              </w:rPr>
            </w:pPr>
            <w:r>
              <w:rPr>
                <w:lang w:val="en-GB"/>
              </w:rPr>
              <w:t>NT</w:t>
            </w:r>
          </w:p>
        </w:tc>
        <w:tc>
          <w:tcPr>
            <w:tcW w:w="792" w:type="dxa"/>
            <w:shd w:val="clear" w:color="auto" w:fill="6F6652"/>
            <w:tcMar>
              <w:left w:w="57" w:type="dxa"/>
              <w:right w:w="57" w:type="dxa"/>
            </w:tcMar>
          </w:tcPr>
          <w:p w:rsidR="00406AD8" w:rsidRDefault="00406AD8" w:rsidP="00C045C7">
            <w:pPr>
              <w:pStyle w:val="TableDataColumnHeading"/>
              <w:rPr>
                <w:lang w:val="en-GB"/>
              </w:rPr>
            </w:pPr>
            <w:r>
              <w:rPr>
                <w:lang w:val="en-GB"/>
              </w:rPr>
              <w:t>Total</w:t>
            </w:r>
          </w:p>
        </w:tc>
      </w:tr>
      <w:tr w:rsidR="00406AD8" w:rsidTr="00C045C7">
        <w:trPr>
          <w:trHeight w:val="230"/>
          <w:tblHeader/>
        </w:trPr>
        <w:tc>
          <w:tcPr>
            <w:tcW w:w="1616" w:type="dxa"/>
            <w:tcBorders>
              <w:bottom w:val="single" w:sz="8" w:space="0" w:color="FFFFFF" w:themeColor="background1"/>
            </w:tcBorders>
            <w:shd w:val="clear" w:color="auto" w:fill="auto"/>
            <w:tcMar>
              <w:left w:w="57" w:type="dxa"/>
              <w:right w:w="57" w:type="dxa"/>
            </w:tcMar>
          </w:tcPr>
          <w:p w:rsidR="00406AD8" w:rsidRDefault="00406AD8" w:rsidP="00C045C7">
            <w:pPr>
              <w:pStyle w:val="TableUnit"/>
              <w:jc w:val="left"/>
              <w:rPr>
                <w:lang w:val="en-GB"/>
              </w:rPr>
            </w:pPr>
          </w:p>
        </w:tc>
        <w:tc>
          <w:tcPr>
            <w:tcW w:w="709" w:type="dxa"/>
            <w:tcBorders>
              <w:bottom w:val="single" w:sz="8" w:space="0" w:color="FFFFFF" w:themeColor="background1"/>
            </w:tcBorders>
            <w:shd w:val="clear" w:color="auto" w:fill="auto"/>
            <w:tcMar>
              <w:left w:w="57" w:type="dxa"/>
              <w:right w:w="57" w:type="dxa"/>
            </w:tcMar>
          </w:tcPr>
          <w:p w:rsidR="00406AD8" w:rsidRDefault="00406AD8" w:rsidP="00C045C7">
            <w:pPr>
              <w:pStyle w:val="TableUnit"/>
              <w:rPr>
                <w:lang w:val="en-GB"/>
              </w:rPr>
            </w:pPr>
            <w:r>
              <w:rPr>
                <w:lang w:val="en-GB"/>
              </w:rPr>
              <w:t>$ million</w:t>
            </w:r>
          </w:p>
        </w:tc>
        <w:tc>
          <w:tcPr>
            <w:tcW w:w="709" w:type="dxa"/>
            <w:tcBorders>
              <w:bottom w:val="single" w:sz="8" w:space="0" w:color="FFFFFF" w:themeColor="background1"/>
            </w:tcBorders>
            <w:shd w:val="clear" w:color="auto" w:fill="auto"/>
            <w:tcMar>
              <w:left w:w="57" w:type="dxa"/>
              <w:right w:w="57" w:type="dxa"/>
            </w:tcMar>
          </w:tcPr>
          <w:p w:rsidR="00406AD8" w:rsidRDefault="00406AD8" w:rsidP="00C045C7">
            <w:pPr>
              <w:pStyle w:val="TableUnit"/>
              <w:rPr>
                <w:lang w:val="en-GB"/>
              </w:rPr>
            </w:pPr>
            <w:r>
              <w:rPr>
                <w:lang w:val="en-GB"/>
              </w:rPr>
              <w:t>$ million</w:t>
            </w:r>
          </w:p>
        </w:tc>
        <w:tc>
          <w:tcPr>
            <w:tcW w:w="709" w:type="dxa"/>
            <w:tcBorders>
              <w:bottom w:val="single" w:sz="8" w:space="0" w:color="FFFFFF" w:themeColor="background1"/>
            </w:tcBorders>
            <w:shd w:val="clear" w:color="auto" w:fill="auto"/>
            <w:tcMar>
              <w:left w:w="57" w:type="dxa"/>
              <w:right w:w="57" w:type="dxa"/>
            </w:tcMar>
          </w:tcPr>
          <w:p w:rsidR="00406AD8" w:rsidRDefault="00406AD8" w:rsidP="00C045C7">
            <w:pPr>
              <w:pStyle w:val="TableUnit"/>
              <w:rPr>
                <w:lang w:val="en-GB"/>
              </w:rPr>
            </w:pPr>
            <w:r>
              <w:rPr>
                <w:lang w:val="en-GB"/>
              </w:rPr>
              <w:t>$ million</w:t>
            </w:r>
          </w:p>
        </w:tc>
        <w:tc>
          <w:tcPr>
            <w:tcW w:w="709" w:type="dxa"/>
            <w:tcBorders>
              <w:bottom w:val="single" w:sz="8" w:space="0" w:color="FFFFFF" w:themeColor="background1"/>
            </w:tcBorders>
            <w:shd w:val="clear" w:color="auto" w:fill="auto"/>
            <w:tcMar>
              <w:left w:w="57" w:type="dxa"/>
              <w:right w:w="57" w:type="dxa"/>
            </w:tcMar>
          </w:tcPr>
          <w:p w:rsidR="00406AD8" w:rsidRDefault="00406AD8" w:rsidP="00C045C7">
            <w:pPr>
              <w:pStyle w:val="TableUnit"/>
              <w:rPr>
                <w:lang w:val="en-GB"/>
              </w:rPr>
            </w:pPr>
            <w:r>
              <w:rPr>
                <w:lang w:val="en-GB"/>
              </w:rPr>
              <w:t>$ million</w:t>
            </w:r>
          </w:p>
        </w:tc>
        <w:tc>
          <w:tcPr>
            <w:tcW w:w="709" w:type="dxa"/>
            <w:tcBorders>
              <w:bottom w:val="single" w:sz="8" w:space="0" w:color="FFFFFF" w:themeColor="background1"/>
            </w:tcBorders>
            <w:shd w:val="clear" w:color="auto" w:fill="auto"/>
            <w:tcMar>
              <w:left w:w="57" w:type="dxa"/>
              <w:right w:w="57" w:type="dxa"/>
            </w:tcMar>
          </w:tcPr>
          <w:p w:rsidR="00406AD8" w:rsidRDefault="00406AD8" w:rsidP="00C045C7">
            <w:pPr>
              <w:pStyle w:val="TableUnit"/>
              <w:rPr>
                <w:lang w:val="en-GB"/>
              </w:rPr>
            </w:pPr>
            <w:r>
              <w:rPr>
                <w:lang w:val="en-GB"/>
              </w:rPr>
              <w:t>$ million</w:t>
            </w:r>
          </w:p>
        </w:tc>
        <w:tc>
          <w:tcPr>
            <w:tcW w:w="709" w:type="dxa"/>
            <w:tcBorders>
              <w:bottom w:val="single" w:sz="8" w:space="0" w:color="FFFFFF" w:themeColor="background1"/>
            </w:tcBorders>
            <w:shd w:val="clear" w:color="auto" w:fill="auto"/>
            <w:tcMar>
              <w:left w:w="57" w:type="dxa"/>
              <w:right w:w="57" w:type="dxa"/>
            </w:tcMar>
          </w:tcPr>
          <w:p w:rsidR="00406AD8" w:rsidRDefault="00406AD8" w:rsidP="00C045C7">
            <w:pPr>
              <w:pStyle w:val="TableUnit"/>
              <w:rPr>
                <w:lang w:val="en-GB"/>
              </w:rPr>
            </w:pPr>
            <w:r>
              <w:rPr>
                <w:lang w:val="en-GB"/>
              </w:rPr>
              <w:t>$ million</w:t>
            </w:r>
          </w:p>
        </w:tc>
        <w:tc>
          <w:tcPr>
            <w:tcW w:w="709" w:type="dxa"/>
            <w:tcBorders>
              <w:bottom w:val="single" w:sz="8" w:space="0" w:color="FFFFFF" w:themeColor="background1"/>
            </w:tcBorders>
            <w:shd w:val="clear" w:color="auto" w:fill="auto"/>
            <w:tcMar>
              <w:left w:w="57" w:type="dxa"/>
              <w:right w:w="57" w:type="dxa"/>
            </w:tcMar>
          </w:tcPr>
          <w:p w:rsidR="00406AD8" w:rsidRDefault="00406AD8" w:rsidP="00C045C7">
            <w:pPr>
              <w:pStyle w:val="TableUnit"/>
              <w:rPr>
                <w:lang w:val="en-GB"/>
              </w:rPr>
            </w:pPr>
            <w:r>
              <w:rPr>
                <w:lang w:val="en-GB"/>
              </w:rPr>
              <w:t>$ million</w:t>
            </w:r>
          </w:p>
        </w:tc>
        <w:tc>
          <w:tcPr>
            <w:tcW w:w="709" w:type="dxa"/>
            <w:tcBorders>
              <w:bottom w:val="single" w:sz="8" w:space="0" w:color="FFFFFF" w:themeColor="background1"/>
            </w:tcBorders>
            <w:shd w:val="clear" w:color="auto" w:fill="auto"/>
            <w:tcMar>
              <w:left w:w="57" w:type="dxa"/>
              <w:right w:w="57" w:type="dxa"/>
            </w:tcMar>
          </w:tcPr>
          <w:p w:rsidR="00406AD8" w:rsidRDefault="00406AD8" w:rsidP="00C045C7">
            <w:pPr>
              <w:pStyle w:val="TableUnit"/>
              <w:rPr>
                <w:lang w:val="en-GB"/>
              </w:rPr>
            </w:pPr>
            <w:r>
              <w:rPr>
                <w:lang w:val="en-GB"/>
              </w:rPr>
              <w:t>$ million</w:t>
            </w:r>
          </w:p>
        </w:tc>
        <w:tc>
          <w:tcPr>
            <w:tcW w:w="792" w:type="dxa"/>
            <w:tcBorders>
              <w:bottom w:val="single" w:sz="8" w:space="0" w:color="FFFFFF" w:themeColor="background1"/>
            </w:tcBorders>
            <w:shd w:val="clear" w:color="auto" w:fill="auto"/>
            <w:tcMar>
              <w:left w:w="57" w:type="dxa"/>
              <w:right w:w="57" w:type="dxa"/>
            </w:tcMar>
          </w:tcPr>
          <w:p w:rsidR="00406AD8" w:rsidRDefault="00406AD8" w:rsidP="00C045C7">
            <w:pPr>
              <w:pStyle w:val="TableUnit"/>
              <w:rPr>
                <w:lang w:val="en-GB"/>
              </w:rPr>
            </w:pPr>
            <w:r>
              <w:rPr>
                <w:lang w:val="en-GB"/>
              </w:rPr>
              <w:t>$ million</w:t>
            </w:r>
          </w:p>
        </w:tc>
      </w:tr>
      <w:tr w:rsidR="00406AD8" w:rsidTr="00C045C7">
        <w:trPr>
          <w:trHeight w:val="230"/>
        </w:trPr>
        <w:tc>
          <w:tcPr>
            <w:tcW w:w="8080" w:type="dxa"/>
            <w:gridSpan w:val="10"/>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406AD8" w:rsidRDefault="00406AD8" w:rsidP="00C045C7">
            <w:pPr>
              <w:pStyle w:val="TableHeading1"/>
            </w:pPr>
            <w:r>
              <w:rPr>
                <w:lang w:val="en-GB"/>
              </w:rPr>
              <w:t>Low realisation scenario</w:t>
            </w:r>
          </w:p>
        </w:tc>
      </w:tr>
      <w:tr w:rsidR="00714BC2" w:rsidTr="00C045C7">
        <w:trPr>
          <w:trHeight w:val="230"/>
        </w:trPr>
        <w:tc>
          <w:tcPr>
            <w:tcW w:w="161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714BC2" w:rsidRDefault="00714BC2" w:rsidP="00714BC2">
            <w:pPr>
              <w:pStyle w:val="TableDataEntries"/>
              <w:jc w:val="left"/>
              <w:rPr>
                <w:lang w:val="en-GB"/>
              </w:rPr>
            </w:pPr>
            <w:r>
              <w:rPr>
                <w:lang w:val="en-GB"/>
              </w:rPr>
              <w:t>Lifetime energy savings</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714BC2" w:rsidRPr="008D1885" w:rsidRDefault="00714BC2" w:rsidP="009B5546">
            <w:pPr>
              <w:pStyle w:val="TableDataEntries"/>
            </w:pPr>
            <w:r>
              <w:t xml:space="preserve"> 352.8</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714BC2" w:rsidRPr="008D1885" w:rsidRDefault="00714BC2" w:rsidP="009B5546">
            <w:pPr>
              <w:pStyle w:val="TableDataEntries"/>
            </w:pPr>
            <w:r>
              <w:t xml:space="preserve"> 301.2</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714BC2" w:rsidRPr="008D1885" w:rsidRDefault="00714BC2" w:rsidP="009B5546">
            <w:pPr>
              <w:pStyle w:val="TableDataEntries"/>
            </w:pPr>
            <w:r>
              <w:t xml:space="preserve"> 339.9</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714BC2" w:rsidRPr="008D1885" w:rsidRDefault="00714BC2" w:rsidP="009B5546">
            <w:pPr>
              <w:pStyle w:val="TableDataEntries"/>
            </w:pPr>
            <w:r>
              <w:t xml:space="preserve"> 77.6</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714BC2" w:rsidRPr="008D1885" w:rsidRDefault="00714BC2" w:rsidP="009B5546">
            <w:pPr>
              <w:pStyle w:val="TableDataEntries"/>
            </w:pPr>
            <w:r>
              <w:t xml:space="preserve"> 186.4</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714BC2" w:rsidRPr="008D1885" w:rsidRDefault="00714BC2" w:rsidP="009B5546">
            <w:pPr>
              <w:pStyle w:val="TableDataEntries"/>
            </w:pPr>
            <w:r>
              <w:t xml:space="preserve"> 12.0</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714BC2" w:rsidRPr="008D1885" w:rsidRDefault="00714BC2" w:rsidP="009B5546">
            <w:pPr>
              <w:pStyle w:val="TableDataEntries"/>
            </w:pPr>
            <w:r>
              <w:t xml:space="preserve"> 17.4</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714BC2" w:rsidRPr="008D1885" w:rsidRDefault="00714BC2" w:rsidP="009B5546">
            <w:pPr>
              <w:pStyle w:val="TableDataEntries"/>
            </w:pPr>
            <w:r>
              <w:t xml:space="preserve"> 23.5</w:t>
            </w:r>
          </w:p>
        </w:tc>
        <w:tc>
          <w:tcPr>
            <w:tcW w:w="79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714BC2" w:rsidRPr="008D1885" w:rsidRDefault="00714BC2" w:rsidP="009B5546">
            <w:pPr>
              <w:pStyle w:val="TableDataEntries"/>
            </w:pPr>
            <w:r>
              <w:t>1 310.8</w:t>
            </w:r>
          </w:p>
        </w:tc>
      </w:tr>
      <w:tr w:rsidR="00714BC2" w:rsidTr="00C045C7">
        <w:trPr>
          <w:trHeight w:val="230"/>
        </w:trPr>
        <w:tc>
          <w:tcPr>
            <w:tcW w:w="161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714BC2" w:rsidRDefault="00714BC2" w:rsidP="00714BC2">
            <w:pPr>
              <w:pStyle w:val="TableDataEntries"/>
              <w:jc w:val="left"/>
              <w:rPr>
                <w:lang w:val="en-GB"/>
              </w:rPr>
            </w:pPr>
            <w:r>
              <w:rPr>
                <w:lang w:val="en-GB"/>
              </w:rPr>
              <w:t>Compliance costs</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714BC2" w:rsidRPr="008D1885" w:rsidRDefault="00714BC2" w:rsidP="009B5546">
            <w:pPr>
              <w:pStyle w:val="TableDataEntries"/>
            </w:pPr>
            <w:r>
              <w:t>- 172.3</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714BC2" w:rsidRPr="008D1885" w:rsidRDefault="00714BC2" w:rsidP="009B5546">
            <w:pPr>
              <w:pStyle w:val="TableDataEntries"/>
            </w:pPr>
            <w:r>
              <w:t>- 121.5</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714BC2" w:rsidRPr="008D1885" w:rsidRDefault="00714BC2" w:rsidP="009B5546">
            <w:pPr>
              <w:pStyle w:val="TableDataEntries"/>
            </w:pPr>
            <w:r>
              <w:t>- 93.4</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714BC2" w:rsidRPr="008D1885" w:rsidRDefault="00714BC2" w:rsidP="009B5546">
            <w:pPr>
              <w:pStyle w:val="TableDataEntries"/>
            </w:pPr>
            <w:r>
              <w:t>- 36.9</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714BC2" w:rsidRPr="008D1885" w:rsidRDefault="00714BC2" w:rsidP="009B5546">
            <w:pPr>
              <w:pStyle w:val="TableDataEntries"/>
            </w:pPr>
            <w:r>
              <w:t>- 81.5</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714BC2" w:rsidRPr="008D1885" w:rsidRDefault="00714BC2" w:rsidP="009B5546">
            <w:pPr>
              <w:pStyle w:val="TableDataEntries"/>
            </w:pPr>
            <w:r>
              <w:t>- 9.4</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714BC2" w:rsidRPr="008D1885" w:rsidRDefault="00714BC2" w:rsidP="009B5546">
            <w:pPr>
              <w:pStyle w:val="TableDataEntries"/>
            </w:pPr>
            <w:r>
              <w:t>- 10.8</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714BC2" w:rsidRPr="008D1885" w:rsidRDefault="00714BC2" w:rsidP="009B5546">
            <w:pPr>
              <w:pStyle w:val="TableDataEntries"/>
            </w:pPr>
            <w:r>
              <w:t>- 2.4</w:t>
            </w:r>
          </w:p>
        </w:tc>
        <w:tc>
          <w:tcPr>
            <w:tcW w:w="79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714BC2" w:rsidRPr="008D1885" w:rsidRDefault="00714BC2" w:rsidP="009B5546">
            <w:pPr>
              <w:pStyle w:val="TableDataEntries"/>
            </w:pPr>
            <w:r>
              <w:t>- 528.2</w:t>
            </w:r>
          </w:p>
        </w:tc>
      </w:tr>
      <w:tr w:rsidR="00714BC2" w:rsidTr="00C045C7">
        <w:trPr>
          <w:trHeight w:val="230"/>
        </w:trPr>
        <w:tc>
          <w:tcPr>
            <w:tcW w:w="161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714BC2" w:rsidRDefault="00714BC2" w:rsidP="00714BC2">
            <w:pPr>
              <w:pStyle w:val="TableDataEntries"/>
              <w:jc w:val="left"/>
              <w:rPr>
                <w:lang w:val="en-GB"/>
              </w:rPr>
            </w:pPr>
            <w:r>
              <w:rPr>
                <w:lang w:val="en-GB"/>
              </w:rPr>
              <w:t>Administrative cost savings</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714BC2" w:rsidRPr="008D1885" w:rsidRDefault="00714BC2" w:rsidP="009B5546">
            <w:pPr>
              <w:pStyle w:val="TableDataEntries"/>
            </w:pPr>
            <w:r>
              <w:t xml:space="preserve"> 1.2</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714BC2" w:rsidRPr="008D1885" w:rsidRDefault="00714BC2" w:rsidP="009B5546">
            <w:pPr>
              <w:pStyle w:val="TableDataEntries"/>
            </w:pPr>
            <w:r>
              <w:t xml:space="preserve"> 1.0</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714BC2" w:rsidRPr="008D1885" w:rsidRDefault="00714BC2" w:rsidP="009B5546">
            <w:pPr>
              <w:pStyle w:val="TableDataEntries"/>
            </w:pPr>
            <w:r>
              <w:t xml:space="preserve"> 0.8</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714BC2" w:rsidRPr="008D1885" w:rsidRDefault="00714BC2" w:rsidP="009B5546">
            <w:pPr>
              <w:pStyle w:val="TableDataEntries"/>
            </w:pPr>
            <w:r>
              <w:t xml:space="preserve"> 0.2</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714BC2" w:rsidRPr="008D1885" w:rsidRDefault="00714BC2" w:rsidP="009B5546">
            <w:pPr>
              <w:pStyle w:val="TableDataEntries"/>
            </w:pPr>
            <w:r>
              <w:t xml:space="preserve"> 0.5</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714BC2" w:rsidRPr="008D1885" w:rsidRDefault="00714BC2" w:rsidP="009B5546">
            <w:pPr>
              <w:pStyle w:val="TableDataEntries"/>
            </w:pPr>
            <w:r>
              <w:t xml:space="preserve"> 0.0</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714BC2" w:rsidRPr="008D1885" w:rsidRDefault="00714BC2" w:rsidP="009B5546">
            <w:pPr>
              <w:pStyle w:val="TableDataEntries"/>
            </w:pPr>
            <w:r>
              <w:t xml:space="preserve"> 0.2</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714BC2" w:rsidRPr="008D1885" w:rsidRDefault="00714BC2" w:rsidP="009B5546">
            <w:pPr>
              <w:pStyle w:val="TableDataEntries"/>
            </w:pPr>
            <w:r>
              <w:t xml:space="preserve"> 0.0</w:t>
            </w:r>
          </w:p>
        </w:tc>
        <w:tc>
          <w:tcPr>
            <w:tcW w:w="79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714BC2" w:rsidRPr="008D1885" w:rsidRDefault="00714BC2" w:rsidP="009B5546">
            <w:pPr>
              <w:pStyle w:val="TableDataEntries"/>
            </w:pPr>
            <w:r>
              <w:t xml:space="preserve"> 3.9</w:t>
            </w:r>
          </w:p>
        </w:tc>
      </w:tr>
      <w:tr w:rsidR="00714BC2" w:rsidTr="00C045C7">
        <w:trPr>
          <w:trHeight w:val="230"/>
        </w:trPr>
        <w:tc>
          <w:tcPr>
            <w:tcW w:w="161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714BC2" w:rsidRDefault="00714BC2" w:rsidP="00714BC2">
            <w:pPr>
              <w:pStyle w:val="TableDataEntries"/>
              <w:jc w:val="left"/>
              <w:rPr>
                <w:lang w:val="en-GB"/>
              </w:rPr>
            </w:pPr>
            <w:r>
              <w:rPr>
                <w:lang w:val="en-GB"/>
              </w:rPr>
              <w:t>Industry re-training costs</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714BC2" w:rsidRPr="008D1885" w:rsidRDefault="00714BC2" w:rsidP="009B5546">
            <w:pPr>
              <w:pStyle w:val="TableDataEntries"/>
            </w:pPr>
            <w:r>
              <w:t>-5.6</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714BC2" w:rsidRPr="008D1885" w:rsidRDefault="00714BC2" w:rsidP="009B5546">
            <w:pPr>
              <w:pStyle w:val="TableDataEntries"/>
            </w:pPr>
            <w:r>
              <w:t>-4.9</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714BC2" w:rsidRPr="008D1885" w:rsidRDefault="00714BC2" w:rsidP="009B5546">
            <w:pPr>
              <w:pStyle w:val="TableDataEntries"/>
            </w:pPr>
            <w:r>
              <w:t>-2.9</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714BC2" w:rsidRPr="008D1885" w:rsidRDefault="00714BC2" w:rsidP="009B5546">
            <w:pPr>
              <w:pStyle w:val="TableDataEntries"/>
            </w:pPr>
            <w:r>
              <w:t>-0.9</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714BC2" w:rsidRPr="008D1885" w:rsidRDefault="00714BC2" w:rsidP="009B5546">
            <w:pPr>
              <w:pStyle w:val="TableDataEntries"/>
            </w:pPr>
            <w:r>
              <w:t>-1.9</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714BC2" w:rsidRPr="008D1885" w:rsidRDefault="00714BC2" w:rsidP="009B5546">
            <w:pPr>
              <w:pStyle w:val="TableDataEntries"/>
            </w:pPr>
            <w:r>
              <w:t>-0.2</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714BC2" w:rsidRPr="008D1885" w:rsidRDefault="00714BC2" w:rsidP="009B5546">
            <w:pPr>
              <w:pStyle w:val="TableDataEntries"/>
            </w:pPr>
            <w:r>
              <w:t>-0.3</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714BC2" w:rsidRPr="008D1885" w:rsidRDefault="00714BC2" w:rsidP="009B5546">
            <w:pPr>
              <w:pStyle w:val="TableDataEntries"/>
            </w:pPr>
            <w:r>
              <w:t>-0.1</w:t>
            </w:r>
          </w:p>
        </w:tc>
        <w:tc>
          <w:tcPr>
            <w:tcW w:w="79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714BC2" w:rsidRPr="008D1885" w:rsidRDefault="00714BC2" w:rsidP="009B5546">
            <w:pPr>
              <w:pStyle w:val="TableDataEntries"/>
            </w:pPr>
            <w:r>
              <w:t>-16.7</w:t>
            </w:r>
          </w:p>
        </w:tc>
      </w:tr>
      <w:tr w:rsidR="00714BC2" w:rsidTr="00C045C7">
        <w:trPr>
          <w:trHeight w:val="230"/>
        </w:trPr>
        <w:tc>
          <w:tcPr>
            <w:tcW w:w="161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714BC2" w:rsidRDefault="00714BC2" w:rsidP="00714BC2">
            <w:pPr>
              <w:pStyle w:val="TableDataEntries"/>
              <w:jc w:val="left"/>
              <w:rPr>
                <w:lang w:val="en-GB"/>
              </w:rPr>
            </w:pPr>
            <w:r>
              <w:rPr>
                <w:lang w:val="en-GB"/>
              </w:rPr>
              <w:t>Government implementation costs</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714BC2" w:rsidRPr="008D1885" w:rsidRDefault="00714BC2" w:rsidP="009B5546">
            <w:pPr>
              <w:pStyle w:val="TableDataEntries"/>
            </w:pPr>
            <w:r>
              <w:t>-0.1</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714BC2" w:rsidRPr="008D1885" w:rsidRDefault="00714BC2" w:rsidP="009B5546">
            <w:pPr>
              <w:pStyle w:val="TableDataEntries"/>
            </w:pPr>
            <w:r>
              <w:t>-0.1</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714BC2" w:rsidRPr="008D1885" w:rsidRDefault="00714BC2" w:rsidP="009B5546">
            <w:pPr>
              <w:pStyle w:val="TableDataEntries"/>
            </w:pPr>
            <w:r>
              <w:t>-0.1</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714BC2" w:rsidRPr="008D1885" w:rsidRDefault="00714BC2" w:rsidP="009B5546">
            <w:pPr>
              <w:pStyle w:val="TableDataEntries"/>
            </w:pPr>
            <w:r>
              <w:t>0.0</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714BC2" w:rsidRPr="008D1885" w:rsidRDefault="00714BC2" w:rsidP="009B5546">
            <w:pPr>
              <w:pStyle w:val="TableDataEntries"/>
            </w:pPr>
            <w:r>
              <w:t>0.0</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714BC2" w:rsidRPr="008D1885" w:rsidRDefault="00714BC2" w:rsidP="009B5546">
            <w:pPr>
              <w:pStyle w:val="TableDataEntries"/>
            </w:pPr>
            <w:r>
              <w:t>0.0</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714BC2" w:rsidRPr="008D1885" w:rsidRDefault="00714BC2" w:rsidP="009B5546">
            <w:pPr>
              <w:pStyle w:val="TableDataEntries"/>
            </w:pPr>
            <w:r>
              <w:t>0.0</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714BC2" w:rsidRPr="008D1885" w:rsidRDefault="00714BC2" w:rsidP="009B5546">
            <w:pPr>
              <w:pStyle w:val="TableDataEntries"/>
            </w:pPr>
            <w:r>
              <w:t>0.0</w:t>
            </w:r>
          </w:p>
        </w:tc>
        <w:tc>
          <w:tcPr>
            <w:tcW w:w="79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714BC2" w:rsidRPr="008D1885" w:rsidRDefault="00714BC2" w:rsidP="009B5546">
            <w:pPr>
              <w:pStyle w:val="TableDataEntries"/>
            </w:pPr>
            <w:r>
              <w:t>-0.4</w:t>
            </w:r>
          </w:p>
        </w:tc>
      </w:tr>
      <w:tr w:rsidR="00714BC2" w:rsidRPr="009B5546" w:rsidTr="00C045C7">
        <w:trPr>
          <w:trHeight w:val="230"/>
        </w:trPr>
        <w:tc>
          <w:tcPr>
            <w:tcW w:w="161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714BC2" w:rsidRPr="009B5546" w:rsidRDefault="00714BC2" w:rsidP="00714BC2">
            <w:pPr>
              <w:pStyle w:val="TableDataEntries"/>
              <w:jc w:val="left"/>
              <w:rPr>
                <w:rFonts w:ascii="Franklin Gothic Demi" w:hAnsi="Franklin Gothic Demi"/>
                <w:lang w:val="en-GB"/>
              </w:rPr>
            </w:pPr>
            <w:r w:rsidRPr="009B5546">
              <w:rPr>
                <w:rFonts w:ascii="Franklin Gothic Demi" w:hAnsi="Franklin Gothic Demi"/>
                <w:lang w:val="en-GB"/>
              </w:rPr>
              <w:t>Net impact on community</w:t>
            </w:r>
          </w:p>
        </w:tc>
        <w:tc>
          <w:tcPr>
            <w:tcW w:w="709"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714BC2" w:rsidRPr="009B5546" w:rsidRDefault="00714BC2" w:rsidP="009B5546">
            <w:pPr>
              <w:pStyle w:val="TableDataEntries"/>
              <w:rPr>
                <w:rFonts w:ascii="Franklin Gothic Demi" w:hAnsi="Franklin Gothic Demi"/>
              </w:rPr>
            </w:pPr>
            <w:r w:rsidRPr="009B5546">
              <w:rPr>
                <w:rFonts w:ascii="Franklin Gothic Demi" w:hAnsi="Franklin Gothic Demi"/>
              </w:rPr>
              <w:t xml:space="preserve"> 176.0</w:t>
            </w:r>
          </w:p>
        </w:tc>
        <w:tc>
          <w:tcPr>
            <w:tcW w:w="709"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714BC2" w:rsidRPr="009B5546" w:rsidRDefault="00714BC2" w:rsidP="009B5546">
            <w:pPr>
              <w:pStyle w:val="TableDataEntries"/>
              <w:rPr>
                <w:rFonts w:ascii="Franklin Gothic Demi" w:hAnsi="Franklin Gothic Demi"/>
              </w:rPr>
            </w:pPr>
            <w:r w:rsidRPr="009B5546">
              <w:rPr>
                <w:rFonts w:ascii="Franklin Gothic Demi" w:hAnsi="Franklin Gothic Demi"/>
              </w:rPr>
              <w:t xml:space="preserve"> 175.6</w:t>
            </w:r>
          </w:p>
        </w:tc>
        <w:tc>
          <w:tcPr>
            <w:tcW w:w="709"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714BC2" w:rsidRPr="009B5546" w:rsidRDefault="00714BC2" w:rsidP="009B5546">
            <w:pPr>
              <w:pStyle w:val="TableDataEntries"/>
              <w:rPr>
                <w:rFonts w:ascii="Franklin Gothic Demi" w:hAnsi="Franklin Gothic Demi"/>
              </w:rPr>
            </w:pPr>
            <w:r w:rsidRPr="009B5546">
              <w:rPr>
                <w:rFonts w:ascii="Franklin Gothic Demi" w:hAnsi="Franklin Gothic Demi"/>
              </w:rPr>
              <w:t xml:space="preserve"> 244.5</w:t>
            </w:r>
          </w:p>
        </w:tc>
        <w:tc>
          <w:tcPr>
            <w:tcW w:w="709"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714BC2" w:rsidRPr="009B5546" w:rsidRDefault="00714BC2" w:rsidP="009B5546">
            <w:pPr>
              <w:pStyle w:val="TableDataEntries"/>
              <w:rPr>
                <w:rFonts w:ascii="Franklin Gothic Demi" w:hAnsi="Franklin Gothic Demi"/>
              </w:rPr>
            </w:pPr>
            <w:r w:rsidRPr="009B5546">
              <w:rPr>
                <w:rFonts w:ascii="Franklin Gothic Demi" w:hAnsi="Franklin Gothic Demi"/>
              </w:rPr>
              <w:t xml:space="preserve"> 39.9</w:t>
            </w:r>
          </w:p>
        </w:tc>
        <w:tc>
          <w:tcPr>
            <w:tcW w:w="709"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714BC2" w:rsidRPr="009B5546" w:rsidRDefault="00714BC2" w:rsidP="009B5546">
            <w:pPr>
              <w:pStyle w:val="TableDataEntries"/>
              <w:rPr>
                <w:rFonts w:ascii="Franklin Gothic Demi" w:hAnsi="Franklin Gothic Demi"/>
              </w:rPr>
            </w:pPr>
            <w:r w:rsidRPr="009B5546">
              <w:rPr>
                <w:rFonts w:ascii="Franklin Gothic Demi" w:hAnsi="Franklin Gothic Demi"/>
              </w:rPr>
              <w:t xml:space="preserve"> 103.5</w:t>
            </w:r>
          </w:p>
        </w:tc>
        <w:tc>
          <w:tcPr>
            <w:tcW w:w="709"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714BC2" w:rsidRPr="009B5546" w:rsidRDefault="00714BC2" w:rsidP="009B5546">
            <w:pPr>
              <w:pStyle w:val="TableDataEntries"/>
              <w:rPr>
                <w:rFonts w:ascii="Franklin Gothic Demi" w:hAnsi="Franklin Gothic Demi"/>
              </w:rPr>
            </w:pPr>
            <w:r w:rsidRPr="009B5546">
              <w:rPr>
                <w:rFonts w:ascii="Franklin Gothic Demi" w:hAnsi="Franklin Gothic Demi"/>
              </w:rPr>
              <w:t xml:space="preserve"> 2.4</w:t>
            </w:r>
          </w:p>
        </w:tc>
        <w:tc>
          <w:tcPr>
            <w:tcW w:w="709"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714BC2" w:rsidRPr="009B5546" w:rsidRDefault="00714BC2" w:rsidP="009B5546">
            <w:pPr>
              <w:pStyle w:val="TableDataEntries"/>
              <w:rPr>
                <w:rFonts w:ascii="Franklin Gothic Demi" w:hAnsi="Franklin Gothic Demi"/>
              </w:rPr>
            </w:pPr>
            <w:r w:rsidRPr="009B5546">
              <w:rPr>
                <w:rFonts w:ascii="Franklin Gothic Demi" w:hAnsi="Franklin Gothic Demi"/>
              </w:rPr>
              <w:t xml:space="preserve"> 6.6</w:t>
            </w:r>
          </w:p>
        </w:tc>
        <w:tc>
          <w:tcPr>
            <w:tcW w:w="709"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714BC2" w:rsidRPr="009B5546" w:rsidRDefault="00714BC2" w:rsidP="009B5546">
            <w:pPr>
              <w:pStyle w:val="TableDataEntries"/>
              <w:rPr>
                <w:rFonts w:ascii="Franklin Gothic Demi" w:hAnsi="Franklin Gothic Demi"/>
              </w:rPr>
            </w:pPr>
            <w:r w:rsidRPr="009B5546">
              <w:rPr>
                <w:rFonts w:ascii="Franklin Gothic Demi" w:hAnsi="Franklin Gothic Demi"/>
              </w:rPr>
              <w:t xml:space="preserve"> 21.0</w:t>
            </w:r>
          </w:p>
        </w:tc>
        <w:tc>
          <w:tcPr>
            <w:tcW w:w="792"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714BC2" w:rsidRPr="009B5546" w:rsidRDefault="00714BC2" w:rsidP="009B5546">
            <w:pPr>
              <w:pStyle w:val="TableDataEntries"/>
              <w:rPr>
                <w:rFonts w:ascii="Franklin Gothic Demi" w:hAnsi="Franklin Gothic Demi"/>
              </w:rPr>
            </w:pPr>
            <w:r w:rsidRPr="009B5546">
              <w:rPr>
                <w:rFonts w:ascii="Franklin Gothic Demi" w:hAnsi="Franklin Gothic Demi"/>
              </w:rPr>
              <w:t xml:space="preserve"> 769.4</w:t>
            </w:r>
          </w:p>
        </w:tc>
      </w:tr>
      <w:tr w:rsidR="00714BC2" w:rsidTr="009B5546">
        <w:trPr>
          <w:trHeight w:val="230"/>
        </w:trPr>
        <w:tc>
          <w:tcPr>
            <w:tcW w:w="161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714BC2" w:rsidRDefault="00714BC2" w:rsidP="009B5546">
            <w:pPr>
              <w:pStyle w:val="TableTextEntries"/>
              <w:rPr>
                <w:lang w:val="en-GB"/>
              </w:rPr>
            </w:pPr>
            <w:r>
              <w:rPr>
                <w:lang w:val="en-GB"/>
              </w:rPr>
              <w:t>GHG savings</w:t>
            </w:r>
            <w:r w:rsidRPr="00EE6C8D">
              <w:rPr>
                <w:rStyle w:val="NoteLabel"/>
              </w:rPr>
              <w:t>a</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714BC2" w:rsidRPr="008D1885" w:rsidRDefault="00714BC2" w:rsidP="009B5546">
            <w:pPr>
              <w:pStyle w:val="TableDataEntries"/>
            </w:pPr>
            <w:r>
              <w:t xml:space="preserve"> 97.7</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714BC2" w:rsidRPr="008D1885" w:rsidRDefault="00714BC2" w:rsidP="009B5546">
            <w:pPr>
              <w:pStyle w:val="TableDataEntries"/>
            </w:pPr>
            <w:r>
              <w:t xml:space="preserve"> 101.8</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714BC2" w:rsidRPr="008D1885" w:rsidRDefault="00714BC2" w:rsidP="009B5546">
            <w:pPr>
              <w:pStyle w:val="TableDataEntries"/>
            </w:pPr>
            <w:r>
              <w:t xml:space="preserve"> 99.9</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714BC2" w:rsidRPr="008D1885" w:rsidRDefault="00714BC2" w:rsidP="009B5546">
            <w:pPr>
              <w:pStyle w:val="TableDataEntries"/>
            </w:pPr>
            <w:r>
              <w:t xml:space="preserve"> 14.2</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714BC2" w:rsidRPr="008D1885" w:rsidRDefault="00714BC2" w:rsidP="009B5546">
            <w:pPr>
              <w:pStyle w:val="TableDataEntries"/>
            </w:pPr>
            <w:r>
              <w:t xml:space="preserve"> 41.9</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714BC2" w:rsidRPr="008D1885" w:rsidRDefault="00714BC2" w:rsidP="009B5546">
            <w:pPr>
              <w:pStyle w:val="TableDataEntries"/>
            </w:pPr>
            <w:r>
              <w:t xml:space="preserve"> 1.6</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714BC2" w:rsidRPr="008D1885" w:rsidRDefault="00714BC2" w:rsidP="009B5546">
            <w:pPr>
              <w:pStyle w:val="TableDataEntries"/>
            </w:pPr>
            <w:r>
              <w:t xml:space="preserve"> 6.0</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714BC2" w:rsidRPr="008D1885" w:rsidRDefault="00714BC2" w:rsidP="009B5546">
            <w:pPr>
              <w:pStyle w:val="TableDataEntries"/>
            </w:pPr>
            <w:r>
              <w:t xml:space="preserve"> 5.7</w:t>
            </w:r>
          </w:p>
        </w:tc>
        <w:tc>
          <w:tcPr>
            <w:tcW w:w="79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714BC2" w:rsidRPr="008D1885" w:rsidRDefault="00714BC2" w:rsidP="009B5546">
            <w:pPr>
              <w:pStyle w:val="TableDataEntries"/>
            </w:pPr>
            <w:r>
              <w:t xml:space="preserve"> 368.9</w:t>
            </w:r>
          </w:p>
        </w:tc>
      </w:tr>
      <w:tr w:rsidR="00A45355" w:rsidTr="00A45355">
        <w:trPr>
          <w:trHeight w:val="230"/>
        </w:trPr>
        <w:tc>
          <w:tcPr>
            <w:tcW w:w="161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A45355" w:rsidRDefault="00A45355" w:rsidP="00A45355">
            <w:pPr>
              <w:pStyle w:val="TableTextEntries"/>
              <w:rPr>
                <w:lang w:val="en-GB"/>
              </w:rPr>
            </w:pPr>
            <w:r w:rsidRPr="00EE6C8D">
              <w:rPr>
                <w:lang w:val="en-GB"/>
              </w:rPr>
              <w:t>Total impacts</w:t>
            </w:r>
            <w:r w:rsidRPr="007B3E1B">
              <w:rPr>
                <w:rStyle w:val="NoteLabel"/>
              </w:rPr>
              <w:t>b</w:t>
            </w:r>
            <w:r w:rsidRPr="00EE6C8D">
              <w:rPr>
                <w:lang w:val="en-GB"/>
              </w:rPr>
              <w:t xml:space="preserve"> (NPV)</w:t>
            </w:r>
          </w:p>
        </w:tc>
        <w:tc>
          <w:tcPr>
            <w:tcW w:w="709"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A45355" w:rsidRDefault="00A45355" w:rsidP="00A45355">
            <w:pPr>
              <w:pStyle w:val="TableDataEntries"/>
            </w:pPr>
            <w:r w:rsidRPr="00EE6C8D">
              <w:rPr>
                <w:lang w:val="en-GB"/>
              </w:rPr>
              <w:t>273.7</w:t>
            </w:r>
          </w:p>
        </w:tc>
        <w:tc>
          <w:tcPr>
            <w:tcW w:w="709"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A45355" w:rsidRDefault="00A45355" w:rsidP="00A45355">
            <w:pPr>
              <w:pStyle w:val="TableDataEntries"/>
            </w:pPr>
            <w:r w:rsidRPr="00EE6C8D">
              <w:rPr>
                <w:lang w:val="en-GB"/>
              </w:rPr>
              <w:t xml:space="preserve"> 277.4</w:t>
            </w:r>
          </w:p>
        </w:tc>
        <w:tc>
          <w:tcPr>
            <w:tcW w:w="709"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A45355" w:rsidRDefault="00A45355" w:rsidP="00A45355">
            <w:pPr>
              <w:pStyle w:val="TableDataEntries"/>
            </w:pPr>
            <w:r w:rsidRPr="00EE6C8D">
              <w:rPr>
                <w:lang w:val="en-GB"/>
              </w:rPr>
              <w:t xml:space="preserve"> 344.4</w:t>
            </w:r>
          </w:p>
        </w:tc>
        <w:tc>
          <w:tcPr>
            <w:tcW w:w="709"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A45355" w:rsidRDefault="00A45355" w:rsidP="00A45355">
            <w:pPr>
              <w:pStyle w:val="TableDataEntries"/>
            </w:pPr>
            <w:r w:rsidRPr="00EE6C8D">
              <w:rPr>
                <w:lang w:val="en-GB"/>
              </w:rPr>
              <w:t xml:space="preserve"> 54.1</w:t>
            </w:r>
          </w:p>
        </w:tc>
        <w:tc>
          <w:tcPr>
            <w:tcW w:w="709"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A45355" w:rsidRDefault="00A45355" w:rsidP="00A45355">
            <w:pPr>
              <w:pStyle w:val="TableDataEntries"/>
            </w:pPr>
            <w:r w:rsidRPr="00EE6C8D">
              <w:rPr>
                <w:lang w:val="en-GB"/>
              </w:rPr>
              <w:t xml:space="preserve"> 145.4</w:t>
            </w:r>
          </w:p>
        </w:tc>
        <w:tc>
          <w:tcPr>
            <w:tcW w:w="709"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A45355" w:rsidRDefault="00A45355" w:rsidP="00A45355">
            <w:pPr>
              <w:pStyle w:val="TableDataEntries"/>
            </w:pPr>
            <w:r w:rsidRPr="00EE6C8D">
              <w:rPr>
                <w:lang w:val="en-GB"/>
              </w:rPr>
              <w:t xml:space="preserve"> 4.0</w:t>
            </w:r>
          </w:p>
        </w:tc>
        <w:tc>
          <w:tcPr>
            <w:tcW w:w="709"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A45355" w:rsidRDefault="00A45355" w:rsidP="00A45355">
            <w:pPr>
              <w:pStyle w:val="TableDataEntries"/>
            </w:pPr>
            <w:r w:rsidRPr="00EE6C8D">
              <w:rPr>
                <w:lang w:val="en-GB"/>
              </w:rPr>
              <w:t xml:space="preserve"> 12.6</w:t>
            </w:r>
          </w:p>
        </w:tc>
        <w:tc>
          <w:tcPr>
            <w:tcW w:w="709"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A45355" w:rsidRDefault="00A45355" w:rsidP="00A45355">
            <w:pPr>
              <w:pStyle w:val="TableDataEntries"/>
            </w:pPr>
            <w:r w:rsidRPr="00EE6C8D">
              <w:rPr>
                <w:lang w:val="en-GB"/>
              </w:rPr>
              <w:t xml:space="preserve"> 26.7</w:t>
            </w:r>
          </w:p>
        </w:tc>
        <w:tc>
          <w:tcPr>
            <w:tcW w:w="792"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A45355" w:rsidRDefault="00A45355" w:rsidP="00A45355">
            <w:pPr>
              <w:pStyle w:val="TableDataEntries"/>
            </w:pPr>
            <w:r w:rsidRPr="00EE6C8D">
              <w:rPr>
                <w:lang w:val="en-GB"/>
              </w:rPr>
              <w:t>1 138.3</w:t>
            </w:r>
          </w:p>
        </w:tc>
      </w:tr>
      <w:tr w:rsidR="00A45355" w:rsidTr="00C045C7">
        <w:trPr>
          <w:trHeight w:val="230"/>
        </w:trPr>
        <w:tc>
          <w:tcPr>
            <w:tcW w:w="8080" w:type="dxa"/>
            <w:gridSpan w:val="10"/>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A45355" w:rsidRPr="00947F65" w:rsidRDefault="00A45355" w:rsidP="00A45355">
            <w:pPr>
              <w:pStyle w:val="TableHeading1"/>
            </w:pPr>
            <w:r>
              <w:rPr>
                <w:lang w:val="en-GB"/>
              </w:rPr>
              <w:t>Medium realisation scenario</w:t>
            </w:r>
          </w:p>
        </w:tc>
      </w:tr>
      <w:tr w:rsidR="00A45355" w:rsidTr="00C045C7">
        <w:trPr>
          <w:trHeight w:val="230"/>
        </w:trPr>
        <w:tc>
          <w:tcPr>
            <w:tcW w:w="161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A45355" w:rsidRDefault="00A45355" w:rsidP="00A45355">
            <w:pPr>
              <w:pStyle w:val="TableHeading2"/>
              <w:rPr>
                <w:lang w:val="en-GB"/>
              </w:rPr>
            </w:pPr>
            <w:r>
              <w:rPr>
                <w:lang w:val="en-GB"/>
              </w:rPr>
              <w:t>Industry impacts</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A45355" w:rsidRPr="00040DED" w:rsidRDefault="00A45355" w:rsidP="00A45355">
            <w:pPr>
              <w:pStyle w:val="TableDataEntries"/>
            </w:pP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A45355" w:rsidRPr="00040DED" w:rsidRDefault="00A45355" w:rsidP="00A45355">
            <w:pPr>
              <w:pStyle w:val="TableDataEntries"/>
            </w:pP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A45355" w:rsidRPr="00040DED" w:rsidRDefault="00A45355" w:rsidP="00A45355">
            <w:pPr>
              <w:pStyle w:val="TableDataEntries"/>
            </w:pP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A45355" w:rsidRPr="00040DED" w:rsidRDefault="00A45355" w:rsidP="00A45355">
            <w:pPr>
              <w:pStyle w:val="TableDataEntries"/>
            </w:pP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A45355" w:rsidRPr="00040DED" w:rsidRDefault="00A45355" w:rsidP="00A45355">
            <w:pPr>
              <w:pStyle w:val="TableDataEntries"/>
            </w:pP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A45355" w:rsidRPr="00040DED" w:rsidRDefault="00A45355" w:rsidP="00A45355">
            <w:pPr>
              <w:pStyle w:val="TableDataEntries"/>
            </w:pP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A45355" w:rsidRPr="00040DED" w:rsidRDefault="00A45355" w:rsidP="00A45355">
            <w:pPr>
              <w:pStyle w:val="TableDataEntries"/>
            </w:pP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A45355" w:rsidRPr="00040DED" w:rsidRDefault="00A45355" w:rsidP="00A45355">
            <w:pPr>
              <w:pStyle w:val="TableDataEntries"/>
            </w:pPr>
          </w:p>
        </w:tc>
        <w:tc>
          <w:tcPr>
            <w:tcW w:w="79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A45355" w:rsidRPr="00040DED" w:rsidRDefault="00A45355" w:rsidP="00A45355">
            <w:pPr>
              <w:pStyle w:val="TableDataEntries"/>
            </w:pPr>
          </w:p>
        </w:tc>
      </w:tr>
      <w:tr w:rsidR="00A45355" w:rsidTr="00C045C7">
        <w:trPr>
          <w:trHeight w:val="230"/>
        </w:trPr>
        <w:tc>
          <w:tcPr>
            <w:tcW w:w="161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A45355" w:rsidRDefault="00A45355" w:rsidP="00A45355">
            <w:pPr>
              <w:pStyle w:val="TableDataEntries"/>
              <w:jc w:val="left"/>
              <w:rPr>
                <w:lang w:val="en-GB"/>
              </w:rPr>
            </w:pPr>
            <w:r>
              <w:rPr>
                <w:lang w:val="en-GB"/>
              </w:rPr>
              <w:t>Lifetime energy savings</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A45355" w:rsidRPr="008D1885" w:rsidRDefault="00A45355" w:rsidP="00A45355">
            <w:pPr>
              <w:pStyle w:val="TableDataEntries"/>
            </w:pPr>
            <w:r>
              <w:t xml:space="preserve"> 529.1</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A45355" w:rsidRPr="008D1885" w:rsidRDefault="00A45355" w:rsidP="00A45355">
            <w:pPr>
              <w:pStyle w:val="TableDataEntries"/>
            </w:pPr>
            <w:r>
              <w:t xml:space="preserve"> 451.8</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A45355" w:rsidRPr="008D1885" w:rsidRDefault="00A45355" w:rsidP="00A45355">
            <w:pPr>
              <w:pStyle w:val="TableDataEntries"/>
            </w:pPr>
            <w:r>
              <w:t xml:space="preserve"> 509.9</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A45355" w:rsidRPr="008D1885" w:rsidRDefault="00A45355" w:rsidP="00A45355">
            <w:pPr>
              <w:pStyle w:val="TableDataEntries"/>
            </w:pPr>
            <w:r>
              <w:t xml:space="preserve"> 116.4</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A45355" w:rsidRPr="008D1885" w:rsidRDefault="00A45355" w:rsidP="00A45355">
            <w:pPr>
              <w:pStyle w:val="TableDataEntries"/>
            </w:pPr>
            <w:r>
              <w:t xml:space="preserve"> 279.6</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A45355" w:rsidRPr="008D1885" w:rsidRDefault="00A45355" w:rsidP="00A45355">
            <w:pPr>
              <w:pStyle w:val="TableDataEntries"/>
            </w:pPr>
            <w:r>
              <w:t xml:space="preserve"> 18.1</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A45355" w:rsidRPr="008D1885" w:rsidRDefault="00A45355" w:rsidP="00A45355">
            <w:pPr>
              <w:pStyle w:val="TableDataEntries"/>
            </w:pPr>
            <w:r>
              <w:t xml:space="preserve"> 26.2</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A45355" w:rsidRPr="008D1885" w:rsidRDefault="00A45355" w:rsidP="00A45355">
            <w:pPr>
              <w:pStyle w:val="TableDataEntries"/>
            </w:pPr>
            <w:r>
              <w:t xml:space="preserve"> 35.2</w:t>
            </w:r>
          </w:p>
        </w:tc>
        <w:tc>
          <w:tcPr>
            <w:tcW w:w="79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A45355" w:rsidRPr="008D1885" w:rsidRDefault="00A45355" w:rsidP="00A45355">
            <w:pPr>
              <w:pStyle w:val="TableDataEntries"/>
            </w:pPr>
            <w:r>
              <w:t>1 966.2</w:t>
            </w:r>
          </w:p>
        </w:tc>
      </w:tr>
      <w:tr w:rsidR="00A45355" w:rsidTr="00C045C7">
        <w:trPr>
          <w:trHeight w:val="230"/>
        </w:trPr>
        <w:tc>
          <w:tcPr>
            <w:tcW w:w="161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A45355" w:rsidRDefault="00A45355" w:rsidP="00A45355">
            <w:pPr>
              <w:pStyle w:val="TableDataEntries"/>
              <w:jc w:val="left"/>
              <w:rPr>
                <w:lang w:val="en-GB"/>
              </w:rPr>
            </w:pPr>
            <w:r>
              <w:rPr>
                <w:lang w:val="en-GB"/>
              </w:rPr>
              <w:t>Compliance costs</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A45355" w:rsidRPr="008D1885" w:rsidRDefault="00A45355" w:rsidP="00A45355">
            <w:pPr>
              <w:pStyle w:val="TableDataEntries"/>
            </w:pPr>
            <w:r>
              <w:t>- 172.3</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A45355" w:rsidRPr="008D1885" w:rsidRDefault="00A45355" w:rsidP="00A45355">
            <w:pPr>
              <w:pStyle w:val="TableDataEntries"/>
            </w:pPr>
            <w:r>
              <w:t>- 121.5</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A45355" w:rsidRPr="008D1885" w:rsidRDefault="00A45355" w:rsidP="00A45355">
            <w:pPr>
              <w:pStyle w:val="TableDataEntries"/>
            </w:pPr>
            <w:r>
              <w:t>- 93.4</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A45355" w:rsidRPr="008D1885" w:rsidRDefault="00A45355" w:rsidP="00A45355">
            <w:pPr>
              <w:pStyle w:val="TableDataEntries"/>
            </w:pPr>
            <w:r>
              <w:t>- 36.9</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A45355" w:rsidRPr="008D1885" w:rsidRDefault="00A45355" w:rsidP="00A45355">
            <w:pPr>
              <w:pStyle w:val="TableDataEntries"/>
            </w:pPr>
            <w:r>
              <w:t>- 81.5</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A45355" w:rsidRPr="008D1885" w:rsidRDefault="00A45355" w:rsidP="00A45355">
            <w:pPr>
              <w:pStyle w:val="TableDataEntries"/>
            </w:pPr>
            <w:r>
              <w:t>- 9.4</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A45355" w:rsidRPr="008D1885" w:rsidRDefault="00A45355" w:rsidP="00A45355">
            <w:pPr>
              <w:pStyle w:val="TableDataEntries"/>
            </w:pPr>
            <w:r>
              <w:t>- 10.8</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A45355" w:rsidRPr="008D1885" w:rsidRDefault="00A45355" w:rsidP="00A45355">
            <w:pPr>
              <w:pStyle w:val="TableDataEntries"/>
            </w:pPr>
            <w:r>
              <w:t>- 2.4</w:t>
            </w:r>
          </w:p>
        </w:tc>
        <w:tc>
          <w:tcPr>
            <w:tcW w:w="79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A45355" w:rsidRPr="008D1885" w:rsidRDefault="00A45355" w:rsidP="00A45355">
            <w:pPr>
              <w:pStyle w:val="TableDataEntries"/>
            </w:pPr>
            <w:r>
              <w:t>- 528.2</w:t>
            </w:r>
          </w:p>
        </w:tc>
      </w:tr>
      <w:tr w:rsidR="00A45355" w:rsidTr="00C045C7">
        <w:trPr>
          <w:trHeight w:val="230"/>
        </w:trPr>
        <w:tc>
          <w:tcPr>
            <w:tcW w:w="161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A45355" w:rsidRDefault="00A45355" w:rsidP="00A45355">
            <w:pPr>
              <w:pStyle w:val="TableDataEntries"/>
              <w:jc w:val="left"/>
              <w:rPr>
                <w:lang w:val="en-GB"/>
              </w:rPr>
            </w:pPr>
            <w:r>
              <w:rPr>
                <w:lang w:val="en-GB"/>
              </w:rPr>
              <w:t>Administrative cost savings</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A45355" w:rsidRPr="008D1885" w:rsidRDefault="00A45355" w:rsidP="00A45355">
            <w:pPr>
              <w:pStyle w:val="TableDataEntries"/>
            </w:pPr>
            <w:r>
              <w:t xml:space="preserve"> 1.2</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A45355" w:rsidRPr="008D1885" w:rsidRDefault="00A45355" w:rsidP="00A45355">
            <w:pPr>
              <w:pStyle w:val="TableDataEntries"/>
            </w:pPr>
            <w:r>
              <w:t xml:space="preserve"> 1.0</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A45355" w:rsidRPr="008D1885" w:rsidRDefault="00A45355" w:rsidP="00A45355">
            <w:pPr>
              <w:pStyle w:val="TableDataEntries"/>
            </w:pPr>
            <w:r>
              <w:t xml:space="preserve"> 0.8</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A45355" w:rsidRPr="008D1885" w:rsidRDefault="00A45355" w:rsidP="00A45355">
            <w:pPr>
              <w:pStyle w:val="TableDataEntries"/>
            </w:pPr>
            <w:r>
              <w:t xml:space="preserve"> 0.2</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A45355" w:rsidRPr="008D1885" w:rsidRDefault="00A45355" w:rsidP="00A45355">
            <w:pPr>
              <w:pStyle w:val="TableDataEntries"/>
            </w:pPr>
            <w:r>
              <w:t xml:space="preserve"> 0.5</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A45355" w:rsidRPr="008D1885" w:rsidRDefault="00A45355" w:rsidP="00A45355">
            <w:pPr>
              <w:pStyle w:val="TableDataEntries"/>
            </w:pPr>
            <w:r>
              <w:t xml:space="preserve"> 0.0</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A45355" w:rsidRPr="008D1885" w:rsidRDefault="00A45355" w:rsidP="00A45355">
            <w:pPr>
              <w:pStyle w:val="TableDataEntries"/>
            </w:pPr>
            <w:r>
              <w:t xml:space="preserve"> 0.2</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A45355" w:rsidRPr="008D1885" w:rsidRDefault="00A45355" w:rsidP="00A45355">
            <w:pPr>
              <w:pStyle w:val="TableDataEntries"/>
            </w:pPr>
            <w:r>
              <w:t xml:space="preserve"> 0.0</w:t>
            </w:r>
          </w:p>
        </w:tc>
        <w:tc>
          <w:tcPr>
            <w:tcW w:w="79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A45355" w:rsidRPr="008D1885" w:rsidRDefault="00A45355" w:rsidP="00A45355">
            <w:pPr>
              <w:pStyle w:val="TableDataEntries"/>
            </w:pPr>
            <w:r>
              <w:t xml:space="preserve"> 3.9</w:t>
            </w:r>
          </w:p>
        </w:tc>
      </w:tr>
      <w:tr w:rsidR="00A45355" w:rsidTr="00C045C7">
        <w:trPr>
          <w:trHeight w:val="230"/>
        </w:trPr>
        <w:tc>
          <w:tcPr>
            <w:tcW w:w="161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A45355" w:rsidRDefault="00A45355" w:rsidP="00A45355">
            <w:pPr>
              <w:pStyle w:val="TableDataEntries"/>
              <w:jc w:val="left"/>
              <w:rPr>
                <w:lang w:val="en-GB"/>
              </w:rPr>
            </w:pPr>
            <w:r>
              <w:rPr>
                <w:lang w:val="en-GB"/>
              </w:rPr>
              <w:t>Industry retraining costs</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A45355" w:rsidRPr="008D1885" w:rsidRDefault="00A45355" w:rsidP="00A45355">
            <w:pPr>
              <w:pStyle w:val="TableDataEntries"/>
            </w:pPr>
            <w:r>
              <w:t>-5.6</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A45355" w:rsidRPr="008D1885" w:rsidRDefault="00A45355" w:rsidP="00A45355">
            <w:pPr>
              <w:pStyle w:val="TableDataEntries"/>
            </w:pPr>
            <w:r>
              <w:t>-4.9</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A45355" w:rsidRPr="008D1885" w:rsidRDefault="00A45355" w:rsidP="00A45355">
            <w:pPr>
              <w:pStyle w:val="TableDataEntries"/>
            </w:pPr>
            <w:r>
              <w:t>-2.9</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A45355" w:rsidRPr="008D1885" w:rsidRDefault="00A45355" w:rsidP="00A45355">
            <w:pPr>
              <w:pStyle w:val="TableDataEntries"/>
            </w:pPr>
            <w:r>
              <w:t>-0.9</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A45355" w:rsidRPr="008D1885" w:rsidRDefault="00A45355" w:rsidP="00A45355">
            <w:pPr>
              <w:pStyle w:val="TableDataEntries"/>
            </w:pPr>
            <w:r>
              <w:t>-1.9</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A45355" w:rsidRPr="008D1885" w:rsidRDefault="00A45355" w:rsidP="00A45355">
            <w:pPr>
              <w:pStyle w:val="TableDataEntries"/>
            </w:pPr>
            <w:r>
              <w:t>-0.2</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A45355" w:rsidRPr="008D1885" w:rsidRDefault="00A45355" w:rsidP="00A45355">
            <w:pPr>
              <w:pStyle w:val="TableDataEntries"/>
            </w:pPr>
            <w:r>
              <w:t>-0.3</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A45355" w:rsidRPr="008D1885" w:rsidRDefault="00A45355" w:rsidP="00A45355">
            <w:pPr>
              <w:pStyle w:val="TableDataEntries"/>
            </w:pPr>
            <w:r>
              <w:t>-0.1</w:t>
            </w:r>
          </w:p>
        </w:tc>
        <w:tc>
          <w:tcPr>
            <w:tcW w:w="79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A45355" w:rsidRPr="008D1885" w:rsidRDefault="00A45355" w:rsidP="00A45355">
            <w:pPr>
              <w:pStyle w:val="TableDataEntries"/>
            </w:pPr>
            <w:r>
              <w:t>-16.7</w:t>
            </w:r>
          </w:p>
        </w:tc>
      </w:tr>
      <w:tr w:rsidR="00A45355" w:rsidTr="00C045C7">
        <w:trPr>
          <w:trHeight w:val="230"/>
        </w:trPr>
        <w:tc>
          <w:tcPr>
            <w:tcW w:w="161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A45355" w:rsidRDefault="00A45355" w:rsidP="00A45355">
            <w:pPr>
              <w:pStyle w:val="TableDataEntries"/>
              <w:jc w:val="left"/>
              <w:rPr>
                <w:lang w:val="en-GB"/>
              </w:rPr>
            </w:pPr>
            <w:r>
              <w:rPr>
                <w:lang w:val="en-GB"/>
              </w:rPr>
              <w:t>Government implementation costs</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A45355" w:rsidRPr="008D1885" w:rsidRDefault="00A45355" w:rsidP="00A45355">
            <w:pPr>
              <w:pStyle w:val="TableDataEntries"/>
            </w:pPr>
            <w:r>
              <w:t>-0.1</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A45355" w:rsidRPr="008D1885" w:rsidRDefault="00A45355" w:rsidP="00A45355">
            <w:pPr>
              <w:pStyle w:val="TableDataEntries"/>
            </w:pPr>
            <w:r>
              <w:t>-0.1</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A45355" w:rsidRPr="008D1885" w:rsidRDefault="00A45355" w:rsidP="00A45355">
            <w:pPr>
              <w:pStyle w:val="TableDataEntries"/>
            </w:pPr>
            <w:r>
              <w:t>-0.1</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A45355" w:rsidRPr="008D1885" w:rsidRDefault="00A45355" w:rsidP="00A45355">
            <w:pPr>
              <w:pStyle w:val="TableDataEntries"/>
            </w:pPr>
            <w:r>
              <w:t>0.0</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A45355" w:rsidRPr="008D1885" w:rsidRDefault="00A45355" w:rsidP="00A45355">
            <w:pPr>
              <w:pStyle w:val="TableDataEntries"/>
            </w:pPr>
            <w:r>
              <w:t>0.0</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A45355" w:rsidRPr="008D1885" w:rsidRDefault="00A45355" w:rsidP="00A45355">
            <w:pPr>
              <w:pStyle w:val="TableDataEntries"/>
            </w:pPr>
            <w:r>
              <w:t>0.0</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A45355" w:rsidRPr="008D1885" w:rsidRDefault="00A45355" w:rsidP="00A45355">
            <w:pPr>
              <w:pStyle w:val="TableDataEntries"/>
            </w:pPr>
            <w:r>
              <w:t>0.0</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A45355" w:rsidRPr="008D1885" w:rsidRDefault="00A45355" w:rsidP="00A45355">
            <w:pPr>
              <w:pStyle w:val="TableDataEntries"/>
            </w:pPr>
            <w:r>
              <w:t>0.0</w:t>
            </w:r>
          </w:p>
        </w:tc>
        <w:tc>
          <w:tcPr>
            <w:tcW w:w="79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A45355" w:rsidRPr="008D1885" w:rsidRDefault="00A45355" w:rsidP="00A45355">
            <w:pPr>
              <w:pStyle w:val="TableDataEntries"/>
            </w:pPr>
            <w:r>
              <w:t>-0.4</w:t>
            </w:r>
          </w:p>
        </w:tc>
      </w:tr>
      <w:tr w:rsidR="00A45355" w:rsidRPr="009B5546" w:rsidTr="00C045C7">
        <w:trPr>
          <w:trHeight w:val="230"/>
        </w:trPr>
        <w:tc>
          <w:tcPr>
            <w:tcW w:w="161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A45355" w:rsidRPr="009B5546" w:rsidRDefault="00A45355" w:rsidP="00A45355">
            <w:pPr>
              <w:pStyle w:val="TableDataEntries"/>
              <w:jc w:val="left"/>
              <w:rPr>
                <w:rFonts w:ascii="Franklin Gothic Demi" w:hAnsi="Franklin Gothic Demi"/>
                <w:lang w:val="en-GB"/>
              </w:rPr>
            </w:pPr>
            <w:r w:rsidRPr="009B5546">
              <w:rPr>
                <w:rFonts w:ascii="Franklin Gothic Demi" w:hAnsi="Franklin Gothic Demi"/>
                <w:lang w:val="en-GB"/>
              </w:rPr>
              <w:t>Net impact on community</w:t>
            </w:r>
          </w:p>
        </w:tc>
        <w:tc>
          <w:tcPr>
            <w:tcW w:w="709"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A45355" w:rsidRPr="009B5546" w:rsidRDefault="00A45355" w:rsidP="00A45355">
            <w:pPr>
              <w:pStyle w:val="TableDataEntries"/>
              <w:rPr>
                <w:rFonts w:ascii="Franklin Gothic Demi" w:hAnsi="Franklin Gothic Demi"/>
              </w:rPr>
            </w:pPr>
            <w:r w:rsidRPr="009B5546">
              <w:rPr>
                <w:rFonts w:ascii="Franklin Gothic Demi" w:hAnsi="Franklin Gothic Demi"/>
              </w:rPr>
              <w:t xml:space="preserve"> 352.4</w:t>
            </w:r>
          </w:p>
        </w:tc>
        <w:tc>
          <w:tcPr>
            <w:tcW w:w="709"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A45355" w:rsidRPr="009B5546" w:rsidRDefault="00A45355" w:rsidP="00A45355">
            <w:pPr>
              <w:pStyle w:val="TableDataEntries"/>
              <w:rPr>
                <w:rFonts w:ascii="Franklin Gothic Demi" w:hAnsi="Franklin Gothic Demi"/>
              </w:rPr>
            </w:pPr>
            <w:r w:rsidRPr="009B5546">
              <w:rPr>
                <w:rFonts w:ascii="Franklin Gothic Demi" w:hAnsi="Franklin Gothic Demi"/>
              </w:rPr>
              <w:t xml:space="preserve"> 326.2</w:t>
            </w:r>
          </w:p>
        </w:tc>
        <w:tc>
          <w:tcPr>
            <w:tcW w:w="709"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A45355" w:rsidRPr="009B5546" w:rsidRDefault="00A45355" w:rsidP="00A45355">
            <w:pPr>
              <w:pStyle w:val="TableDataEntries"/>
              <w:rPr>
                <w:rFonts w:ascii="Franklin Gothic Demi" w:hAnsi="Franklin Gothic Demi"/>
              </w:rPr>
            </w:pPr>
            <w:r w:rsidRPr="009B5546">
              <w:rPr>
                <w:rFonts w:ascii="Franklin Gothic Demi" w:hAnsi="Franklin Gothic Demi"/>
              </w:rPr>
              <w:t xml:space="preserve"> 414.5</w:t>
            </w:r>
          </w:p>
        </w:tc>
        <w:tc>
          <w:tcPr>
            <w:tcW w:w="709"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A45355" w:rsidRPr="009B5546" w:rsidRDefault="00A45355" w:rsidP="00A45355">
            <w:pPr>
              <w:pStyle w:val="TableDataEntries"/>
              <w:rPr>
                <w:rFonts w:ascii="Franklin Gothic Demi" w:hAnsi="Franklin Gothic Demi"/>
              </w:rPr>
            </w:pPr>
            <w:r w:rsidRPr="009B5546">
              <w:rPr>
                <w:rFonts w:ascii="Franklin Gothic Demi" w:hAnsi="Franklin Gothic Demi"/>
              </w:rPr>
              <w:t xml:space="preserve"> 78.7</w:t>
            </w:r>
          </w:p>
        </w:tc>
        <w:tc>
          <w:tcPr>
            <w:tcW w:w="709"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A45355" w:rsidRPr="009B5546" w:rsidRDefault="00A45355" w:rsidP="00A45355">
            <w:pPr>
              <w:pStyle w:val="TableDataEntries"/>
              <w:rPr>
                <w:rFonts w:ascii="Franklin Gothic Demi" w:hAnsi="Franklin Gothic Demi"/>
              </w:rPr>
            </w:pPr>
            <w:r w:rsidRPr="009B5546">
              <w:rPr>
                <w:rFonts w:ascii="Franklin Gothic Demi" w:hAnsi="Franklin Gothic Demi"/>
              </w:rPr>
              <w:t xml:space="preserve"> 196.7</w:t>
            </w:r>
          </w:p>
        </w:tc>
        <w:tc>
          <w:tcPr>
            <w:tcW w:w="709"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A45355" w:rsidRPr="009B5546" w:rsidRDefault="00A45355" w:rsidP="00A45355">
            <w:pPr>
              <w:pStyle w:val="TableDataEntries"/>
              <w:rPr>
                <w:rFonts w:ascii="Franklin Gothic Demi" w:hAnsi="Franklin Gothic Demi"/>
              </w:rPr>
            </w:pPr>
            <w:r w:rsidRPr="009B5546">
              <w:rPr>
                <w:rFonts w:ascii="Franklin Gothic Demi" w:hAnsi="Franklin Gothic Demi"/>
              </w:rPr>
              <w:t xml:space="preserve"> 8.4</w:t>
            </w:r>
          </w:p>
        </w:tc>
        <w:tc>
          <w:tcPr>
            <w:tcW w:w="709"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A45355" w:rsidRPr="009B5546" w:rsidRDefault="00A45355" w:rsidP="00A45355">
            <w:pPr>
              <w:pStyle w:val="TableDataEntries"/>
              <w:rPr>
                <w:rFonts w:ascii="Franklin Gothic Demi" w:hAnsi="Franklin Gothic Demi"/>
              </w:rPr>
            </w:pPr>
            <w:r w:rsidRPr="009B5546">
              <w:rPr>
                <w:rFonts w:ascii="Franklin Gothic Demi" w:hAnsi="Franklin Gothic Demi"/>
              </w:rPr>
              <w:t xml:space="preserve"> 15.3</w:t>
            </w:r>
          </w:p>
        </w:tc>
        <w:tc>
          <w:tcPr>
            <w:tcW w:w="709"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A45355" w:rsidRPr="009B5546" w:rsidRDefault="00A45355" w:rsidP="00A45355">
            <w:pPr>
              <w:pStyle w:val="TableDataEntries"/>
              <w:rPr>
                <w:rFonts w:ascii="Franklin Gothic Demi" w:hAnsi="Franklin Gothic Demi"/>
              </w:rPr>
            </w:pPr>
            <w:r w:rsidRPr="009B5546">
              <w:rPr>
                <w:rFonts w:ascii="Franklin Gothic Demi" w:hAnsi="Franklin Gothic Demi"/>
              </w:rPr>
              <w:t xml:space="preserve"> 32.7</w:t>
            </w:r>
          </w:p>
        </w:tc>
        <w:tc>
          <w:tcPr>
            <w:tcW w:w="792"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A45355" w:rsidRPr="009B5546" w:rsidRDefault="00A45355" w:rsidP="00A45355">
            <w:pPr>
              <w:pStyle w:val="TableDataEntries"/>
              <w:rPr>
                <w:rFonts w:ascii="Franklin Gothic Demi" w:hAnsi="Franklin Gothic Demi"/>
              </w:rPr>
            </w:pPr>
            <w:r w:rsidRPr="009B5546">
              <w:rPr>
                <w:rFonts w:ascii="Franklin Gothic Demi" w:hAnsi="Franklin Gothic Demi"/>
              </w:rPr>
              <w:t>1 424.8</w:t>
            </w:r>
          </w:p>
        </w:tc>
      </w:tr>
      <w:tr w:rsidR="00A45355" w:rsidTr="00C045C7">
        <w:trPr>
          <w:trHeight w:val="230"/>
        </w:trPr>
        <w:tc>
          <w:tcPr>
            <w:tcW w:w="161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A45355" w:rsidRDefault="00A45355" w:rsidP="00A45355">
            <w:pPr>
              <w:pStyle w:val="TableTextEntries"/>
              <w:rPr>
                <w:lang w:val="en-GB"/>
              </w:rPr>
            </w:pPr>
            <w:r>
              <w:rPr>
                <w:lang w:val="en-GB"/>
              </w:rPr>
              <w:t>GHG savings</w:t>
            </w:r>
            <w:r>
              <w:rPr>
                <w:rStyle w:val="NoteLabel"/>
              </w:rPr>
              <w:t>a</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A45355" w:rsidRPr="008D1885" w:rsidRDefault="00A45355" w:rsidP="00A45355">
            <w:pPr>
              <w:pStyle w:val="TableDataEntries"/>
            </w:pPr>
            <w:r>
              <w:t xml:space="preserve"> 146.6</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A45355" w:rsidRPr="008D1885" w:rsidRDefault="00A45355" w:rsidP="00A45355">
            <w:pPr>
              <w:pStyle w:val="TableDataEntries"/>
            </w:pPr>
            <w:r>
              <w:t xml:space="preserve"> 152.6</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A45355" w:rsidRPr="008D1885" w:rsidRDefault="00A45355" w:rsidP="00A45355">
            <w:pPr>
              <w:pStyle w:val="TableDataEntries"/>
            </w:pPr>
            <w:r>
              <w:t xml:space="preserve"> 149.9</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A45355" w:rsidRPr="008D1885" w:rsidRDefault="00A45355" w:rsidP="00A45355">
            <w:pPr>
              <w:pStyle w:val="TableDataEntries"/>
            </w:pPr>
            <w:r>
              <w:t xml:space="preserve"> 21.4</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A45355" w:rsidRPr="008D1885" w:rsidRDefault="00A45355" w:rsidP="00A45355">
            <w:pPr>
              <w:pStyle w:val="TableDataEntries"/>
            </w:pPr>
            <w:r>
              <w:t xml:space="preserve"> 62.9</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A45355" w:rsidRPr="008D1885" w:rsidRDefault="00A45355" w:rsidP="00A45355">
            <w:pPr>
              <w:pStyle w:val="TableDataEntries"/>
            </w:pPr>
            <w:r>
              <w:t xml:space="preserve"> 2.4</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A45355" w:rsidRPr="008D1885" w:rsidRDefault="00A45355" w:rsidP="00A45355">
            <w:pPr>
              <w:pStyle w:val="TableDataEntries"/>
            </w:pPr>
            <w:r>
              <w:t xml:space="preserve"> 9.1</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A45355" w:rsidRPr="008D1885" w:rsidRDefault="00A45355" w:rsidP="00A45355">
            <w:pPr>
              <w:pStyle w:val="TableDataEntries"/>
            </w:pPr>
            <w:r>
              <w:t xml:space="preserve"> 8.5</w:t>
            </w:r>
          </w:p>
        </w:tc>
        <w:tc>
          <w:tcPr>
            <w:tcW w:w="79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A45355" w:rsidRPr="008D1885" w:rsidRDefault="00A45355" w:rsidP="00A45355">
            <w:pPr>
              <w:pStyle w:val="TableDataEntries"/>
            </w:pPr>
            <w:r>
              <w:t xml:space="preserve"> 553.3</w:t>
            </w:r>
          </w:p>
        </w:tc>
      </w:tr>
      <w:tr w:rsidR="00A45355" w:rsidTr="00C045C7">
        <w:trPr>
          <w:trHeight w:val="230"/>
        </w:trPr>
        <w:tc>
          <w:tcPr>
            <w:tcW w:w="161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A45355" w:rsidRDefault="00A45355" w:rsidP="00A45355">
            <w:pPr>
              <w:pStyle w:val="TableTextEntries"/>
              <w:rPr>
                <w:rStyle w:val="NoteLabel"/>
              </w:rPr>
            </w:pPr>
            <w:r>
              <w:rPr>
                <w:lang w:val="en-GB"/>
              </w:rPr>
              <w:t>Total  impacts</w:t>
            </w:r>
            <w:r w:rsidRPr="007B3E1B">
              <w:rPr>
                <w:rStyle w:val="NoteLabel"/>
              </w:rPr>
              <w:t>b</w:t>
            </w:r>
          </w:p>
          <w:p w:rsidR="00A45355" w:rsidRDefault="00A45355" w:rsidP="00A45355">
            <w:pPr>
              <w:pStyle w:val="TableTextEntries"/>
              <w:rPr>
                <w:lang w:val="en-GB"/>
              </w:rPr>
            </w:pPr>
            <w:r w:rsidRPr="00A45355">
              <w:rPr>
                <w:lang w:val="en-GB"/>
              </w:rPr>
              <w:t>(NPV)</w:t>
            </w:r>
          </w:p>
        </w:tc>
        <w:tc>
          <w:tcPr>
            <w:tcW w:w="709"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A45355" w:rsidRPr="008D1885" w:rsidRDefault="00A45355" w:rsidP="00A45355">
            <w:pPr>
              <w:pStyle w:val="TableDataEntries"/>
            </w:pPr>
            <w:r>
              <w:t xml:space="preserve"> 498.9</w:t>
            </w:r>
          </w:p>
        </w:tc>
        <w:tc>
          <w:tcPr>
            <w:tcW w:w="709"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A45355" w:rsidRPr="008D1885" w:rsidRDefault="00A45355" w:rsidP="00A45355">
            <w:pPr>
              <w:pStyle w:val="TableDataEntries"/>
            </w:pPr>
            <w:r>
              <w:t xml:space="preserve"> 478.9</w:t>
            </w:r>
          </w:p>
        </w:tc>
        <w:tc>
          <w:tcPr>
            <w:tcW w:w="709"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A45355" w:rsidRPr="008D1885" w:rsidRDefault="00A45355" w:rsidP="00A45355">
            <w:pPr>
              <w:pStyle w:val="TableDataEntries"/>
            </w:pPr>
            <w:r>
              <w:t xml:space="preserve"> 564.3</w:t>
            </w:r>
          </w:p>
        </w:tc>
        <w:tc>
          <w:tcPr>
            <w:tcW w:w="709"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A45355" w:rsidRPr="008D1885" w:rsidRDefault="00A45355" w:rsidP="00A45355">
            <w:pPr>
              <w:pStyle w:val="TableDataEntries"/>
            </w:pPr>
            <w:r>
              <w:t xml:space="preserve"> 100.0</w:t>
            </w:r>
          </w:p>
        </w:tc>
        <w:tc>
          <w:tcPr>
            <w:tcW w:w="709"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A45355" w:rsidRPr="008D1885" w:rsidRDefault="00A45355" w:rsidP="00A45355">
            <w:pPr>
              <w:pStyle w:val="TableDataEntries"/>
            </w:pPr>
            <w:r>
              <w:t xml:space="preserve"> 259.6</w:t>
            </w:r>
          </w:p>
        </w:tc>
        <w:tc>
          <w:tcPr>
            <w:tcW w:w="709"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A45355" w:rsidRPr="008D1885" w:rsidRDefault="00A45355" w:rsidP="00A45355">
            <w:pPr>
              <w:pStyle w:val="TableDataEntries"/>
            </w:pPr>
            <w:r>
              <w:t xml:space="preserve"> 10.8</w:t>
            </w:r>
          </w:p>
        </w:tc>
        <w:tc>
          <w:tcPr>
            <w:tcW w:w="709"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A45355" w:rsidRPr="008D1885" w:rsidRDefault="00A45355" w:rsidP="00A45355">
            <w:pPr>
              <w:pStyle w:val="TableDataEntries"/>
            </w:pPr>
            <w:r>
              <w:t xml:space="preserve"> 24.4</w:t>
            </w:r>
          </w:p>
        </w:tc>
        <w:tc>
          <w:tcPr>
            <w:tcW w:w="709"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A45355" w:rsidRPr="008D1885" w:rsidRDefault="00A45355" w:rsidP="00A45355">
            <w:pPr>
              <w:pStyle w:val="TableDataEntries"/>
            </w:pPr>
            <w:r>
              <w:t xml:space="preserve"> 41.3</w:t>
            </w:r>
          </w:p>
        </w:tc>
        <w:tc>
          <w:tcPr>
            <w:tcW w:w="792"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A45355" w:rsidRPr="008D1885" w:rsidRDefault="00A45355" w:rsidP="00A45355">
            <w:pPr>
              <w:pStyle w:val="TableDataEntries"/>
            </w:pPr>
            <w:r>
              <w:t>1 978.1</w:t>
            </w:r>
          </w:p>
        </w:tc>
      </w:tr>
      <w:tr w:rsidR="00A45355" w:rsidTr="00C045C7">
        <w:trPr>
          <w:trHeight w:val="230"/>
        </w:trPr>
        <w:tc>
          <w:tcPr>
            <w:tcW w:w="8080" w:type="dxa"/>
            <w:gridSpan w:val="10"/>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A45355" w:rsidRPr="00947F65" w:rsidRDefault="00A45355" w:rsidP="00A45355">
            <w:pPr>
              <w:pStyle w:val="TableHeading1"/>
            </w:pPr>
            <w:r>
              <w:rPr>
                <w:lang w:val="en-GB"/>
              </w:rPr>
              <w:t>High realisation scenario</w:t>
            </w:r>
          </w:p>
        </w:tc>
      </w:tr>
      <w:tr w:rsidR="00A45355" w:rsidTr="00C045C7">
        <w:trPr>
          <w:trHeight w:val="230"/>
        </w:trPr>
        <w:tc>
          <w:tcPr>
            <w:tcW w:w="161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A45355" w:rsidRDefault="00A45355" w:rsidP="00A45355">
            <w:pPr>
              <w:pStyle w:val="TableTextEntries"/>
              <w:rPr>
                <w:lang w:val="en-GB"/>
              </w:rPr>
            </w:pPr>
            <w:r>
              <w:rPr>
                <w:lang w:val="en-GB"/>
              </w:rPr>
              <w:t>Lifetime energy savings</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A45355" w:rsidRPr="00040DED" w:rsidRDefault="00A45355" w:rsidP="00A45355">
            <w:pPr>
              <w:pStyle w:val="TableDataEntries"/>
            </w:pPr>
            <w:r>
              <w:t xml:space="preserve"> 705.5</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A45355" w:rsidRPr="00040DED" w:rsidRDefault="00A45355" w:rsidP="00A45355">
            <w:pPr>
              <w:pStyle w:val="TableDataEntries"/>
            </w:pPr>
            <w:r>
              <w:t xml:space="preserve"> 602.4</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A45355" w:rsidRPr="00040DED" w:rsidRDefault="00A45355" w:rsidP="00A45355">
            <w:pPr>
              <w:pStyle w:val="TableDataEntries"/>
            </w:pPr>
            <w:r>
              <w:t xml:space="preserve"> 679.9</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A45355" w:rsidRPr="00040DED" w:rsidRDefault="00A45355" w:rsidP="00A45355">
            <w:pPr>
              <w:pStyle w:val="TableDataEntries"/>
            </w:pPr>
            <w:r>
              <w:t xml:space="preserve"> 155.1</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A45355" w:rsidRPr="00040DED" w:rsidRDefault="00A45355" w:rsidP="00A45355">
            <w:pPr>
              <w:pStyle w:val="TableDataEntries"/>
            </w:pPr>
            <w:r>
              <w:t xml:space="preserve"> 372.8</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A45355" w:rsidRPr="00040DED" w:rsidRDefault="00A45355" w:rsidP="00A45355">
            <w:pPr>
              <w:pStyle w:val="TableDataEntries"/>
            </w:pPr>
            <w:r>
              <w:t xml:space="preserve"> 24.1</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A45355" w:rsidRPr="00040DED" w:rsidRDefault="00A45355" w:rsidP="00A45355">
            <w:pPr>
              <w:pStyle w:val="TableDataEntries"/>
            </w:pPr>
            <w:r>
              <w:t xml:space="preserve"> 34.9</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A45355" w:rsidRPr="00040DED" w:rsidRDefault="00A45355" w:rsidP="00A45355">
            <w:pPr>
              <w:pStyle w:val="TableDataEntries"/>
            </w:pPr>
            <w:r>
              <w:t xml:space="preserve"> 47.0</w:t>
            </w:r>
          </w:p>
        </w:tc>
        <w:tc>
          <w:tcPr>
            <w:tcW w:w="79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A45355" w:rsidRPr="00040DED" w:rsidRDefault="00A45355" w:rsidP="00A45355">
            <w:pPr>
              <w:pStyle w:val="TableDataEntries"/>
            </w:pPr>
            <w:r>
              <w:t>2 621.7</w:t>
            </w:r>
          </w:p>
        </w:tc>
      </w:tr>
      <w:tr w:rsidR="00A45355" w:rsidTr="00C045C7">
        <w:trPr>
          <w:trHeight w:val="230"/>
        </w:trPr>
        <w:tc>
          <w:tcPr>
            <w:tcW w:w="161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A45355" w:rsidRDefault="00A45355" w:rsidP="00A45355">
            <w:pPr>
              <w:pStyle w:val="TableDataEntries"/>
              <w:jc w:val="left"/>
              <w:rPr>
                <w:lang w:val="en-GB"/>
              </w:rPr>
            </w:pPr>
            <w:r>
              <w:rPr>
                <w:lang w:val="en-GB"/>
              </w:rPr>
              <w:t>Compliance costs</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A45355" w:rsidRPr="00040DED" w:rsidRDefault="00A45355" w:rsidP="00A45355">
            <w:pPr>
              <w:pStyle w:val="TableDataEntries"/>
            </w:pPr>
            <w:r>
              <w:t>- 172.3</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A45355" w:rsidRPr="00040DED" w:rsidRDefault="00A45355" w:rsidP="00A45355">
            <w:pPr>
              <w:pStyle w:val="TableDataEntries"/>
            </w:pPr>
            <w:r>
              <w:t>- 121.5</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A45355" w:rsidRPr="00040DED" w:rsidRDefault="00A45355" w:rsidP="00A45355">
            <w:pPr>
              <w:pStyle w:val="TableDataEntries"/>
            </w:pPr>
            <w:r>
              <w:t>- 93.4</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A45355" w:rsidRPr="00040DED" w:rsidRDefault="00A45355" w:rsidP="00A45355">
            <w:pPr>
              <w:pStyle w:val="TableDataEntries"/>
            </w:pPr>
            <w:r>
              <w:t>- 36.9</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A45355" w:rsidRPr="00040DED" w:rsidRDefault="00A45355" w:rsidP="00A45355">
            <w:pPr>
              <w:pStyle w:val="TableDataEntries"/>
            </w:pPr>
            <w:r>
              <w:t>- 81.5</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A45355" w:rsidRPr="00040DED" w:rsidRDefault="00A45355" w:rsidP="00A45355">
            <w:pPr>
              <w:pStyle w:val="TableDataEntries"/>
            </w:pPr>
            <w:r>
              <w:t>- 9.4</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A45355" w:rsidRPr="00040DED" w:rsidRDefault="00A45355" w:rsidP="00A45355">
            <w:pPr>
              <w:pStyle w:val="TableDataEntries"/>
            </w:pPr>
            <w:r>
              <w:t>- 10.8</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A45355" w:rsidRPr="00040DED" w:rsidRDefault="00A45355" w:rsidP="00A45355">
            <w:pPr>
              <w:pStyle w:val="TableDataEntries"/>
            </w:pPr>
            <w:r>
              <w:t>- 2.4</w:t>
            </w:r>
          </w:p>
        </w:tc>
        <w:tc>
          <w:tcPr>
            <w:tcW w:w="79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A45355" w:rsidRPr="00040DED" w:rsidRDefault="00A45355" w:rsidP="00A45355">
            <w:pPr>
              <w:pStyle w:val="TableDataEntries"/>
            </w:pPr>
            <w:r>
              <w:t>- 528.2</w:t>
            </w:r>
          </w:p>
        </w:tc>
      </w:tr>
      <w:tr w:rsidR="00A45355" w:rsidTr="00C045C7">
        <w:trPr>
          <w:trHeight w:val="230"/>
        </w:trPr>
        <w:tc>
          <w:tcPr>
            <w:tcW w:w="161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A45355" w:rsidRDefault="00A45355" w:rsidP="00A45355">
            <w:pPr>
              <w:pStyle w:val="TableDataEntries"/>
              <w:jc w:val="left"/>
              <w:rPr>
                <w:lang w:val="en-GB"/>
              </w:rPr>
            </w:pPr>
            <w:r>
              <w:rPr>
                <w:lang w:val="en-GB"/>
              </w:rPr>
              <w:t>Administrative cost savings</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A45355" w:rsidRPr="00040DED" w:rsidRDefault="00A45355" w:rsidP="00A45355">
            <w:pPr>
              <w:pStyle w:val="TableDataEntries"/>
            </w:pPr>
            <w:r>
              <w:t xml:space="preserve"> 1.2</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A45355" w:rsidRPr="00040DED" w:rsidRDefault="00A45355" w:rsidP="00A45355">
            <w:pPr>
              <w:pStyle w:val="TableDataEntries"/>
            </w:pPr>
            <w:r>
              <w:t xml:space="preserve"> 1.0</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A45355" w:rsidRPr="00040DED" w:rsidRDefault="00A45355" w:rsidP="00A45355">
            <w:pPr>
              <w:pStyle w:val="TableDataEntries"/>
            </w:pPr>
            <w:r>
              <w:t xml:space="preserve"> 0.8</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A45355" w:rsidRPr="00040DED" w:rsidRDefault="00A45355" w:rsidP="00A45355">
            <w:pPr>
              <w:pStyle w:val="TableDataEntries"/>
            </w:pPr>
            <w:r>
              <w:t xml:space="preserve"> 0.2</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A45355" w:rsidRPr="00040DED" w:rsidRDefault="00A45355" w:rsidP="00A45355">
            <w:pPr>
              <w:pStyle w:val="TableDataEntries"/>
            </w:pPr>
            <w:r>
              <w:t xml:space="preserve"> 0.5</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A45355" w:rsidRPr="00040DED" w:rsidRDefault="00A45355" w:rsidP="00A45355">
            <w:pPr>
              <w:pStyle w:val="TableDataEntries"/>
            </w:pPr>
            <w:r>
              <w:t xml:space="preserve"> 0.0</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A45355" w:rsidRPr="00040DED" w:rsidRDefault="00A45355" w:rsidP="00A45355">
            <w:pPr>
              <w:pStyle w:val="TableDataEntries"/>
            </w:pPr>
            <w:r>
              <w:t xml:space="preserve"> 0.2</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A45355" w:rsidRPr="00040DED" w:rsidRDefault="00A45355" w:rsidP="00A45355">
            <w:pPr>
              <w:pStyle w:val="TableDataEntries"/>
            </w:pPr>
            <w:r>
              <w:t xml:space="preserve"> 0.0</w:t>
            </w:r>
          </w:p>
        </w:tc>
        <w:tc>
          <w:tcPr>
            <w:tcW w:w="79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A45355" w:rsidRPr="00040DED" w:rsidRDefault="00A45355" w:rsidP="00A45355">
            <w:pPr>
              <w:pStyle w:val="TableDataEntries"/>
            </w:pPr>
            <w:r>
              <w:t xml:space="preserve"> 3.9</w:t>
            </w:r>
          </w:p>
        </w:tc>
      </w:tr>
      <w:tr w:rsidR="00A45355" w:rsidTr="00C045C7">
        <w:trPr>
          <w:trHeight w:val="230"/>
        </w:trPr>
        <w:tc>
          <w:tcPr>
            <w:tcW w:w="161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A45355" w:rsidRDefault="00A45355" w:rsidP="00A45355">
            <w:pPr>
              <w:pStyle w:val="TableDataEntries"/>
              <w:jc w:val="left"/>
              <w:rPr>
                <w:lang w:val="en-GB"/>
              </w:rPr>
            </w:pPr>
            <w:r>
              <w:rPr>
                <w:lang w:val="en-GB"/>
              </w:rPr>
              <w:t>Industry retraining costs</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A45355" w:rsidRPr="00040DED" w:rsidRDefault="00A45355" w:rsidP="00A45355">
            <w:pPr>
              <w:pStyle w:val="TableDataEntries"/>
            </w:pPr>
            <w:r>
              <w:t>-5.6</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A45355" w:rsidRPr="00040DED" w:rsidRDefault="00A45355" w:rsidP="00A45355">
            <w:pPr>
              <w:pStyle w:val="TableDataEntries"/>
            </w:pPr>
            <w:r>
              <w:t>-4.9</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A45355" w:rsidRPr="00040DED" w:rsidRDefault="00A45355" w:rsidP="00A45355">
            <w:pPr>
              <w:pStyle w:val="TableDataEntries"/>
            </w:pPr>
            <w:r>
              <w:t>-2.9</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A45355" w:rsidRPr="00040DED" w:rsidRDefault="00A45355" w:rsidP="00A45355">
            <w:pPr>
              <w:pStyle w:val="TableDataEntries"/>
            </w:pPr>
            <w:r>
              <w:t>-0.9</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A45355" w:rsidRPr="00040DED" w:rsidRDefault="00A45355" w:rsidP="00A45355">
            <w:pPr>
              <w:pStyle w:val="TableDataEntries"/>
            </w:pPr>
            <w:r>
              <w:t>-1.9</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A45355" w:rsidRPr="00040DED" w:rsidRDefault="00A45355" w:rsidP="00A45355">
            <w:pPr>
              <w:pStyle w:val="TableDataEntries"/>
            </w:pPr>
            <w:r>
              <w:t>-0.2</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A45355" w:rsidRPr="00040DED" w:rsidRDefault="00A45355" w:rsidP="00A45355">
            <w:pPr>
              <w:pStyle w:val="TableDataEntries"/>
            </w:pPr>
            <w:r>
              <w:t>-0.3</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A45355" w:rsidRPr="00040DED" w:rsidRDefault="00A45355" w:rsidP="00A45355">
            <w:pPr>
              <w:pStyle w:val="TableDataEntries"/>
            </w:pPr>
            <w:r>
              <w:t>-0.1</w:t>
            </w:r>
          </w:p>
        </w:tc>
        <w:tc>
          <w:tcPr>
            <w:tcW w:w="79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A45355" w:rsidRPr="00040DED" w:rsidRDefault="00A45355" w:rsidP="00A45355">
            <w:pPr>
              <w:pStyle w:val="TableDataEntries"/>
            </w:pPr>
            <w:r>
              <w:t>-16.7</w:t>
            </w:r>
          </w:p>
        </w:tc>
      </w:tr>
      <w:tr w:rsidR="00A45355" w:rsidTr="00C045C7">
        <w:trPr>
          <w:trHeight w:val="230"/>
        </w:trPr>
        <w:tc>
          <w:tcPr>
            <w:tcW w:w="161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A45355" w:rsidRDefault="00A45355" w:rsidP="00A45355">
            <w:pPr>
              <w:pStyle w:val="TableDataEntries"/>
              <w:jc w:val="left"/>
              <w:rPr>
                <w:lang w:val="en-GB"/>
              </w:rPr>
            </w:pPr>
            <w:r>
              <w:rPr>
                <w:lang w:val="en-GB"/>
              </w:rPr>
              <w:t>Government implementation costs</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A45355" w:rsidRDefault="00A45355" w:rsidP="00A45355">
            <w:pPr>
              <w:pStyle w:val="TableDataEntries"/>
            </w:pPr>
            <w:r>
              <w:t>-0.1</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A45355" w:rsidRDefault="00A45355" w:rsidP="00A45355">
            <w:pPr>
              <w:pStyle w:val="TableDataEntries"/>
            </w:pPr>
            <w:r>
              <w:t>-0.1</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A45355" w:rsidRDefault="00A45355" w:rsidP="00A45355">
            <w:pPr>
              <w:pStyle w:val="TableDataEntries"/>
            </w:pPr>
            <w:r>
              <w:t>-0.1</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A45355" w:rsidRDefault="00A45355" w:rsidP="00A45355">
            <w:pPr>
              <w:pStyle w:val="TableDataEntries"/>
            </w:pPr>
            <w:r>
              <w:t>0.0</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A45355" w:rsidRDefault="00A45355" w:rsidP="00A45355">
            <w:pPr>
              <w:pStyle w:val="TableDataEntries"/>
            </w:pPr>
            <w:r>
              <w:t>0.0</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A45355" w:rsidRDefault="00A45355" w:rsidP="00A45355">
            <w:pPr>
              <w:pStyle w:val="TableDataEntries"/>
            </w:pPr>
            <w:r>
              <w:t>0.0</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A45355" w:rsidRDefault="00A45355" w:rsidP="00A45355">
            <w:pPr>
              <w:pStyle w:val="TableDataEntries"/>
            </w:pPr>
            <w:r>
              <w:t>0.0</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A45355" w:rsidRDefault="00A45355" w:rsidP="00A45355">
            <w:pPr>
              <w:pStyle w:val="TableDataEntries"/>
            </w:pPr>
            <w:r>
              <w:t>0.0</w:t>
            </w:r>
          </w:p>
        </w:tc>
        <w:tc>
          <w:tcPr>
            <w:tcW w:w="79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A45355" w:rsidRDefault="00A45355" w:rsidP="00A45355">
            <w:pPr>
              <w:pStyle w:val="TableDataEntries"/>
            </w:pPr>
            <w:r>
              <w:t>-0.4</w:t>
            </w:r>
          </w:p>
        </w:tc>
      </w:tr>
      <w:tr w:rsidR="00A45355" w:rsidRPr="009B5546" w:rsidTr="00C045C7">
        <w:trPr>
          <w:trHeight w:val="230"/>
        </w:trPr>
        <w:tc>
          <w:tcPr>
            <w:tcW w:w="161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A45355" w:rsidRPr="009B5546" w:rsidRDefault="00A45355" w:rsidP="00A45355">
            <w:pPr>
              <w:pStyle w:val="TableDataEntries"/>
              <w:jc w:val="left"/>
              <w:rPr>
                <w:rFonts w:ascii="Franklin Gothic Demi" w:hAnsi="Franklin Gothic Demi"/>
                <w:lang w:val="en-GB"/>
              </w:rPr>
            </w:pPr>
            <w:r w:rsidRPr="009B5546">
              <w:rPr>
                <w:rFonts w:ascii="Franklin Gothic Demi" w:hAnsi="Franklin Gothic Demi"/>
                <w:lang w:val="en-GB"/>
              </w:rPr>
              <w:t>Net impact on community</w:t>
            </w:r>
          </w:p>
        </w:tc>
        <w:tc>
          <w:tcPr>
            <w:tcW w:w="709"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A45355" w:rsidRPr="009B5546" w:rsidRDefault="00A45355" w:rsidP="00A45355">
            <w:pPr>
              <w:pStyle w:val="TableDataEntries"/>
              <w:rPr>
                <w:rFonts w:ascii="Franklin Gothic Demi" w:hAnsi="Franklin Gothic Demi"/>
              </w:rPr>
            </w:pPr>
            <w:r w:rsidRPr="009B5546">
              <w:rPr>
                <w:rFonts w:ascii="Franklin Gothic Demi" w:hAnsi="Franklin Gothic Demi"/>
              </w:rPr>
              <w:t xml:space="preserve"> 528.8</w:t>
            </w:r>
          </w:p>
        </w:tc>
        <w:tc>
          <w:tcPr>
            <w:tcW w:w="709"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A45355" w:rsidRPr="009B5546" w:rsidRDefault="00A45355" w:rsidP="00A45355">
            <w:pPr>
              <w:pStyle w:val="TableDataEntries"/>
              <w:rPr>
                <w:rFonts w:ascii="Franklin Gothic Demi" w:hAnsi="Franklin Gothic Demi"/>
              </w:rPr>
            </w:pPr>
            <w:r w:rsidRPr="009B5546">
              <w:rPr>
                <w:rFonts w:ascii="Franklin Gothic Demi" w:hAnsi="Franklin Gothic Demi"/>
              </w:rPr>
              <w:t xml:space="preserve"> 476.8</w:t>
            </w:r>
          </w:p>
        </w:tc>
        <w:tc>
          <w:tcPr>
            <w:tcW w:w="709"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A45355" w:rsidRPr="009B5546" w:rsidRDefault="00A45355" w:rsidP="00A45355">
            <w:pPr>
              <w:pStyle w:val="TableDataEntries"/>
              <w:rPr>
                <w:rFonts w:ascii="Franklin Gothic Demi" w:hAnsi="Franklin Gothic Demi"/>
              </w:rPr>
            </w:pPr>
            <w:r w:rsidRPr="009B5546">
              <w:rPr>
                <w:rFonts w:ascii="Franklin Gothic Demi" w:hAnsi="Franklin Gothic Demi"/>
              </w:rPr>
              <w:t xml:space="preserve"> 584.4</w:t>
            </w:r>
          </w:p>
        </w:tc>
        <w:tc>
          <w:tcPr>
            <w:tcW w:w="709"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A45355" w:rsidRPr="009B5546" w:rsidRDefault="00A45355" w:rsidP="00A45355">
            <w:pPr>
              <w:pStyle w:val="TableDataEntries"/>
              <w:rPr>
                <w:rFonts w:ascii="Franklin Gothic Demi" w:hAnsi="Franklin Gothic Demi"/>
              </w:rPr>
            </w:pPr>
            <w:r w:rsidRPr="009B5546">
              <w:rPr>
                <w:rFonts w:ascii="Franklin Gothic Demi" w:hAnsi="Franklin Gothic Demi"/>
              </w:rPr>
              <w:t xml:space="preserve"> 117.5</w:t>
            </w:r>
          </w:p>
        </w:tc>
        <w:tc>
          <w:tcPr>
            <w:tcW w:w="709"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A45355" w:rsidRPr="009B5546" w:rsidRDefault="00A45355" w:rsidP="00A45355">
            <w:pPr>
              <w:pStyle w:val="TableDataEntries"/>
              <w:rPr>
                <w:rFonts w:ascii="Franklin Gothic Demi" w:hAnsi="Franklin Gothic Demi"/>
              </w:rPr>
            </w:pPr>
            <w:r w:rsidRPr="009B5546">
              <w:rPr>
                <w:rFonts w:ascii="Franklin Gothic Demi" w:hAnsi="Franklin Gothic Demi"/>
              </w:rPr>
              <w:t xml:space="preserve"> 289.9</w:t>
            </w:r>
          </w:p>
        </w:tc>
        <w:tc>
          <w:tcPr>
            <w:tcW w:w="709"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A45355" w:rsidRPr="009B5546" w:rsidRDefault="00A45355" w:rsidP="00A45355">
            <w:pPr>
              <w:pStyle w:val="TableDataEntries"/>
              <w:rPr>
                <w:rFonts w:ascii="Franklin Gothic Demi" w:hAnsi="Franklin Gothic Demi"/>
              </w:rPr>
            </w:pPr>
            <w:r w:rsidRPr="009B5546">
              <w:rPr>
                <w:rFonts w:ascii="Franklin Gothic Demi" w:hAnsi="Franklin Gothic Demi"/>
              </w:rPr>
              <w:t xml:space="preserve"> 14.4</w:t>
            </w:r>
          </w:p>
        </w:tc>
        <w:tc>
          <w:tcPr>
            <w:tcW w:w="709"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A45355" w:rsidRPr="009B5546" w:rsidRDefault="00A45355" w:rsidP="00A45355">
            <w:pPr>
              <w:pStyle w:val="TableDataEntries"/>
              <w:rPr>
                <w:rFonts w:ascii="Franklin Gothic Demi" w:hAnsi="Franklin Gothic Demi"/>
              </w:rPr>
            </w:pPr>
            <w:r w:rsidRPr="009B5546">
              <w:rPr>
                <w:rFonts w:ascii="Franklin Gothic Demi" w:hAnsi="Franklin Gothic Demi"/>
              </w:rPr>
              <w:t xml:space="preserve"> 24.0</w:t>
            </w:r>
          </w:p>
        </w:tc>
        <w:tc>
          <w:tcPr>
            <w:tcW w:w="709"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A45355" w:rsidRPr="009B5546" w:rsidRDefault="00A45355" w:rsidP="00A45355">
            <w:pPr>
              <w:pStyle w:val="TableDataEntries"/>
              <w:rPr>
                <w:rFonts w:ascii="Franklin Gothic Demi" w:hAnsi="Franklin Gothic Demi"/>
              </w:rPr>
            </w:pPr>
            <w:r w:rsidRPr="009B5546">
              <w:rPr>
                <w:rFonts w:ascii="Franklin Gothic Demi" w:hAnsi="Franklin Gothic Demi"/>
              </w:rPr>
              <w:t xml:space="preserve"> 44.5</w:t>
            </w:r>
          </w:p>
        </w:tc>
        <w:tc>
          <w:tcPr>
            <w:tcW w:w="792"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A45355" w:rsidRPr="009B5546" w:rsidRDefault="00A45355" w:rsidP="00A45355">
            <w:pPr>
              <w:pStyle w:val="TableDataEntries"/>
              <w:rPr>
                <w:rFonts w:ascii="Franklin Gothic Demi" w:hAnsi="Franklin Gothic Demi"/>
              </w:rPr>
            </w:pPr>
            <w:r w:rsidRPr="009B5546">
              <w:rPr>
                <w:rFonts w:ascii="Franklin Gothic Demi" w:hAnsi="Franklin Gothic Demi"/>
              </w:rPr>
              <w:t>2 080.2</w:t>
            </w:r>
          </w:p>
        </w:tc>
      </w:tr>
      <w:tr w:rsidR="00A45355" w:rsidTr="00C045C7">
        <w:trPr>
          <w:trHeight w:val="230"/>
        </w:trPr>
        <w:tc>
          <w:tcPr>
            <w:tcW w:w="161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A45355" w:rsidRDefault="00A45355" w:rsidP="00A45355">
            <w:pPr>
              <w:pStyle w:val="TableTextEntries"/>
              <w:rPr>
                <w:lang w:val="en-GB"/>
              </w:rPr>
            </w:pPr>
            <w:r>
              <w:rPr>
                <w:lang w:val="en-GB"/>
              </w:rPr>
              <w:t>GHG savings</w:t>
            </w:r>
            <w:r>
              <w:rPr>
                <w:rStyle w:val="NoteLabel"/>
              </w:rPr>
              <w:t>a</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A45355" w:rsidRPr="00040DED" w:rsidRDefault="00A45355" w:rsidP="00A45355">
            <w:pPr>
              <w:pStyle w:val="TableDataEntries"/>
            </w:pPr>
            <w:r>
              <w:t xml:space="preserve"> 195.4</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A45355" w:rsidRPr="00040DED" w:rsidRDefault="00A45355" w:rsidP="00A45355">
            <w:pPr>
              <w:pStyle w:val="TableDataEntries"/>
            </w:pPr>
            <w:r>
              <w:t xml:space="preserve"> 203.5</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A45355" w:rsidRPr="00040DED" w:rsidRDefault="00A45355" w:rsidP="00A45355">
            <w:pPr>
              <w:pStyle w:val="TableDataEntries"/>
            </w:pPr>
            <w:r>
              <w:t xml:space="preserve"> 199.8</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A45355" w:rsidRPr="00040DED" w:rsidRDefault="00A45355" w:rsidP="00A45355">
            <w:pPr>
              <w:pStyle w:val="TableDataEntries"/>
            </w:pPr>
            <w:r>
              <w:t xml:space="preserve"> 28.5</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A45355" w:rsidRPr="00040DED" w:rsidRDefault="00A45355" w:rsidP="00A45355">
            <w:pPr>
              <w:pStyle w:val="TableDataEntries"/>
            </w:pPr>
            <w:r>
              <w:t xml:space="preserve"> 83.9</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A45355" w:rsidRPr="00040DED" w:rsidRDefault="00A45355" w:rsidP="00A45355">
            <w:pPr>
              <w:pStyle w:val="TableDataEntries"/>
            </w:pPr>
            <w:r>
              <w:t xml:space="preserve"> 3.2</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A45355" w:rsidRPr="00040DED" w:rsidRDefault="00A45355" w:rsidP="00A45355">
            <w:pPr>
              <w:pStyle w:val="TableDataEntries"/>
            </w:pPr>
            <w:r>
              <w:t xml:space="preserve"> 12.1</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A45355" w:rsidRPr="00040DED" w:rsidRDefault="00A45355" w:rsidP="00A45355">
            <w:pPr>
              <w:pStyle w:val="TableDataEntries"/>
            </w:pPr>
            <w:r>
              <w:t xml:space="preserve"> 11.4</w:t>
            </w:r>
          </w:p>
        </w:tc>
        <w:tc>
          <w:tcPr>
            <w:tcW w:w="79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A45355" w:rsidRPr="00040DED" w:rsidRDefault="00A45355" w:rsidP="00A45355">
            <w:pPr>
              <w:pStyle w:val="TableDataEntries"/>
            </w:pPr>
            <w:r>
              <w:t xml:space="preserve"> 737.8</w:t>
            </w:r>
          </w:p>
        </w:tc>
      </w:tr>
      <w:tr w:rsidR="00A45355" w:rsidRPr="008D1885" w:rsidTr="00C045C7">
        <w:trPr>
          <w:trHeight w:val="230"/>
        </w:trPr>
        <w:tc>
          <w:tcPr>
            <w:tcW w:w="1616"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rsidR="00A45355" w:rsidRPr="008D1885" w:rsidRDefault="00A45355" w:rsidP="00A45355">
            <w:pPr>
              <w:pStyle w:val="TableTextEntries"/>
              <w:rPr>
                <w:rFonts w:ascii="Franklin Gothic Demi" w:hAnsi="Franklin Gothic Demi"/>
                <w:lang w:val="en-GB"/>
              </w:rPr>
            </w:pPr>
            <w:r w:rsidRPr="00EE6C8D">
              <w:t>Total impacts</w:t>
            </w:r>
            <w:r w:rsidRPr="00A45355">
              <w:rPr>
                <w:rStyle w:val="NoteLabel"/>
              </w:rPr>
              <w:t xml:space="preserve">b </w:t>
            </w:r>
            <w:r w:rsidRPr="00A45355">
              <w:t>(NPV)</w:t>
            </w:r>
          </w:p>
        </w:tc>
        <w:tc>
          <w:tcPr>
            <w:tcW w:w="709"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A45355" w:rsidRPr="008D1885" w:rsidRDefault="00A45355" w:rsidP="00A45355">
            <w:pPr>
              <w:pStyle w:val="TableDataEntries"/>
              <w:rPr>
                <w:rFonts w:ascii="Franklin Gothic Demi" w:hAnsi="Franklin Gothic Demi"/>
              </w:rPr>
            </w:pPr>
            <w:r>
              <w:t xml:space="preserve"> 724.2</w:t>
            </w:r>
          </w:p>
        </w:tc>
        <w:tc>
          <w:tcPr>
            <w:tcW w:w="709"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A45355" w:rsidRPr="008D1885" w:rsidRDefault="00A45355" w:rsidP="00A45355">
            <w:pPr>
              <w:pStyle w:val="TableDataEntries"/>
              <w:rPr>
                <w:rFonts w:ascii="Franklin Gothic Demi" w:hAnsi="Franklin Gothic Demi"/>
              </w:rPr>
            </w:pPr>
            <w:r>
              <w:t xml:space="preserve"> 680.3</w:t>
            </w:r>
          </w:p>
        </w:tc>
        <w:tc>
          <w:tcPr>
            <w:tcW w:w="709"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A45355" w:rsidRPr="008D1885" w:rsidRDefault="00A45355" w:rsidP="00A45355">
            <w:pPr>
              <w:pStyle w:val="TableDataEntries"/>
              <w:rPr>
                <w:rFonts w:ascii="Franklin Gothic Demi" w:hAnsi="Franklin Gothic Demi"/>
              </w:rPr>
            </w:pPr>
            <w:r>
              <w:t xml:space="preserve"> 784.2</w:t>
            </w:r>
          </w:p>
        </w:tc>
        <w:tc>
          <w:tcPr>
            <w:tcW w:w="709"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A45355" w:rsidRPr="008D1885" w:rsidRDefault="00A45355" w:rsidP="00A45355">
            <w:pPr>
              <w:pStyle w:val="TableDataEntries"/>
              <w:rPr>
                <w:rFonts w:ascii="Franklin Gothic Demi" w:hAnsi="Franklin Gothic Demi"/>
              </w:rPr>
            </w:pPr>
            <w:r>
              <w:t xml:space="preserve"> 146.0</w:t>
            </w:r>
          </w:p>
        </w:tc>
        <w:tc>
          <w:tcPr>
            <w:tcW w:w="709"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A45355" w:rsidRPr="008D1885" w:rsidRDefault="00A45355" w:rsidP="00A45355">
            <w:pPr>
              <w:pStyle w:val="TableDataEntries"/>
              <w:rPr>
                <w:rFonts w:ascii="Franklin Gothic Demi" w:hAnsi="Franklin Gothic Demi"/>
              </w:rPr>
            </w:pPr>
            <w:r>
              <w:t xml:space="preserve"> 373.8</w:t>
            </w:r>
          </w:p>
        </w:tc>
        <w:tc>
          <w:tcPr>
            <w:tcW w:w="709"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A45355" w:rsidRPr="008D1885" w:rsidRDefault="00A45355" w:rsidP="00A45355">
            <w:pPr>
              <w:pStyle w:val="TableDataEntries"/>
              <w:rPr>
                <w:rFonts w:ascii="Franklin Gothic Demi" w:hAnsi="Franklin Gothic Demi"/>
              </w:rPr>
            </w:pPr>
            <w:r>
              <w:t xml:space="preserve"> 17.6</w:t>
            </w:r>
          </w:p>
        </w:tc>
        <w:tc>
          <w:tcPr>
            <w:tcW w:w="709"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A45355" w:rsidRPr="008D1885" w:rsidRDefault="00A45355" w:rsidP="00A45355">
            <w:pPr>
              <w:pStyle w:val="TableDataEntries"/>
              <w:rPr>
                <w:rFonts w:ascii="Franklin Gothic Demi" w:hAnsi="Franklin Gothic Demi"/>
              </w:rPr>
            </w:pPr>
            <w:r>
              <w:t xml:space="preserve"> 36.1</w:t>
            </w:r>
          </w:p>
        </w:tc>
        <w:tc>
          <w:tcPr>
            <w:tcW w:w="709"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A45355" w:rsidRPr="008D1885" w:rsidRDefault="00A45355" w:rsidP="00A45355">
            <w:pPr>
              <w:pStyle w:val="TableDataEntries"/>
              <w:rPr>
                <w:rFonts w:ascii="Franklin Gothic Demi" w:hAnsi="Franklin Gothic Demi"/>
              </w:rPr>
            </w:pPr>
            <w:r>
              <w:t xml:space="preserve"> 55.8</w:t>
            </w:r>
          </w:p>
        </w:tc>
        <w:tc>
          <w:tcPr>
            <w:tcW w:w="792"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A45355" w:rsidRPr="008D1885" w:rsidRDefault="00A45355" w:rsidP="00A45355">
            <w:pPr>
              <w:pStyle w:val="TableDataEntries"/>
              <w:rPr>
                <w:rFonts w:ascii="Franklin Gothic Demi" w:hAnsi="Franklin Gothic Demi"/>
              </w:rPr>
            </w:pPr>
            <w:r>
              <w:t>2 818.0</w:t>
            </w:r>
          </w:p>
        </w:tc>
      </w:tr>
    </w:tbl>
    <w:p w:rsidR="00AB7133" w:rsidRPr="00EE6C8D" w:rsidRDefault="00AB7133" w:rsidP="00AB7133">
      <w:pPr>
        <w:pStyle w:val="Note"/>
      </w:pPr>
      <w:r w:rsidRPr="00EE6C8D">
        <w:rPr>
          <w:rStyle w:val="NoteLabel"/>
        </w:rPr>
        <w:t>a</w:t>
      </w:r>
      <w:r>
        <w:t xml:space="preserve"> GHG savings are global benefits. </w:t>
      </w:r>
      <w:r w:rsidRPr="00EE6C8D">
        <w:rPr>
          <w:rStyle w:val="NoteLabel"/>
        </w:rPr>
        <w:t>b</w:t>
      </w:r>
      <w:r>
        <w:t xml:space="preserve"> Includes the global benefits from reduced GHG emissions.</w:t>
      </w:r>
    </w:p>
    <w:p w:rsidR="00406AD8" w:rsidRDefault="00406AD8" w:rsidP="00406AD8">
      <w:pPr>
        <w:pStyle w:val="Note"/>
      </w:pPr>
      <w:r w:rsidRPr="007D1B4F">
        <w:rPr>
          <w:i/>
        </w:rPr>
        <w:t>Note:</w:t>
      </w:r>
      <w:r w:rsidRPr="00E879B8">
        <w:t xml:space="preserve"> </w:t>
      </w:r>
      <w:r>
        <w:t>Costs and benefits estimated in present value terms over the 40 year life of all commercial building construction over a ten year regulatory period, using a discount rate of 7 per cent. Benefits are represented as a positive number; costs are represented as a negative number. Net social benefits include net private benefits and public benefits from greenhouse gas emissions</w:t>
      </w:r>
    </w:p>
    <w:p w:rsidR="00406AD8" w:rsidRDefault="00406AD8" w:rsidP="00406AD8">
      <w:pPr>
        <w:pStyle w:val="Source"/>
      </w:pPr>
      <w:r>
        <w:rPr>
          <w:i/>
        </w:rPr>
        <w:t>Source</w:t>
      </w:r>
      <w:r w:rsidRPr="00E4232C">
        <w:rPr>
          <w:i/>
        </w:rPr>
        <w:t>:</w:t>
      </w:r>
      <w:r>
        <w:t xml:space="preserve"> CIE estimates based on EA modelling.</w:t>
      </w:r>
    </w:p>
    <w:p w:rsidR="005E7CBB" w:rsidRDefault="00297500" w:rsidP="005E7CBB">
      <w:pPr>
        <w:pStyle w:val="BodyText"/>
      </w:pPr>
      <w:r>
        <w:rPr>
          <w:noProof/>
        </w:rPr>
        <w:t xml:space="preserve">The community </w:t>
      </w:r>
      <w:r w:rsidR="005E7CBB">
        <w:rPr>
          <w:noProof/>
        </w:rPr>
        <w:t xml:space="preserve">(i.e. </w:t>
      </w:r>
      <w:r>
        <w:rPr>
          <w:noProof/>
        </w:rPr>
        <w:t xml:space="preserve">including the costs and benefits to the Australian community, but </w:t>
      </w:r>
      <w:r w:rsidR="005E7CBB">
        <w:rPr>
          <w:noProof/>
        </w:rPr>
        <w:t xml:space="preserve">excluding the </w:t>
      </w:r>
      <w:r>
        <w:rPr>
          <w:noProof/>
        </w:rPr>
        <w:t xml:space="preserve">global </w:t>
      </w:r>
      <w:r w:rsidR="005E7CBB">
        <w:rPr>
          <w:noProof/>
        </w:rPr>
        <w:t xml:space="preserve">benefits from reduced GHG emissions) and </w:t>
      </w:r>
      <w:r>
        <w:rPr>
          <w:noProof/>
        </w:rPr>
        <w:t xml:space="preserve">total </w:t>
      </w:r>
      <w:r w:rsidR="005E7CBB">
        <w:rPr>
          <w:noProof/>
        </w:rPr>
        <w:t>(including all costs and benefits</w:t>
      </w:r>
      <w:r>
        <w:rPr>
          <w:noProof/>
        </w:rPr>
        <w:t xml:space="preserve"> to the Australian community</w:t>
      </w:r>
      <w:r w:rsidR="005E7CBB">
        <w:rPr>
          <w:noProof/>
        </w:rPr>
        <w:t xml:space="preserve">, as well as the </w:t>
      </w:r>
      <w:r>
        <w:rPr>
          <w:noProof/>
        </w:rPr>
        <w:t xml:space="preserve">global </w:t>
      </w:r>
      <w:r w:rsidR="005E7CBB">
        <w:rPr>
          <w:noProof/>
        </w:rPr>
        <w:t>benefits from reduced GHG emissions) benefit</w:t>
      </w:r>
      <w:r w:rsidR="005E7CBB">
        <w:rPr>
          <w:noProof/>
        </w:rPr>
        <w:noBreakHyphen/>
        <w:t xml:space="preserve">cost ratios </w:t>
      </w:r>
      <w:r>
        <w:rPr>
          <w:noProof/>
        </w:rPr>
        <w:t xml:space="preserve">(BCRs) </w:t>
      </w:r>
      <w:r w:rsidR="005E7CBB">
        <w:rPr>
          <w:noProof/>
        </w:rPr>
        <w:t>are reported in table </w:t>
      </w:r>
      <w:r w:rsidR="005E7CBB">
        <w:rPr>
          <w:noProof/>
        </w:rPr>
        <w:fldChar w:fldCharType="begin"/>
      </w:r>
      <w:r w:rsidR="005E7CBB">
        <w:rPr>
          <w:noProof/>
        </w:rPr>
        <w:instrText xml:space="preserve"> REF _Caption6781 </w:instrText>
      </w:r>
      <w:r w:rsidR="005E7CBB">
        <w:rPr>
          <w:noProof/>
        </w:rPr>
        <w:fldChar w:fldCharType="separate"/>
      </w:r>
      <w:r w:rsidR="006B79B8">
        <w:rPr>
          <w:noProof/>
        </w:rPr>
        <w:t>8</w:t>
      </w:r>
      <w:r w:rsidR="006B79B8" w:rsidRPr="00227C65">
        <w:rPr>
          <w:noProof/>
        </w:rPr>
        <w:t>.</w:t>
      </w:r>
      <w:r w:rsidR="006B79B8">
        <w:rPr>
          <w:noProof/>
        </w:rPr>
        <w:t>15</w:t>
      </w:r>
      <w:r w:rsidR="005E7CBB">
        <w:rPr>
          <w:noProof/>
        </w:rPr>
        <w:fldChar w:fldCharType="end"/>
      </w:r>
      <w:r w:rsidR="005E7CBB">
        <w:t>.</w:t>
      </w:r>
    </w:p>
    <w:p w:rsidR="005E7CBB" w:rsidRDefault="005E7CBB" w:rsidP="00EC1D99">
      <w:pPr>
        <w:pStyle w:val="ListBullet"/>
      </w:pPr>
      <w:r>
        <w:t>Under the low realisation scenario</w:t>
      </w:r>
      <w:r w:rsidR="00EC1D99">
        <w:t>, t</w:t>
      </w:r>
      <w:r>
        <w:t xml:space="preserve">he </w:t>
      </w:r>
      <w:r w:rsidR="00297500">
        <w:t xml:space="preserve">community </w:t>
      </w:r>
      <w:r>
        <w:t>BCR is estimated at around 2.5</w:t>
      </w:r>
      <w:r w:rsidR="00EC1D99">
        <w:t xml:space="preserve"> at the national level, while the </w:t>
      </w:r>
      <w:r w:rsidR="00297500">
        <w:t xml:space="preserve">total </w:t>
      </w:r>
      <w:r>
        <w:t>BCR is estimated at around 3.2</w:t>
      </w:r>
      <w:r w:rsidR="00EC1D99">
        <w:t>.</w:t>
      </w:r>
    </w:p>
    <w:p w:rsidR="005E7CBB" w:rsidRDefault="005E7CBB" w:rsidP="002B3C0A">
      <w:pPr>
        <w:pStyle w:val="ListBullet"/>
      </w:pPr>
      <w:r>
        <w:t>Under the medium realisation scenario</w:t>
      </w:r>
      <w:r w:rsidR="00EC1D99">
        <w:t xml:space="preserve">, </w:t>
      </w:r>
      <w:r>
        <w:t xml:space="preserve">the </w:t>
      </w:r>
      <w:r w:rsidR="00297500">
        <w:t xml:space="preserve">community </w:t>
      </w:r>
      <w:r>
        <w:t xml:space="preserve">BCR is estimated at around </w:t>
      </w:r>
      <w:r w:rsidR="00EC1D99">
        <w:t xml:space="preserve">3.7. The </w:t>
      </w:r>
      <w:r w:rsidR="00297500">
        <w:t xml:space="preserve">total </w:t>
      </w:r>
      <w:r>
        <w:t xml:space="preserve">BCR is estimated at around </w:t>
      </w:r>
      <w:r w:rsidR="00EC1D99">
        <w:t>4.8.</w:t>
      </w:r>
    </w:p>
    <w:p w:rsidR="005E7CBB" w:rsidRDefault="005E7CBB" w:rsidP="002B3C0A">
      <w:pPr>
        <w:pStyle w:val="ListBullet"/>
      </w:pPr>
      <w:r>
        <w:t xml:space="preserve">Under the </w:t>
      </w:r>
      <w:r w:rsidR="00EC1D99">
        <w:t>high</w:t>
      </w:r>
      <w:r>
        <w:t xml:space="preserve"> realisation scenario</w:t>
      </w:r>
      <w:r w:rsidR="00EC1D99">
        <w:t>, t</w:t>
      </w:r>
      <w:r>
        <w:t xml:space="preserve">he </w:t>
      </w:r>
      <w:r w:rsidR="00297500">
        <w:t xml:space="preserve">community </w:t>
      </w:r>
      <w:r>
        <w:t xml:space="preserve">BCR is estimated at around </w:t>
      </w:r>
      <w:r w:rsidR="00EC1D99">
        <w:t xml:space="preserve">5.0. </w:t>
      </w:r>
      <w:r>
        <w:t xml:space="preserve">The </w:t>
      </w:r>
      <w:r w:rsidR="00297500">
        <w:t xml:space="preserve">total </w:t>
      </w:r>
      <w:r>
        <w:t xml:space="preserve">BCR is estimated at around </w:t>
      </w:r>
      <w:r w:rsidR="00EC1D99">
        <w:t>6.4.</w:t>
      </w:r>
    </w:p>
    <w:p w:rsidR="005E7CBB" w:rsidRDefault="005E7CBB" w:rsidP="005E7CBB">
      <w:pPr>
        <w:pStyle w:val="BodyText"/>
      </w:pPr>
      <w:r>
        <w:t xml:space="preserve">Across states and territories, the benefit-cost ratios (BCRs) vary considerably. Nevertheless, they exceed 1 (indicating the benefits outweigh the costs) in all </w:t>
      </w:r>
      <w:r w:rsidR="00894468">
        <w:t>jurisdictions</w:t>
      </w:r>
      <w:r>
        <w:t xml:space="preserve"> in all of the </w:t>
      </w:r>
      <w:r w:rsidR="00EC1D99">
        <w:t xml:space="preserve">realisation </w:t>
      </w:r>
      <w:r>
        <w:t>scenarios. The BCRs are:</w:t>
      </w:r>
    </w:p>
    <w:p w:rsidR="005E7CBB" w:rsidRDefault="005E7CBB" w:rsidP="005E7CBB">
      <w:pPr>
        <w:pStyle w:val="ListBullet"/>
      </w:pPr>
      <w:r>
        <w:t>highest in the Northern Territory and Queensland (i.e. warmer climates).</w:t>
      </w:r>
    </w:p>
    <w:p w:rsidR="005E7CBB" w:rsidRDefault="005E7CBB" w:rsidP="005E7CBB">
      <w:pPr>
        <w:pStyle w:val="ListBullet"/>
      </w:pPr>
      <w:r>
        <w:t xml:space="preserve">lowest in Tasmania, which </w:t>
      </w:r>
      <w:r w:rsidR="00EC1D99">
        <w:t>has a</w:t>
      </w:r>
      <w:r>
        <w:t xml:space="preserve"> cooler climate</w:t>
      </w:r>
      <w:r w:rsidR="00EC1D99">
        <w:t>, relatively low energy prices and low emissions intensity</w:t>
      </w:r>
      <w:r>
        <w:t>.</w:t>
      </w:r>
    </w:p>
    <w:p w:rsidR="00251244" w:rsidRPr="000746A6" w:rsidRDefault="00251244" w:rsidP="00251244">
      <w:pPr>
        <w:pStyle w:val="Caption"/>
      </w:pPr>
      <w:r w:rsidRPr="00242508">
        <w:fldChar w:fldCharType="begin"/>
      </w:r>
      <w:r w:rsidRPr="00227C65">
        <w:instrText xml:space="preserve"> IF 1 = 1 "</w:instrText>
      </w:r>
      <w:r w:rsidRPr="002B3C0A">
        <w:fldChar w:fldCharType="begin"/>
      </w:r>
      <w:r w:rsidRPr="00227C65">
        <w:instrText xml:space="preserve"> IF </w:instrText>
      </w:r>
      <w:r w:rsidRPr="002B3C0A">
        <w:rPr>
          <w:noProof/>
        </w:rPr>
        <w:fldChar w:fldCharType="begin"/>
      </w:r>
      <w:r w:rsidRPr="00227C65">
        <w:rPr>
          <w:noProof/>
        </w:rPr>
        <w:instrText xml:space="preserve"> STYLEREF "Heading 6" \l \n </w:instrText>
      </w:r>
      <w:r w:rsidRPr="002B3C0A">
        <w:rPr>
          <w:noProof/>
        </w:rPr>
        <w:fldChar w:fldCharType="separate"/>
      </w:r>
      <w:r w:rsidR="00B833F1">
        <w:rPr>
          <w:noProof/>
        </w:rPr>
        <w:instrText>0</w:instrText>
      </w:r>
      <w:r w:rsidRPr="002B3C0A">
        <w:rPr>
          <w:noProof/>
        </w:rPr>
        <w:fldChar w:fldCharType="end"/>
      </w:r>
      <w:r w:rsidRPr="00227C65">
        <w:instrText xml:space="preserve"> = 0 "</w:instrText>
      </w:r>
      <w:r w:rsidRPr="002B3C0A">
        <w:fldChar w:fldCharType="begin"/>
      </w:r>
      <w:r w:rsidRPr="00227C65">
        <w:instrText xml:space="preserve"> IF </w:instrText>
      </w:r>
      <w:r w:rsidRPr="002B3C0A">
        <w:rPr>
          <w:noProof/>
        </w:rPr>
        <w:fldChar w:fldCharType="begin"/>
      </w:r>
      <w:r w:rsidRPr="00227C65">
        <w:rPr>
          <w:noProof/>
        </w:rPr>
        <w:instrText xml:space="preserve"> STYLEREF "Heading 1" \l \n </w:instrText>
      </w:r>
      <w:r w:rsidRPr="002B3C0A">
        <w:rPr>
          <w:noProof/>
        </w:rPr>
        <w:fldChar w:fldCharType="separate"/>
      </w:r>
      <w:r w:rsidR="00B833F1">
        <w:rPr>
          <w:noProof/>
        </w:rPr>
        <w:instrText>8</w:instrText>
      </w:r>
      <w:r w:rsidRPr="002B3C0A">
        <w:rPr>
          <w:noProof/>
        </w:rPr>
        <w:fldChar w:fldCharType="end"/>
      </w:r>
      <w:r w:rsidRPr="00227C65">
        <w:instrText xml:space="preserve"> = 0 "" "</w:instrText>
      </w:r>
      <w:r w:rsidRPr="002B3C0A">
        <w:rPr>
          <w:noProof/>
        </w:rPr>
        <w:fldChar w:fldCharType="begin"/>
      </w:r>
      <w:r w:rsidRPr="00227C65">
        <w:rPr>
          <w:noProof/>
        </w:rPr>
        <w:instrText xml:space="preserve"> STYLEREF "Heading 1" \l \n </w:instrText>
      </w:r>
      <w:r w:rsidRPr="002B3C0A">
        <w:rPr>
          <w:noProof/>
        </w:rPr>
        <w:fldChar w:fldCharType="separate"/>
      </w:r>
      <w:r w:rsidR="00B833F1">
        <w:rPr>
          <w:noProof/>
        </w:rPr>
        <w:instrText>8</w:instrText>
      </w:r>
      <w:r w:rsidRPr="002B3C0A">
        <w:rPr>
          <w:noProof/>
        </w:rPr>
        <w:fldChar w:fldCharType="end"/>
      </w:r>
      <w:r w:rsidRPr="00227C65">
        <w:instrText xml:space="preserve">." </w:instrText>
      </w:r>
      <w:r w:rsidRPr="002B3C0A">
        <w:fldChar w:fldCharType="separate"/>
      </w:r>
      <w:r w:rsidR="00B833F1">
        <w:rPr>
          <w:noProof/>
        </w:rPr>
        <w:instrText>8</w:instrText>
      </w:r>
      <w:r w:rsidR="00B833F1" w:rsidRPr="00227C65">
        <w:rPr>
          <w:noProof/>
        </w:rPr>
        <w:instrText>.</w:instrText>
      </w:r>
      <w:r w:rsidRPr="002B3C0A">
        <w:fldChar w:fldCharType="end"/>
      </w:r>
      <w:r w:rsidRPr="00227C65">
        <w:instrText>" "</w:instrText>
      </w:r>
      <w:r w:rsidRPr="002B3C0A">
        <w:fldChar w:fldCharType="begin"/>
      </w:r>
      <w:r w:rsidRPr="00227C65">
        <w:instrText xml:space="preserve"> STYLEREF "Heading 6" \l \n </w:instrText>
      </w:r>
      <w:r w:rsidRPr="002B3C0A">
        <w:fldChar w:fldCharType="separate"/>
      </w:r>
      <w:r w:rsidRPr="00227C65">
        <w:instrText>B</w:instrText>
      </w:r>
      <w:r w:rsidRPr="002B3C0A">
        <w:fldChar w:fldCharType="end"/>
      </w:r>
      <w:r w:rsidRPr="00227C65">
        <w:instrText xml:space="preserve">." </w:instrText>
      </w:r>
      <w:r w:rsidRPr="002B3C0A">
        <w:fldChar w:fldCharType="separate"/>
      </w:r>
      <w:r w:rsidR="00EA42ED">
        <w:rPr>
          <w:noProof/>
        </w:rPr>
        <w:instrText>8</w:instrText>
      </w:r>
      <w:r w:rsidR="00EA42ED" w:rsidRPr="00227C65">
        <w:rPr>
          <w:noProof/>
        </w:rPr>
        <w:instrText>.</w:instrText>
      </w:r>
      <w:r w:rsidRPr="002B3C0A">
        <w:fldChar w:fldCharType="end"/>
      </w:r>
      <w:r w:rsidRPr="002B3C0A">
        <w:fldChar w:fldCharType="begin"/>
      </w:r>
      <w:r w:rsidRPr="00227C65">
        <w:instrText xml:space="preserve"> SEQ Item \* ARABIC \s </w:instrText>
      </w:r>
      <w:r w:rsidRPr="002B3C0A">
        <w:fldChar w:fldCharType="begin"/>
      </w:r>
      <w:r w:rsidRPr="00227C65">
        <w:instrText xml:space="preserve"> IF </w:instrText>
      </w:r>
      <w:r w:rsidRPr="002B3C0A">
        <w:rPr>
          <w:noProof/>
        </w:rPr>
        <w:fldChar w:fldCharType="begin"/>
      </w:r>
      <w:r w:rsidRPr="00227C65">
        <w:rPr>
          <w:noProof/>
        </w:rPr>
        <w:instrText xml:space="preserve"> STYLEREF "Heading 6" \l \n </w:instrText>
      </w:r>
      <w:r w:rsidRPr="002B3C0A">
        <w:rPr>
          <w:noProof/>
        </w:rPr>
        <w:fldChar w:fldCharType="separate"/>
      </w:r>
      <w:r w:rsidR="00B833F1">
        <w:rPr>
          <w:noProof/>
        </w:rPr>
        <w:instrText>0</w:instrText>
      </w:r>
      <w:r w:rsidRPr="002B3C0A">
        <w:rPr>
          <w:noProof/>
        </w:rPr>
        <w:fldChar w:fldCharType="end"/>
      </w:r>
      <w:r w:rsidRPr="00227C65">
        <w:instrText xml:space="preserve"> = 0 "</w:instrText>
      </w:r>
      <w:r w:rsidRPr="002B3C0A">
        <w:fldChar w:fldCharType="begin"/>
      </w:r>
      <w:r w:rsidRPr="00227C65">
        <w:instrText xml:space="preserve"> IF </w:instrText>
      </w:r>
      <w:r w:rsidRPr="002B3C0A">
        <w:rPr>
          <w:noProof/>
        </w:rPr>
        <w:fldChar w:fldCharType="begin"/>
      </w:r>
      <w:r w:rsidRPr="00227C65">
        <w:rPr>
          <w:noProof/>
        </w:rPr>
        <w:instrText xml:space="preserve"> STYLEREF "Heading 1" \l \n </w:instrText>
      </w:r>
      <w:r w:rsidRPr="002B3C0A">
        <w:rPr>
          <w:noProof/>
        </w:rPr>
        <w:fldChar w:fldCharType="separate"/>
      </w:r>
      <w:r w:rsidR="00B833F1">
        <w:rPr>
          <w:noProof/>
        </w:rPr>
        <w:instrText>8</w:instrText>
      </w:r>
      <w:r w:rsidRPr="002B3C0A">
        <w:rPr>
          <w:noProof/>
        </w:rPr>
        <w:fldChar w:fldCharType="end"/>
      </w:r>
      <w:r w:rsidRPr="00227C65">
        <w:instrText xml:space="preserve"> = 0 "" "1" </w:instrText>
      </w:r>
      <w:r w:rsidRPr="002B3C0A">
        <w:fldChar w:fldCharType="separate"/>
      </w:r>
      <w:r w:rsidR="00EA42ED" w:rsidRPr="00227C65">
        <w:rPr>
          <w:noProof/>
        </w:rPr>
        <w:instrText>1</w:instrText>
      </w:r>
      <w:r w:rsidRPr="002B3C0A">
        <w:fldChar w:fldCharType="end"/>
      </w:r>
      <w:r w:rsidRPr="00227C65">
        <w:instrText xml:space="preserve">" "6" </w:instrText>
      </w:r>
      <w:r w:rsidRPr="002B3C0A">
        <w:fldChar w:fldCharType="separate"/>
      </w:r>
      <w:r w:rsidR="00EA42ED" w:rsidRPr="00227C65">
        <w:rPr>
          <w:noProof/>
        </w:rPr>
        <w:instrText>1</w:instrText>
      </w:r>
      <w:r w:rsidRPr="002B3C0A">
        <w:fldChar w:fldCharType="end"/>
      </w:r>
      <w:r w:rsidRPr="00227C65">
        <w:instrText xml:space="preserve"> </w:instrText>
      </w:r>
      <w:r w:rsidRPr="002B3C0A">
        <w:fldChar w:fldCharType="separate"/>
      </w:r>
      <w:r w:rsidR="00B833F1">
        <w:rPr>
          <w:noProof/>
        </w:rPr>
        <w:instrText>15</w:instrText>
      </w:r>
      <w:r w:rsidRPr="002B3C0A">
        <w:fldChar w:fldCharType="end"/>
      </w:r>
      <w:r w:rsidRPr="00227C65">
        <w:instrText xml:space="preserve">" "" </w:instrText>
      </w:r>
      <w:r w:rsidRPr="00242508">
        <w:fldChar w:fldCharType="separate"/>
      </w:r>
      <w:bookmarkStart w:id="3967" w:name="_Caption5017"/>
      <w:bookmarkStart w:id="3968" w:name="_Caption6676"/>
      <w:bookmarkStart w:id="3969" w:name="_Caption3897"/>
      <w:bookmarkStart w:id="3970" w:name="_Caption0000"/>
      <w:bookmarkStart w:id="3971" w:name="_Caption6781"/>
      <w:bookmarkStart w:id="3972" w:name="_Caption7347"/>
      <w:bookmarkStart w:id="3973" w:name="_Caption4938"/>
      <w:bookmarkStart w:id="3974" w:name="_Caption8638"/>
      <w:bookmarkStart w:id="3975" w:name="_Caption5250"/>
      <w:bookmarkStart w:id="3976" w:name="_Caption3534"/>
      <w:bookmarkStart w:id="3977" w:name="_Caption1285"/>
      <w:bookmarkStart w:id="3978" w:name="_Caption6567"/>
      <w:bookmarkStart w:id="3979" w:name="_Caption3968"/>
      <w:bookmarkStart w:id="3980" w:name="_Caption6958"/>
      <w:bookmarkStart w:id="3981" w:name="_Caption5513"/>
      <w:bookmarkStart w:id="3982" w:name="_Caption3297"/>
      <w:bookmarkStart w:id="3983" w:name="_Caption9091"/>
      <w:bookmarkStart w:id="3984" w:name="_Caption3856"/>
      <w:bookmarkStart w:id="3985" w:name="_Caption7810"/>
      <w:bookmarkStart w:id="3986" w:name="_Caption8610"/>
      <w:bookmarkStart w:id="3987" w:name="_Toc529869954"/>
      <w:bookmarkStart w:id="3988" w:name="_Toc530748450"/>
      <w:r w:rsidR="00EA42ED">
        <w:rPr>
          <w:noProof/>
        </w:rPr>
        <w:t>8</w:t>
      </w:r>
      <w:r w:rsidR="00EA42ED" w:rsidRPr="00227C65">
        <w:rPr>
          <w:noProof/>
        </w:rPr>
        <w:t>.</w:t>
      </w:r>
      <w:r w:rsidR="00EA42ED">
        <w:rPr>
          <w:noProof/>
        </w:rPr>
        <w:t>15</w:t>
      </w:r>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r w:rsidRPr="00242508">
        <w:fldChar w:fldCharType="end"/>
      </w:r>
      <w:r w:rsidRPr="000746A6">
        <w:tab/>
        <w:t>Benefit-cost ratios</w:t>
      </w:r>
      <w:bookmarkEnd w:id="3987"/>
      <w:bookmarkEnd w:id="3988"/>
    </w:p>
    <w:tbl>
      <w:tblPr>
        <w:tblW w:w="0" w:type="auto"/>
        <w:tblLayout w:type="fixed"/>
        <w:tblLook w:val="0000" w:firstRow="0" w:lastRow="0" w:firstColumn="0" w:lastColumn="0" w:noHBand="0" w:noVBand="0"/>
        <w:tblCaption w:val="Table 8.15: Benefit-cost ratios"/>
        <w:tblDescription w:val="This table shows the benefit cost rations of proposed changes to the NCC which range from 4.9 to 23.4. "/>
      </w:tblPr>
      <w:tblGrid>
        <w:gridCol w:w="907"/>
        <w:gridCol w:w="793"/>
        <w:gridCol w:w="793"/>
        <w:gridCol w:w="794"/>
        <w:gridCol w:w="794"/>
        <w:gridCol w:w="794"/>
        <w:gridCol w:w="794"/>
        <w:gridCol w:w="794"/>
        <w:gridCol w:w="794"/>
        <w:gridCol w:w="794"/>
      </w:tblGrid>
      <w:tr w:rsidR="00251244" w:rsidRPr="00227C65" w:rsidTr="00442369">
        <w:trPr>
          <w:tblHeader/>
        </w:trPr>
        <w:tc>
          <w:tcPr>
            <w:tcW w:w="907" w:type="dxa"/>
            <w:shd w:val="clear" w:color="auto" w:fill="6F6652"/>
            <w:tcMar>
              <w:left w:w="57" w:type="dxa"/>
              <w:right w:w="57" w:type="dxa"/>
            </w:tcMar>
          </w:tcPr>
          <w:p w:rsidR="00251244" w:rsidRPr="00227C65" w:rsidRDefault="00251244" w:rsidP="00251244">
            <w:pPr>
              <w:pStyle w:val="TableDataColumnHeading"/>
              <w:jc w:val="left"/>
            </w:pPr>
          </w:p>
        </w:tc>
        <w:tc>
          <w:tcPr>
            <w:tcW w:w="793" w:type="dxa"/>
            <w:shd w:val="clear" w:color="auto" w:fill="6F6652"/>
            <w:tcMar>
              <w:left w:w="57" w:type="dxa"/>
              <w:right w:w="57" w:type="dxa"/>
            </w:tcMar>
          </w:tcPr>
          <w:p w:rsidR="00251244" w:rsidRPr="00227C65" w:rsidRDefault="00251244" w:rsidP="00251244">
            <w:pPr>
              <w:pStyle w:val="TableDataColumnHeading"/>
            </w:pPr>
            <w:r w:rsidRPr="00227C65">
              <w:rPr>
                <w:lang w:val="en-GB"/>
              </w:rPr>
              <w:t>NSW</w:t>
            </w:r>
          </w:p>
        </w:tc>
        <w:tc>
          <w:tcPr>
            <w:tcW w:w="793" w:type="dxa"/>
            <w:shd w:val="clear" w:color="auto" w:fill="6F6652"/>
            <w:tcMar>
              <w:left w:w="57" w:type="dxa"/>
              <w:right w:w="57" w:type="dxa"/>
            </w:tcMar>
          </w:tcPr>
          <w:p w:rsidR="00251244" w:rsidRPr="00227C65" w:rsidRDefault="00251244" w:rsidP="00251244">
            <w:pPr>
              <w:pStyle w:val="TableDataColumnHeading"/>
            </w:pPr>
            <w:r w:rsidRPr="00227C65">
              <w:rPr>
                <w:lang w:val="en-GB"/>
              </w:rPr>
              <w:t>Vic</w:t>
            </w:r>
          </w:p>
        </w:tc>
        <w:tc>
          <w:tcPr>
            <w:tcW w:w="794" w:type="dxa"/>
            <w:shd w:val="clear" w:color="auto" w:fill="6F6652"/>
            <w:tcMar>
              <w:left w:w="57" w:type="dxa"/>
              <w:right w:w="57" w:type="dxa"/>
            </w:tcMar>
          </w:tcPr>
          <w:p w:rsidR="00251244" w:rsidRPr="00227C65" w:rsidRDefault="00251244" w:rsidP="00251244">
            <w:pPr>
              <w:pStyle w:val="TableDataColumnHeading"/>
            </w:pPr>
            <w:r w:rsidRPr="00227C65">
              <w:rPr>
                <w:lang w:val="en-GB"/>
              </w:rPr>
              <w:t>Qld</w:t>
            </w:r>
          </w:p>
        </w:tc>
        <w:tc>
          <w:tcPr>
            <w:tcW w:w="794" w:type="dxa"/>
            <w:shd w:val="clear" w:color="auto" w:fill="6F6652"/>
            <w:tcMar>
              <w:left w:w="57" w:type="dxa"/>
              <w:right w:w="57" w:type="dxa"/>
            </w:tcMar>
          </w:tcPr>
          <w:p w:rsidR="00251244" w:rsidRPr="00227C65" w:rsidRDefault="00251244" w:rsidP="00251244">
            <w:pPr>
              <w:pStyle w:val="TableDataColumnHeading"/>
            </w:pPr>
            <w:r w:rsidRPr="00227C65">
              <w:rPr>
                <w:lang w:val="en-GB"/>
              </w:rPr>
              <w:t>SA</w:t>
            </w:r>
          </w:p>
        </w:tc>
        <w:tc>
          <w:tcPr>
            <w:tcW w:w="794" w:type="dxa"/>
            <w:shd w:val="clear" w:color="auto" w:fill="6F6652"/>
            <w:tcMar>
              <w:left w:w="57" w:type="dxa"/>
              <w:right w:w="57" w:type="dxa"/>
            </w:tcMar>
          </w:tcPr>
          <w:p w:rsidR="00251244" w:rsidRPr="00227C65" w:rsidRDefault="00251244" w:rsidP="00251244">
            <w:pPr>
              <w:pStyle w:val="TableDataColumnHeading"/>
            </w:pPr>
            <w:r w:rsidRPr="00227C65">
              <w:rPr>
                <w:lang w:val="en-GB"/>
              </w:rPr>
              <w:t>WA</w:t>
            </w:r>
          </w:p>
        </w:tc>
        <w:tc>
          <w:tcPr>
            <w:tcW w:w="794" w:type="dxa"/>
            <w:shd w:val="clear" w:color="auto" w:fill="6F6652"/>
            <w:tcMar>
              <w:left w:w="57" w:type="dxa"/>
              <w:right w:w="57" w:type="dxa"/>
            </w:tcMar>
          </w:tcPr>
          <w:p w:rsidR="00251244" w:rsidRPr="00227C65" w:rsidRDefault="00251244" w:rsidP="00251244">
            <w:pPr>
              <w:pStyle w:val="TableDataColumnHeading"/>
            </w:pPr>
            <w:r w:rsidRPr="00227C65">
              <w:rPr>
                <w:lang w:val="en-GB"/>
              </w:rPr>
              <w:t>Tas</w:t>
            </w:r>
          </w:p>
        </w:tc>
        <w:tc>
          <w:tcPr>
            <w:tcW w:w="794" w:type="dxa"/>
            <w:shd w:val="clear" w:color="auto" w:fill="6F6652"/>
            <w:tcMar>
              <w:left w:w="57" w:type="dxa"/>
              <w:right w:w="57" w:type="dxa"/>
            </w:tcMar>
          </w:tcPr>
          <w:p w:rsidR="00251244" w:rsidRPr="00227C65" w:rsidRDefault="00251244" w:rsidP="00251244">
            <w:pPr>
              <w:pStyle w:val="TableDataColumnHeading"/>
            </w:pPr>
            <w:r w:rsidRPr="00227C65">
              <w:rPr>
                <w:lang w:val="en-GB"/>
              </w:rPr>
              <w:t>ACT</w:t>
            </w:r>
          </w:p>
        </w:tc>
        <w:tc>
          <w:tcPr>
            <w:tcW w:w="794" w:type="dxa"/>
            <w:shd w:val="clear" w:color="auto" w:fill="6F6652"/>
            <w:tcMar>
              <w:left w:w="57" w:type="dxa"/>
              <w:right w:w="57" w:type="dxa"/>
            </w:tcMar>
          </w:tcPr>
          <w:p w:rsidR="00251244" w:rsidRPr="00227C65" w:rsidRDefault="00251244" w:rsidP="00251244">
            <w:pPr>
              <w:pStyle w:val="TableDataColumnHeading"/>
            </w:pPr>
            <w:r w:rsidRPr="00227C65">
              <w:rPr>
                <w:lang w:val="en-GB"/>
              </w:rPr>
              <w:t>NT</w:t>
            </w:r>
          </w:p>
        </w:tc>
        <w:tc>
          <w:tcPr>
            <w:tcW w:w="794" w:type="dxa"/>
            <w:shd w:val="clear" w:color="auto" w:fill="6F6652"/>
            <w:tcMar>
              <w:left w:w="57" w:type="dxa"/>
              <w:right w:w="57" w:type="dxa"/>
            </w:tcMar>
          </w:tcPr>
          <w:p w:rsidR="00251244" w:rsidRPr="00227C65" w:rsidRDefault="00251244" w:rsidP="00251244">
            <w:pPr>
              <w:pStyle w:val="TableDataColumnHeading"/>
            </w:pPr>
            <w:r w:rsidRPr="00227C65">
              <w:rPr>
                <w:lang w:val="en-GB"/>
              </w:rPr>
              <w:t>Total</w:t>
            </w:r>
          </w:p>
        </w:tc>
      </w:tr>
      <w:tr w:rsidR="00251244" w:rsidRPr="00227C65" w:rsidTr="00442369">
        <w:tc>
          <w:tcPr>
            <w:tcW w:w="907" w:type="dxa"/>
            <w:gridSpan w:val="10"/>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251244" w:rsidRPr="00227C65" w:rsidRDefault="00251244" w:rsidP="00251244">
            <w:pPr>
              <w:pStyle w:val="TableHeading1"/>
            </w:pPr>
            <w:r w:rsidRPr="00227C65">
              <w:t>Low realisation scenario</w:t>
            </w:r>
          </w:p>
        </w:tc>
      </w:tr>
      <w:tr w:rsidR="00D466CC" w:rsidRPr="00227C65" w:rsidTr="00442369">
        <w:tc>
          <w:tcPr>
            <w:tcW w:w="90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D466CC" w:rsidRPr="00227C65" w:rsidRDefault="009B5546" w:rsidP="00D466CC">
            <w:pPr>
              <w:pStyle w:val="TableDataEntries"/>
              <w:jc w:val="left"/>
            </w:pPr>
            <w:r>
              <w:t>Community</w:t>
            </w:r>
            <w:r w:rsidRPr="00227C65">
              <w:t xml:space="preserve"> </w:t>
            </w:r>
            <w:r w:rsidR="00D466CC" w:rsidRPr="00227C65">
              <w:t>BCR</w:t>
            </w:r>
            <w:r w:rsidR="00297500" w:rsidRPr="00442369">
              <w:rPr>
                <w:rStyle w:val="NoteLabel"/>
              </w:rPr>
              <w:t>a</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D466CC" w:rsidRPr="00D466CC" w:rsidRDefault="00D466CC" w:rsidP="00D466CC">
            <w:pPr>
              <w:pStyle w:val="TableDataEntries"/>
            </w:pPr>
            <w:r w:rsidRPr="00D466CC">
              <w:t xml:space="preserve"> 2.0</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D466CC" w:rsidRPr="00D466CC" w:rsidRDefault="00D466CC" w:rsidP="00D466CC">
            <w:pPr>
              <w:pStyle w:val="TableDataEntries"/>
            </w:pPr>
            <w:r w:rsidRPr="00D466CC">
              <w:t xml:space="preserve"> 2.4</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D466CC" w:rsidRPr="00D466CC" w:rsidRDefault="00D466CC" w:rsidP="00D466CC">
            <w:pPr>
              <w:pStyle w:val="TableDataEntries"/>
            </w:pPr>
            <w:r w:rsidRPr="00D466CC">
              <w:t xml:space="preserve"> 3.</w:t>
            </w:r>
            <w:r w:rsidR="008D1885">
              <w:t>5</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D466CC" w:rsidRPr="00D466CC" w:rsidRDefault="00D466CC" w:rsidP="00D466CC">
            <w:pPr>
              <w:pStyle w:val="TableDataEntries"/>
            </w:pPr>
            <w:r w:rsidRPr="00D466CC">
              <w:t xml:space="preserve"> 2.1</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D466CC" w:rsidRPr="00D466CC" w:rsidRDefault="00D466CC" w:rsidP="00D466CC">
            <w:pPr>
              <w:pStyle w:val="TableDataEntries"/>
            </w:pPr>
            <w:r w:rsidRPr="00D466CC">
              <w:t xml:space="preserve"> 2.2</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D466CC" w:rsidRPr="00D466CC" w:rsidRDefault="00D466CC" w:rsidP="00D466CC">
            <w:pPr>
              <w:pStyle w:val="TableDataEntries"/>
            </w:pPr>
            <w:r w:rsidRPr="00D466CC">
              <w:t xml:space="preserve"> 1.2</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D466CC" w:rsidRPr="00D466CC" w:rsidRDefault="00D466CC" w:rsidP="00D466CC">
            <w:pPr>
              <w:pStyle w:val="TableDataEntries"/>
            </w:pPr>
            <w:r w:rsidRPr="00D466CC">
              <w:t xml:space="preserve"> 1.6</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D466CC" w:rsidRPr="00D466CC" w:rsidRDefault="00D466CC" w:rsidP="00D466CC">
            <w:pPr>
              <w:pStyle w:val="TableDataEntries"/>
            </w:pPr>
            <w:r w:rsidRPr="00D466CC">
              <w:t xml:space="preserve"> 9.4</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D466CC" w:rsidRPr="00D466CC" w:rsidRDefault="00D466CC" w:rsidP="00D466CC">
            <w:pPr>
              <w:pStyle w:val="TableDataEntries"/>
            </w:pPr>
            <w:r w:rsidRPr="00D466CC">
              <w:t xml:space="preserve"> 2.4</w:t>
            </w:r>
          </w:p>
        </w:tc>
      </w:tr>
      <w:tr w:rsidR="00D466CC" w:rsidRPr="00227C65" w:rsidTr="00442369">
        <w:tc>
          <w:tcPr>
            <w:tcW w:w="90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D466CC" w:rsidRPr="00227C65" w:rsidRDefault="00D466CC" w:rsidP="00D466CC">
            <w:pPr>
              <w:pStyle w:val="TableDataEntries"/>
              <w:jc w:val="left"/>
            </w:pPr>
            <w:r>
              <w:t>Total</w:t>
            </w:r>
            <w:r w:rsidRPr="00227C65">
              <w:t xml:space="preserve"> BCR</w:t>
            </w:r>
            <w:r w:rsidR="00297500">
              <w:rPr>
                <w:rStyle w:val="NoteLabel"/>
              </w:rPr>
              <w:t>b</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D466CC" w:rsidRPr="00D466CC" w:rsidRDefault="00D466CC" w:rsidP="00D466CC">
            <w:pPr>
              <w:pStyle w:val="TableDataEntries"/>
            </w:pPr>
            <w:r w:rsidRPr="00D466CC">
              <w:t xml:space="preserve"> 2.5</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D466CC" w:rsidRPr="00D466CC" w:rsidRDefault="00D466CC" w:rsidP="00D466CC">
            <w:pPr>
              <w:pStyle w:val="TableDataEntries"/>
            </w:pPr>
            <w:r w:rsidRPr="00D466CC">
              <w:t xml:space="preserve"> 3.2</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D466CC" w:rsidRPr="00D466CC" w:rsidRDefault="00D466CC" w:rsidP="00D466CC">
            <w:pPr>
              <w:pStyle w:val="TableDataEntries"/>
            </w:pPr>
            <w:r w:rsidRPr="00D466CC">
              <w:t xml:space="preserve"> 4.6</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D466CC" w:rsidRPr="00D466CC" w:rsidRDefault="00D466CC" w:rsidP="00D466CC">
            <w:pPr>
              <w:pStyle w:val="TableDataEntries"/>
            </w:pPr>
            <w:r w:rsidRPr="00D466CC">
              <w:t xml:space="preserve"> 2.4</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D466CC" w:rsidRPr="00D466CC" w:rsidRDefault="00D466CC" w:rsidP="00D466CC">
            <w:pPr>
              <w:pStyle w:val="TableDataEntries"/>
            </w:pPr>
            <w:r w:rsidRPr="00D466CC">
              <w:t xml:space="preserve"> 2.7</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D466CC" w:rsidRPr="00D466CC" w:rsidRDefault="00D466CC" w:rsidP="00D466CC">
            <w:pPr>
              <w:pStyle w:val="TableDataEntries"/>
            </w:pPr>
            <w:r w:rsidRPr="00D466CC">
              <w:t xml:space="preserve"> 1.4</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D466CC" w:rsidRPr="00D466CC" w:rsidRDefault="00D466CC" w:rsidP="00D466CC">
            <w:pPr>
              <w:pStyle w:val="TableDataEntries"/>
            </w:pPr>
            <w:r w:rsidRPr="00D466CC">
              <w:t xml:space="preserve"> 2.1</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D466CC" w:rsidRPr="00D466CC" w:rsidRDefault="00D466CC" w:rsidP="00D466CC">
            <w:pPr>
              <w:pStyle w:val="TableDataEntries"/>
            </w:pPr>
            <w:r w:rsidRPr="00D466CC">
              <w:t xml:space="preserve"> 11.7</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D466CC" w:rsidRPr="00D466CC" w:rsidRDefault="00D466CC" w:rsidP="00D466CC">
            <w:pPr>
              <w:pStyle w:val="TableDataEntries"/>
            </w:pPr>
            <w:r w:rsidRPr="00D466CC">
              <w:t xml:space="preserve"> 3.1</w:t>
            </w:r>
          </w:p>
        </w:tc>
      </w:tr>
      <w:tr w:rsidR="00251244" w:rsidRPr="00227C65" w:rsidTr="00442369">
        <w:tc>
          <w:tcPr>
            <w:tcW w:w="907" w:type="dxa"/>
            <w:gridSpan w:val="10"/>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251244" w:rsidRPr="00D466CC" w:rsidRDefault="00251244" w:rsidP="00D56695">
            <w:pPr>
              <w:pStyle w:val="TableHeading1"/>
            </w:pPr>
            <w:r w:rsidRPr="00D466CC">
              <w:t>Medium realisation scenario</w:t>
            </w:r>
          </w:p>
        </w:tc>
      </w:tr>
      <w:tr w:rsidR="00D466CC" w:rsidRPr="00227C65" w:rsidTr="00442369">
        <w:tc>
          <w:tcPr>
            <w:tcW w:w="90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D466CC" w:rsidRPr="000746A6" w:rsidRDefault="00D7124C" w:rsidP="00D466CC">
            <w:pPr>
              <w:pStyle w:val="TableDataEntries"/>
              <w:jc w:val="left"/>
            </w:pPr>
            <w:r>
              <w:t>Community</w:t>
            </w:r>
            <w:r w:rsidRPr="000746A6">
              <w:t xml:space="preserve"> </w:t>
            </w:r>
            <w:r w:rsidR="00D466CC" w:rsidRPr="000746A6">
              <w:t>BCR</w:t>
            </w:r>
            <w:r w:rsidR="00297500" w:rsidRPr="007B3E1B">
              <w:rPr>
                <w:rStyle w:val="NoteLabel"/>
              </w:rPr>
              <w:t>a</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D466CC" w:rsidRPr="00D466CC" w:rsidRDefault="00D466CC" w:rsidP="00D466CC">
            <w:pPr>
              <w:pStyle w:val="TableDataEntries"/>
            </w:pPr>
            <w:r w:rsidRPr="00D466CC">
              <w:t xml:space="preserve"> 3.0</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D466CC" w:rsidRPr="00D466CC" w:rsidRDefault="00D466CC" w:rsidP="00D466CC">
            <w:pPr>
              <w:pStyle w:val="TableDataEntries"/>
            </w:pPr>
            <w:r w:rsidRPr="00D466CC">
              <w:t xml:space="preserve"> 3.6</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D466CC" w:rsidRPr="00D466CC" w:rsidRDefault="00D466CC" w:rsidP="00D466CC">
            <w:pPr>
              <w:pStyle w:val="TableDataEntries"/>
            </w:pPr>
            <w:r w:rsidRPr="00D466CC">
              <w:t xml:space="preserve"> 5.3</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D466CC" w:rsidRPr="00D466CC" w:rsidRDefault="00D466CC" w:rsidP="00D466CC">
            <w:pPr>
              <w:pStyle w:val="TableDataEntries"/>
            </w:pPr>
            <w:r w:rsidRPr="00D466CC">
              <w:t xml:space="preserve"> 3.1</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D466CC" w:rsidRPr="00D466CC" w:rsidRDefault="00D466CC" w:rsidP="00D466CC">
            <w:pPr>
              <w:pStyle w:val="TableDataEntries"/>
            </w:pPr>
            <w:r w:rsidRPr="00D466CC">
              <w:t xml:space="preserve"> 3.4</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D466CC" w:rsidRPr="00D466CC" w:rsidRDefault="00D466CC" w:rsidP="00D466CC">
            <w:pPr>
              <w:pStyle w:val="TableDataEntries"/>
            </w:pPr>
            <w:r w:rsidRPr="00D466CC">
              <w:t xml:space="preserve"> 1.9</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D466CC" w:rsidRPr="00D466CC" w:rsidRDefault="00D466CC" w:rsidP="00D466CC">
            <w:pPr>
              <w:pStyle w:val="TableDataEntries"/>
            </w:pPr>
            <w:r w:rsidRPr="00D466CC">
              <w:t xml:space="preserve"> 2.4</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D466CC" w:rsidRPr="00D466CC" w:rsidRDefault="00D466CC" w:rsidP="00D466CC">
            <w:pPr>
              <w:pStyle w:val="TableDataEntries"/>
            </w:pPr>
            <w:r w:rsidRPr="00D466CC">
              <w:t xml:space="preserve"> 14.</w:t>
            </w:r>
            <w:r w:rsidR="008D1885">
              <w:t>1</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D466CC" w:rsidRPr="00D466CC" w:rsidRDefault="00D466CC" w:rsidP="00D466CC">
            <w:pPr>
              <w:pStyle w:val="TableDataEntries"/>
            </w:pPr>
            <w:r w:rsidRPr="00D466CC">
              <w:t xml:space="preserve"> 3.6</w:t>
            </w:r>
          </w:p>
        </w:tc>
      </w:tr>
      <w:tr w:rsidR="00D466CC" w:rsidRPr="00227C65" w:rsidTr="00442369">
        <w:tc>
          <w:tcPr>
            <w:tcW w:w="90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D466CC" w:rsidRPr="00227C65" w:rsidRDefault="00D466CC" w:rsidP="00D466CC">
            <w:pPr>
              <w:pStyle w:val="TableDataEntries"/>
              <w:jc w:val="left"/>
            </w:pPr>
            <w:r>
              <w:t>Total</w:t>
            </w:r>
            <w:r w:rsidRPr="00227C65">
              <w:t xml:space="preserve"> BCR</w:t>
            </w:r>
            <w:r w:rsidR="00297500">
              <w:rPr>
                <w:rStyle w:val="NoteLabel"/>
              </w:rPr>
              <w:t>b</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D466CC" w:rsidRPr="00D466CC" w:rsidRDefault="00D466CC" w:rsidP="00D466CC">
            <w:pPr>
              <w:pStyle w:val="TableDataEntries"/>
            </w:pPr>
            <w:r w:rsidRPr="00D466CC">
              <w:t xml:space="preserve"> 3.8</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D466CC" w:rsidRPr="00D466CC" w:rsidRDefault="00D466CC" w:rsidP="00D466CC">
            <w:pPr>
              <w:pStyle w:val="TableDataEntries"/>
            </w:pPr>
            <w:r w:rsidRPr="00D466CC">
              <w:t xml:space="preserve"> 4.8</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D466CC" w:rsidRPr="00D466CC" w:rsidRDefault="00D466CC" w:rsidP="00D466CC">
            <w:pPr>
              <w:pStyle w:val="TableDataEntries"/>
            </w:pPr>
            <w:r w:rsidRPr="00D466CC">
              <w:t xml:space="preserve"> 6.9</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D466CC" w:rsidRPr="00D466CC" w:rsidRDefault="00D466CC" w:rsidP="00D466CC">
            <w:pPr>
              <w:pStyle w:val="TableDataEntries"/>
            </w:pPr>
            <w:r w:rsidRPr="00D466CC">
              <w:t xml:space="preserve"> 3.</w:t>
            </w:r>
            <w:r w:rsidR="008D1885">
              <w:t>6</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D466CC" w:rsidRPr="00D466CC" w:rsidRDefault="00D466CC" w:rsidP="00D466CC">
            <w:pPr>
              <w:pStyle w:val="TableDataEntries"/>
            </w:pPr>
            <w:r w:rsidRPr="00D466CC">
              <w:t xml:space="preserve"> 4.1</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D466CC" w:rsidRPr="00D466CC" w:rsidRDefault="00D466CC" w:rsidP="00D466CC">
            <w:pPr>
              <w:pStyle w:val="TableDataEntries"/>
            </w:pPr>
            <w:r w:rsidRPr="00D466CC">
              <w:t xml:space="preserve"> 2.1</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D466CC" w:rsidRPr="00D466CC" w:rsidRDefault="00D466CC" w:rsidP="00D466CC">
            <w:pPr>
              <w:pStyle w:val="TableDataEntries"/>
            </w:pPr>
            <w:r w:rsidRPr="00D466CC">
              <w:t xml:space="preserve"> 3.2</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D466CC" w:rsidRPr="00D466CC" w:rsidRDefault="00D466CC" w:rsidP="00D466CC">
            <w:pPr>
              <w:pStyle w:val="TableDataEntries"/>
            </w:pPr>
            <w:r w:rsidRPr="00D466CC">
              <w:t xml:space="preserve"> 17.</w:t>
            </w:r>
            <w:r w:rsidR="008D1885">
              <w:t>5</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D466CC" w:rsidRPr="00D466CC" w:rsidRDefault="00D466CC" w:rsidP="00D466CC">
            <w:pPr>
              <w:pStyle w:val="TableDataEntries"/>
            </w:pPr>
            <w:r w:rsidRPr="00D466CC">
              <w:t xml:space="preserve"> 4.6</w:t>
            </w:r>
          </w:p>
        </w:tc>
      </w:tr>
      <w:tr w:rsidR="00251244" w:rsidRPr="00227C65" w:rsidTr="00442369">
        <w:tc>
          <w:tcPr>
            <w:tcW w:w="907" w:type="dxa"/>
            <w:gridSpan w:val="10"/>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251244" w:rsidRPr="00D466CC" w:rsidRDefault="00251244" w:rsidP="00D56695">
            <w:pPr>
              <w:pStyle w:val="TableHeading1"/>
            </w:pPr>
            <w:r w:rsidRPr="00D466CC">
              <w:t>High realisation scenario</w:t>
            </w:r>
          </w:p>
        </w:tc>
      </w:tr>
      <w:tr w:rsidR="00D466CC" w:rsidRPr="00227C65" w:rsidTr="00442369">
        <w:tc>
          <w:tcPr>
            <w:tcW w:w="90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D466CC" w:rsidRPr="000746A6" w:rsidRDefault="00D7124C" w:rsidP="00D466CC">
            <w:pPr>
              <w:pStyle w:val="TableDataEntries"/>
              <w:jc w:val="left"/>
            </w:pPr>
            <w:r>
              <w:t>Community</w:t>
            </w:r>
            <w:r w:rsidRPr="000746A6">
              <w:t xml:space="preserve"> </w:t>
            </w:r>
            <w:r w:rsidR="00D466CC" w:rsidRPr="000746A6">
              <w:t>BCR</w:t>
            </w:r>
            <w:r w:rsidR="00297500" w:rsidRPr="007B3E1B">
              <w:rPr>
                <w:rStyle w:val="NoteLabel"/>
              </w:rPr>
              <w:t>a</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D466CC" w:rsidRPr="00D466CC" w:rsidRDefault="00D466CC" w:rsidP="00D466CC">
            <w:pPr>
              <w:pStyle w:val="TableDataEntries"/>
            </w:pPr>
            <w:r w:rsidRPr="00D466CC">
              <w:t xml:space="preserve"> 4.0</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D466CC" w:rsidRPr="00D466CC" w:rsidRDefault="00D466CC" w:rsidP="00D466CC">
            <w:pPr>
              <w:pStyle w:val="TableDataEntries"/>
            </w:pPr>
            <w:r w:rsidRPr="00D466CC">
              <w:t xml:space="preserve"> 4.8</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D466CC" w:rsidRPr="00D466CC" w:rsidRDefault="00D466CC" w:rsidP="00D466CC">
            <w:pPr>
              <w:pStyle w:val="TableDataEntries"/>
            </w:pPr>
            <w:r w:rsidRPr="00D466CC">
              <w:t xml:space="preserve"> 7.1</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D466CC" w:rsidRPr="00D466CC" w:rsidRDefault="00D466CC" w:rsidP="00D466CC">
            <w:pPr>
              <w:pStyle w:val="TableDataEntries"/>
            </w:pPr>
            <w:r w:rsidRPr="00D466CC">
              <w:t xml:space="preserve"> 4.1</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D466CC" w:rsidRPr="00D466CC" w:rsidRDefault="00D466CC" w:rsidP="00D466CC">
            <w:pPr>
              <w:pStyle w:val="TableDataEntries"/>
            </w:pPr>
            <w:r w:rsidRPr="00D466CC">
              <w:t xml:space="preserve"> 4.5</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D466CC" w:rsidRPr="00D466CC" w:rsidRDefault="00D466CC" w:rsidP="00D466CC">
            <w:pPr>
              <w:pStyle w:val="TableDataEntries"/>
            </w:pPr>
            <w:r w:rsidRPr="00D466CC">
              <w:t xml:space="preserve"> 2.5</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D466CC" w:rsidRPr="00D466CC" w:rsidRDefault="00D466CC" w:rsidP="00D466CC">
            <w:pPr>
              <w:pStyle w:val="TableDataEntries"/>
            </w:pPr>
            <w:r w:rsidRPr="00D466CC">
              <w:t xml:space="preserve"> 3.2</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D466CC" w:rsidRPr="00D466CC" w:rsidRDefault="00D466CC" w:rsidP="00D466CC">
            <w:pPr>
              <w:pStyle w:val="TableDataEntries"/>
            </w:pPr>
            <w:r w:rsidRPr="00D466CC">
              <w:t xml:space="preserve"> 18.</w:t>
            </w:r>
            <w:r w:rsidR="008D1885">
              <w:t>8</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D466CC" w:rsidRPr="00D466CC" w:rsidRDefault="00D466CC" w:rsidP="00D466CC">
            <w:pPr>
              <w:pStyle w:val="TableDataEntries"/>
            </w:pPr>
            <w:r w:rsidRPr="00D466CC">
              <w:t xml:space="preserve"> 4.8</w:t>
            </w:r>
          </w:p>
        </w:tc>
      </w:tr>
      <w:tr w:rsidR="00D466CC" w:rsidRPr="00227C65" w:rsidTr="00442369">
        <w:tc>
          <w:tcPr>
            <w:tcW w:w="907" w:type="dxa"/>
            <w:tcBorders>
              <w:top w:val="single" w:sz="8" w:space="0" w:color="FFFFFF" w:themeColor="background1"/>
              <w:bottom w:val="single" w:sz="6" w:space="0" w:color="6F6652"/>
            </w:tcBorders>
            <w:shd w:val="clear" w:color="auto" w:fill="E9E8E5" w:themeFill="background2"/>
            <w:tcMar>
              <w:left w:w="57" w:type="dxa"/>
              <w:right w:w="57" w:type="dxa"/>
            </w:tcMar>
          </w:tcPr>
          <w:p w:rsidR="00D466CC" w:rsidRPr="00227C65" w:rsidRDefault="00D466CC" w:rsidP="00D466CC">
            <w:pPr>
              <w:pStyle w:val="TableDataEntries"/>
              <w:jc w:val="left"/>
            </w:pPr>
            <w:r>
              <w:t>Total</w:t>
            </w:r>
            <w:r w:rsidRPr="00227C65">
              <w:t xml:space="preserve"> BCR</w:t>
            </w:r>
            <w:r w:rsidR="00297500">
              <w:rPr>
                <w:rStyle w:val="NoteLabel"/>
              </w:rPr>
              <w:t>b</w:t>
            </w:r>
          </w:p>
        </w:tc>
        <w:tc>
          <w:tcPr>
            <w:tcW w:w="793"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rsidR="00D466CC" w:rsidRPr="00D466CC" w:rsidRDefault="00D466CC" w:rsidP="00D466CC">
            <w:pPr>
              <w:pStyle w:val="TableDataEntries"/>
            </w:pPr>
            <w:r w:rsidRPr="00D466CC">
              <w:t xml:space="preserve"> 5.1</w:t>
            </w:r>
          </w:p>
        </w:tc>
        <w:tc>
          <w:tcPr>
            <w:tcW w:w="793"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rsidR="00D466CC" w:rsidRPr="00D466CC" w:rsidRDefault="00D466CC" w:rsidP="00D466CC">
            <w:pPr>
              <w:pStyle w:val="TableDataEntries"/>
            </w:pPr>
            <w:r w:rsidRPr="00D466CC">
              <w:t xml:space="preserve"> 6.4</w:t>
            </w:r>
          </w:p>
        </w:tc>
        <w:tc>
          <w:tcPr>
            <w:tcW w:w="794"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rsidR="00D466CC" w:rsidRPr="00D466CC" w:rsidRDefault="00D466CC" w:rsidP="00D466CC">
            <w:pPr>
              <w:pStyle w:val="TableDataEntries"/>
            </w:pPr>
            <w:r w:rsidRPr="00D466CC">
              <w:t xml:space="preserve"> 9.</w:t>
            </w:r>
            <w:r w:rsidR="008D1885">
              <w:t>1</w:t>
            </w:r>
          </w:p>
        </w:tc>
        <w:tc>
          <w:tcPr>
            <w:tcW w:w="794"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rsidR="00D466CC" w:rsidRPr="00D466CC" w:rsidRDefault="00D466CC" w:rsidP="00D466CC">
            <w:pPr>
              <w:pStyle w:val="TableDataEntries"/>
            </w:pPr>
            <w:r w:rsidRPr="00D466CC">
              <w:t xml:space="preserve"> 4.9</w:t>
            </w:r>
          </w:p>
        </w:tc>
        <w:tc>
          <w:tcPr>
            <w:tcW w:w="794"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rsidR="00D466CC" w:rsidRPr="00D466CC" w:rsidRDefault="00D466CC" w:rsidP="00D466CC">
            <w:pPr>
              <w:pStyle w:val="TableDataEntries"/>
            </w:pPr>
            <w:r w:rsidRPr="00D466CC">
              <w:t xml:space="preserve"> 5.5</w:t>
            </w:r>
          </w:p>
        </w:tc>
        <w:tc>
          <w:tcPr>
            <w:tcW w:w="794"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rsidR="00D466CC" w:rsidRPr="00D466CC" w:rsidRDefault="00D466CC" w:rsidP="00D466CC">
            <w:pPr>
              <w:pStyle w:val="TableDataEntries"/>
            </w:pPr>
            <w:r w:rsidRPr="00D466CC">
              <w:t xml:space="preserve"> 2.8</w:t>
            </w:r>
          </w:p>
        </w:tc>
        <w:tc>
          <w:tcPr>
            <w:tcW w:w="794"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rsidR="00D466CC" w:rsidRPr="00D466CC" w:rsidRDefault="00D466CC" w:rsidP="00D466CC">
            <w:pPr>
              <w:pStyle w:val="TableDataEntries"/>
            </w:pPr>
            <w:r w:rsidRPr="00D466CC">
              <w:t xml:space="preserve"> 4.3</w:t>
            </w:r>
          </w:p>
        </w:tc>
        <w:tc>
          <w:tcPr>
            <w:tcW w:w="794"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rsidR="00D466CC" w:rsidRPr="00D466CC" w:rsidRDefault="00D466CC" w:rsidP="00D466CC">
            <w:pPr>
              <w:pStyle w:val="TableDataEntries"/>
            </w:pPr>
            <w:r w:rsidRPr="00D466CC">
              <w:t xml:space="preserve"> 23.4</w:t>
            </w:r>
          </w:p>
        </w:tc>
        <w:tc>
          <w:tcPr>
            <w:tcW w:w="794"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rsidR="00D466CC" w:rsidRPr="00D466CC" w:rsidRDefault="00D466CC" w:rsidP="00D466CC">
            <w:pPr>
              <w:pStyle w:val="TableDataEntries"/>
            </w:pPr>
            <w:r w:rsidRPr="00D466CC">
              <w:t xml:space="preserve"> 6.2</w:t>
            </w:r>
          </w:p>
        </w:tc>
      </w:tr>
    </w:tbl>
    <w:p w:rsidR="00297500" w:rsidRPr="00442369" w:rsidRDefault="00297500" w:rsidP="005E7CBB">
      <w:pPr>
        <w:pStyle w:val="Note"/>
      </w:pPr>
      <w:r w:rsidRPr="00442369">
        <w:rPr>
          <w:rStyle w:val="NoteLabel"/>
        </w:rPr>
        <w:t>a</w:t>
      </w:r>
      <w:r>
        <w:t xml:space="preserve"> Excludes the global benefits from reduced GHG emissions. </w:t>
      </w:r>
      <w:r w:rsidRPr="00442369">
        <w:rPr>
          <w:rStyle w:val="NoteLabel"/>
        </w:rPr>
        <w:t>b</w:t>
      </w:r>
      <w:r>
        <w:t xml:space="preserve"> Includes the global benefits from reduced GHG emissions.</w:t>
      </w:r>
    </w:p>
    <w:p w:rsidR="005E7CBB" w:rsidRPr="00227C65" w:rsidRDefault="005E7CBB" w:rsidP="005E7CBB">
      <w:pPr>
        <w:pStyle w:val="Note"/>
      </w:pPr>
      <w:r w:rsidRPr="00227C65">
        <w:rPr>
          <w:i/>
        </w:rPr>
        <w:t>Note</w:t>
      </w:r>
      <w:r w:rsidR="00227C65">
        <w:rPr>
          <w:i/>
        </w:rPr>
        <w:t>s</w:t>
      </w:r>
      <w:r w:rsidRPr="00227C65">
        <w:rPr>
          <w:i/>
        </w:rPr>
        <w:t>:</w:t>
      </w:r>
      <w:r w:rsidRPr="00227C65">
        <w:t xml:space="preserve"> Costs and benefits estimated over the 40 year life of all commercial building construction over a ten year regulatory period, using a discount rate of 7 per cent. </w:t>
      </w:r>
    </w:p>
    <w:p w:rsidR="005E7CBB" w:rsidRDefault="005E7CBB" w:rsidP="005E7CBB">
      <w:pPr>
        <w:pStyle w:val="Source"/>
      </w:pPr>
      <w:r w:rsidRPr="00227C65">
        <w:rPr>
          <w:i/>
        </w:rPr>
        <w:t>Source:</w:t>
      </w:r>
      <w:r w:rsidRPr="00227C65">
        <w:t xml:space="preserve"> CIE estimates based on </w:t>
      </w:r>
      <w:r w:rsidR="003F28DD">
        <w:t>EA</w:t>
      </w:r>
      <w:r w:rsidRPr="00227C65">
        <w:t xml:space="preserve"> modelling.</w:t>
      </w:r>
    </w:p>
    <w:p w:rsidR="00612FD3" w:rsidRDefault="002A3E2D" w:rsidP="00612FD3">
      <w:pPr>
        <w:pStyle w:val="Heading3"/>
        <w:numPr>
          <w:ilvl w:val="2"/>
          <w:numId w:val="5"/>
        </w:numPr>
        <w:rPr>
          <w:lang w:eastAsia="en-US"/>
        </w:rPr>
      </w:pPr>
      <w:r>
        <w:rPr>
          <w:lang w:eastAsia="en-US"/>
        </w:rPr>
        <w:t>Results by building type</w:t>
      </w:r>
    </w:p>
    <w:p w:rsidR="00745A24" w:rsidRDefault="00612FD3" w:rsidP="00612FD3">
      <w:pPr>
        <w:pStyle w:val="BodyText"/>
        <w:rPr>
          <w:lang w:eastAsia="en-US"/>
        </w:rPr>
      </w:pPr>
      <w:r>
        <w:rPr>
          <w:lang w:eastAsia="en-US"/>
        </w:rPr>
        <w:t xml:space="preserve">Although in aggregate these results suggest a clear (and significant) net benefit from the proposed changes to the NCC, there is significant variation across states, </w:t>
      </w:r>
      <w:r w:rsidR="00E31EE8">
        <w:rPr>
          <w:lang w:eastAsia="en-US"/>
        </w:rPr>
        <w:t>Climate Zone</w:t>
      </w:r>
      <w:r>
        <w:rPr>
          <w:lang w:eastAsia="en-US"/>
        </w:rPr>
        <w:t>s and building types. Table </w:t>
      </w:r>
      <w:r>
        <w:rPr>
          <w:lang w:eastAsia="en-US"/>
        </w:rPr>
        <w:fldChar w:fldCharType="begin"/>
      </w:r>
      <w:r>
        <w:rPr>
          <w:lang w:eastAsia="en-US"/>
        </w:rPr>
        <w:instrText xml:space="preserve"> REF _Caption5845 </w:instrText>
      </w:r>
      <w:r>
        <w:rPr>
          <w:lang w:eastAsia="en-US"/>
        </w:rPr>
        <w:fldChar w:fldCharType="separate"/>
      </w:r>
      <w:r w:rsidR="006B79B8">
        <w:rPr>
          <w:noProof/>
        </w:rPr>
        <w:t>8</w:t>
      </w:r>
      <w:r w:rsidR="006B79B8" w:rsidRPr="00EC1D99">
        <w:rPr>
          <w:noProof/>
        </w:rPr>
        <w:t>.</w:t>
      </w:r>
      <w:r w:rsidR="006B79B8">
        <w:rPr>
          <w:noProof/>
        </w:rPr>
        <w:t>16</w:t>
      </w:r>
      <w:r>
        <w:rPr>
          <w:lang w:eastAsia="en-US"/>
        </w:rPr>
        <w:fldChar w:fldCharType="end"/>
      </w:r>
      <w:r>
        <w:rPr>
          <w:lang w:eastAsia="en-US"/>
        </w:rPr>
        <w:t xml:space="preserve"> shows aggregate net benefit/cost estimates </w:t>
      </w:r>
      <w:r w:rsidR="00CA6CF4">
        <w:rPr>
          <w:lang w:eastAsia="en-US"/>
        </w:rPr>
        <w:t xml:space="preserve">(including the global benefits from reduced GHG emissions) </w:t>
      </w:r>
      <w:r>
        <w:rPr>
          <w:lang w:eastAsia="en-US"/>
        </w:rPr>
        <w:t>by state and building type.</w:t>
      </w:r>
    </w:p>
    <w:p w:rsidR="00745A24" w:rsidRDefault="00745A24" w:rsidP="00612FD3">
      <w:pPr>
        <w:pStyle w:val="BodyText"/>
        <w:rPr>
          <w:lang w:eastAsia="en-US"/>
        </w:rPr>
      </w:pPr>
      <w:r>
        <w:rPr>
          <w:lang w:eastAsia="en-US"/>
        </w:rPr>
        <w:t>The net benefits are largely driven by retail buildings and schools.</w:t>
      </w:r>
    </w:p>
    <w:p w:rsidR="00745A24" w:rsidRDefault="009826DE" w:rsidP="009826DE">
      <w:pPr>
        <w:pStyle w:val="ListBullet"/>
        <w:rPr>
          <w:lang w:eastAsia="en-US"/>
        </w:rPr>
      </w:pPr>
      <w:r>
        <w:rPr>
          <w:lang w:eastAsia="en-US"/>
        </w:rPr>
        <w:t xml:space="preserve">For retail buildings, net benefits are relatively large due to both relatively high net benefits per square metre of floor area across most </w:t>
      </w:r>
      <w:r w:rsidR="00E31EE8">
        <w:rPr>
          <w:lang w:eastAsia="en-US"/>
        </w:rPr>
        <w:t>Climate Zone</w:t>
      </w:r>
      <w:r>
        <w:rPr>
          <w:lang w:eastAsia="en-US"/>
        </w:rPr>
        <w:t>s and retail is estimated to be a relatively high proportion of new construction.</w:t>
      </w:r>
    </w:p>
    <w:p w:rsidR="009826DE" w:rsidRDefault="009826DE" w:rsidP="009826DE">
      <w:pPr>
        <w:pStyle w:val="ListBullet"/>
        <w:rPr>
          <w:lang w:eastAsia="en-US"/>
        </w:rPr>
      </w:pPr>
      <w:r>
        <w:rPr>
          <w:lang w:eastAsia="en-US"/>
        </w:rPr>
        <w:t>For schools, high aggregate net benefits relative to other building types is mostly driven by very high estimated energy savings per square metre of floor space.</w:t>
      </w:r>
    </w:p>
    <w:p w:rsidR="009157A3" w:rsidRDefault="00612FD3" w:rsidP="00612FD3">
      <w:pPr>
        <w:pStyle w:val="BodyText"/>
        <w:rPr>
          <w:lang w:eastAsia="en-US"/>
        </w:rPr>
      </w:pPr>
      <w:r>
        <w:rPr>
          <w:lang w:eastAsia="en-US"/>
        </w:rPr>
        <w:t xml:space="preserve">While there is estimated to be a net benefit for most building types, there is </w:t>
      </w:r>
      <w:r w:rsidR="009157A3">
        <w:rPr>
          <w:lang w:eastAsia="en-US"/>
        </w:rPr>
        <w:t xml:space="preserve">estimated to be </w:t>
      </w:r>
      <w:r>
        <w:rPr>
          <w:lang w:eastAsia="en-US"/>
        </w:rPr>
        <w:t>a net cost</w:t>
      </w:r>
      <w:r w:rsidR="005A622E">
        <w:rPr>
          <w:lang w:eastAsia="en-US"/>
        </w:rPr>
        <w:t>, albeit marginal,</w:t>
      </w:r>
      <w:r>
        <w:rPr>
          <w:lang w:eastAsia="en-US"/>
        </w:rPr>
        <w:t xml:space="preserve"> for</w:t>
      </w:r>
      <w:r w:rsidR="009157A3">
        <w:rPr>
          <w:lang w:eastAsia="en-US"/>
        </w:rPr>
        <w:t>:</w:t>
      </w:r>
    </w:p>
    <w:p w:rsidR="009157A3" w:rsidRDefault="00612FD3" w:rsidP="002B3C0A">
      <w:pPr>
        <w:pStyle w:val="ListBullet"/>
        <w:rPr>
          <w:lang w:eastAsia="en-US"/>
        </w:rPr>
      </w:pPr>
      <w:r>
        <w:rPr>
          <w:lang w:eastAsia="en-US"/>
        </w:rPr>
        <w:t xml:space="preserve">health-care </w:t>
      </w:r>
      <w:r w:rsidR="005A622E">
        <w:rPr>
          <w:lang w:eastAsia="en-US"/>
        </w:rPr>
        <w:t>buildings</w:t>
      </w:r>
      <w:r>
        <w:rPr>
          <w:lang w:eastAsia="en-US"/>
        </w:rPr>
        <w:t xml:space="preserve"> (9aC) </w:t>
      </w:r>
      <w:r w:rsidR="009157A3">
        <w:rPr>
          <w:lang w:eastAsia="en-US"/>
        </w:rPr>
        <w:t xml:space="preserve">in </w:t>
      </w:r>
      <w:r w:rsidR="00E31EE8">
        <w:rPr>
          <w:lang w:eastAsia="en-US"/>
        </w:rPr>
        <w:t>Climate Zone</w:t>
      </w:r>
      <w:r w:rsidR="009157A3">
        <w:rPr>
          <w:lang w:eastAsia="en-US"/>
        </w:rPr>
        <w:t xml:space="preserve">s 6 and 7 and possibly in </w:t>
      </w:r>
      <w:r w:rsidR="00E31EE8">
        <w:rPr>
          <w:lang w:eastAsia="en-US"/>
        </w:rPr>
        <w:t>Climate Zone</w:t>
      </w:r>
      <w:r w:rsidR="009157A3">
        <w:rPr>
          <w:lang w:eastAsia="en-US"/>
        </w:rPr>
        <w:t xml:space="preserve">s 4 and 5 (depending on the extent to which modelled energy savings are </w:t>
      </w:r>
      <w:r w:rsidR="00537C50">
        <w:rPr>
          <w:lang w:eastAsia="en-US"/>
        </w:rPr>
        <w:t>realised in</w:t>
      </w:r>
      <w:r w:rsidR="009157A3">
        <w:rPr>
          <w:lang w:eastAsia="en-US"/>
        </w:rPr>
        <w:t xml:space="preserve"> practice; and</w:t>
      </w:r>
    </w:p>
    <w:p w:rsidR="009157A3" w:rsidRDefault="009157A3" w:rsidP="002B3C0A">
      <w:pPr>
        <w:pStyle w:val="ListBullet"/>
        <w:rPr>
          <w:lang w:eastAsia="en-US"/>
        </w:rPr>
      </w:pPr>
      <w:r>
        <w:rPr>
          <w:lang w:eastAsia="en-US"/>
        </w:rPr>
        <w:t xml:space="preserve">retail buildings in </w:t>
      </w:r>
      <w:r w:rsidR="00E31EE8">
        <w:rPr>
          <w:lang w:eastAsia="en-US"/>
        </w:rPr>
        <w:t>Climate Zone</w:t>
      </w:r>
      <w:r>
        <w:rPr>
          <w:lang w:eastAsia="en-US"/>
        </w:rPr>
        <w:t xml:space="preserve"> 7.</w:t>
      </w:r>
    </w:p>
    <w:p w:rsidR="00612FD3" w:rsidRDefault="00612FD3" w:rsidP="00612FD3">
      <w:pPr>
        <w:pStyle w:val="BodyText"/>
        <w:rPr>
          <w:lang w:eastAsia="en-US"/>
        </w:rPr>
      </w:pPr>
      <w:r>
        <w:rPr>
          <w:lang w:eastAsia="en-US"/>
        </w:rPr>
        <w:t xml:space="preserve">There is also variation within building types across </w:t>
      </w:r>
      <w:r w:rsidR="005A622E">
        <w:rPr>
          <w:lang w:eastAsia="en-US"/>
        </w:rPr>
        <w:t>jurisdictions</w:t>
      </w:r>
      <w:r>
        <w:rPr>
          <w:lang w:eastAsia="en-US"/>
        </w:rPr>
        <w:t xml:space="preserve"> and </w:t>
      </w:r>
      <w:r w:rsidR="00E31EE8">
        <w:rPr>
          <w:lang w:eastAsia="en-US"/>
        </w:rPr>
        <w:t>Climate Zone</w:t>
      </w:r>
      <w:r>
        <w:rPr>
          <w:lang w:eastAsia="en-US"/>
        </w:rPr>
        <w:t xml:space="preserve">s (see </w:t>
      </w:r>
      <w:r w:rsidRPr="002360AA">
        <w:rPr>
          <w:lang w:eastAsia="en-US"/>
        </w:rPr>
        <w:t xml:space="preserve">appendix </w:t>
      </w:r>
      <w:r w:rsidR="00BD28D0" w:rsidRPr="002360AA">
        <w:rPr>
          <w:lang w:eastAsia="en-US"/>
        </w:rPr>
        <w:t xml:space="preserve">I </w:t>
      </w:r>
      <w:r w:rsidRPr="002360AA">
        <w:rPr>
          <w:lang w:eastAsia="en-US"/>
        </w:rPr>
        <w:t>for further</w:t>
      </w:r>
      <w:r>
        <w:rPr>
          <w:lang w:eastAsia="en-US"/>
        </w:rPr>
        <w:t xml:space="preserve"> details).</w:t>
      </w:r>
    </w:p>
    <w:p w:rsidR="00612FD3" w:rsidRDefault="00612FD3" w:rsidP="00612FD3">
      <w:pPr>
        <w:pStyle w:val="Caption"/>
      </w:pPr>
      <w:r w:rsidRPr="00EC1D99">
        <w:fldChar w:fldCharType="begin"/>
      </w:r>
      <w:r w:rsidRPr="00EC1D99">
        <w:instrText xml:space="preserve"> IF 1 = 1 "</w:instrText>
      </w:r>
      <w:r w:rsidRPr="00EC1D99">
        <w:fldChar w:fldCharType="begin"/>
      </w:r>
      <w:r w:rsidRPr="00EC1D99">
        <w:instrText xml:space="preserve"> IF </w:instrText>
      </w:r>
      <w:r w:rsidRPr="00EC1D99">
        <w:rPr>
          <w:noProof/>
        </w:rPr>
        <w:fldChar w:fldCharType="begin"/>
      </w:r>
      <w:r w:rsidRPr="00EC1D99">
        <w:rPr>
          <w:noProof/>
        </w:rPr>
        <w:instrText xml:space="preserve"> STYLEREF "Heading 6" \l \n </w:instrText>
      </w:r>
      <w:r w:rsidRPr="00EC1D99">
        <w:rPr>
          <w:noProof/>
        </w:rPr>
        <w:fldChar w:fldCharType="separate"/>
      </w:r>
      <w:r w:rsidR="00B833F1">
        <w:rPr>
          <w:noProof/>
        </w:rPr>
        <w:instrText>0</w:instrText>
      </w:r>
      <w:r w:rsidRPr="00EC1D99">
        <w:rPr>
          <w:noProof/>
        </w:rPr>
        <w:fldChar w:fldCharType="end"/>
      </w:r>
      <w:r w:rsidRPr="00EC1D99">
        <w:instrText xml:space="preserve"> = 0 "</w:instrText>
      </w:r>
      <w:r w:rsidRPr="00EC1D99">
        <w:fldChar w:fldCharType="begin"/>
      </w:r>
      <w:r w:rsidRPr="00EC1D99">
        <w:instrText xml:space="preserve"> IF </w:instrText>
      </w:r>
      <w:r w:rsidRPr="00EC1D99">
        <w:rPr>
          <w:noProof/>
        </w:rPr>
        <w:fldChar w:fldCharType="begin"/>
      </w:r>
      <w:r w:rsidRPr="00EC1D99">
        <w:rPr>
          <w:noProof/>
        </w:rPr>
        <w:instrText xml:space="preserve"> STYLEREF "Heading 1" \l \n </w:instrText>
      </w:r>
      <w:r w:rsidRPr="00EC1D99">
        <w:rPr>
          <w:noProof/>
        </w:rPr>
        <w:fldChar w:fldCharType="separate"/>
      </w:r>
      <w:r w:rsidR="00B833F1">
        <w:rPr>
          <w:noProof/>
        </w:rPr>
        <w:instrText>8</w:instrText>
      </w:r>
      <w:r w:rsidRPr="00EC1D99">
        <w:rPr>
          <w:noProof/>
        </w:rPr>
        <w:fldChar w:fldCharType="end"/>
      </w:r>
      <w:r w:rsidRPr="00EC1D99">
        <w:instrText xml:space="preserve"> = 0 "" "</w:instrText>
      </w:r>
      <w:r w:rsidRPr="00EC1D99">
        <w:rPr>
          <w:noProof/>
        </w:rPr>
        <w:fldChar w:fldCharType="begin"/>
      </w:r>
      <w:r w:rsidRPr="00EC1D99">
        <w:rPr>
          <w:noProof/>
        </w:rPr>
        <w:instrText xml:space="preserve"> STYLEREF "Heading 1" \l \n </w:instrText>
      </w:r>
      <w:r w:rsidRPr="00EC1D99">
        <w:rPr>
          <w:noProof/>
        </w:rPr>
        <w:fldChar w:fldCharType="separate"/>
      </w:r>
      <w:r w:rsidR="00B833F1">
        <w:rPr>
          <w:noProof/>
        </w:rPr>
        <w:instrText>8</w:instrText>
      </w:r>
      <w:r w:rsidRPr="00EC1D99">
        <w:rPr>
          <w:noProof/>
        </w:rPr>
        <w:fldChar w:fldCharType="end"/>
      </w:r>
      <w:r w:rsidRPr="00EC1D99">
        <w:instrText xml:space="preserve">." </w:instrText>
      </w:r>
      <w:r w:rsidRPr="00EC1D99">
        <w:fldChar w:fldCharType="separate"/>
      </w:r>
      <w:r w:rsidR="00B833F1">
        <w:rPr>
          <w:noProof/>
        </w:rPr>
        <w:instrText>8</w:instrText>
      </w:r>
      <w:r w:rsidR="00B833F1" w:rsidRPr="00EC1D99">
        <w:rPr>
          <w:noProof/>
        </w:rPr>
        <w:instrText>.</w:instrText>
      </w:r>
      <w:r w:rsidRPr="00EC1D99">
        <w:fldChar w:fldCharType="end"/>
      </w:r>
      <w:r w:rsidRPr="00EC1D99">
        <w:instrText>" "</w:instrText>
      </w:r>
      <w:r w:rsidR="001F6F43">
        <w:fldChar w:fldCharType="begin"/>
      </w:r>
      <w:r w:rsidR="001F6F43">
        <w:instrText xml:space="preserve"> STYLEREF "Heading 6" \l \n </w:instrText>
      </w:r>
      <w:r w:rsidR="001F6F43">
        <w:fldChar w:fldCharType="separate"/>
      </w:r>
      <w:r w:rsidRPr="00EC1D99">
        <w:instrText>B</w:instrText>
      </w:r>
      <w:r w:rsidR="001F6F43">
        <w:fldChar w:fldCharType="end"/>
      </w:r>
      <w:r w:rsidRPr="00EC1D99">
        <w:instrText xml:space="preserve">." </w:instrText>
      </w:r>
      <w:r w:rsidRPr="00EC1D99">
        <w:fldChar w:fldCharType="separate"/>
      </w:r>
      <w:r w:rsidR="00EA42ED">
        <w:rPr>
          <w:noProof/>
        </w:rPr>
        <w:instrText>8</w:instrText>
      </w:r>
      <w:r w:rsidR="00EA42ED" w:rsidRPr="00EC1D99">
        <w:rPr>
          <w:noProof/>
        </w:rPr>
        <w:instrText>.</w:instrText>
      </w:r>
      <w:r w:rsidRPr="00EC1D99">
        <w:fldChar w:fldCharType="end"/>
      </w:r>
      <w:r w:rsidRPr="00EC1D99">
        <w:fldChar w:fldCharType="begin"/>
      </w:r>
      <w:r w:rsidRPr="00EC1D99">
        <w:instrText xml:space="preserve"> SEQ Item \* ARABIC \s </w:instrText>
      </w:r>
      <w:r w:rsidRPr="00EC1D99">
        <w:fldChar w:fldCharType="begin"/>
      </w:r>
      <w:r w:rsidRPr="00EC1D99">
        <w:instrText xml:space="preserve"> IF </w:instrText>
      </w:r>
      <w:r w:rsidRPr="00EC1D99">
        <w:rPr>
          <w:noProof/>
        </w:rPr>
        <w:fldChar w:fldCharType="begin"/>
      </w:r>
      <w:r w:rsidRPr="00EC1D99">
        <w:rPr>
          <w:noProof/>
        </w:rPr>
        <w:instrText xml:space="preserve"> STYLEREF "Heading 6" \l \n </w:instrText>
      </w:r>
      <w:r w:rsidRPr="00EC1D99">
        <w:rPr>
          <w:noProof/>
        </w:rPr>
        <w:fldChar w:fldCharType="separate"/>
      </w:r>
      <w:r w:rsidR="00B833F1">
        <w:rPr>
          <w:noProof/>
        </w:rPr>
        <w:instrText>0</w:instrText>
      </w:r>
      <w:r w:rsidRPr="00EC1D99">
        <w:rPr>
          <w:noProof/>
        </w:rPr>
        <w:fldChar w:fldCharType="end"/>
      </w:r>
      <w:r w:rsidRPr="00EC1D99">
        <w:instrText xml:space="preserve"> = 0 "</w:instrText>
      </w:r>
      <w:r w:rsidRPr="00EC1D99">
        <w:fldChar w:fldCharType="begin"/>
      </w:r>
      <w:r w:rsidRPr="00EC1D99">
        <w:instrText xml:space="preserve"> IF </w:instrText>
      </w:r>
      <w:r w:rsidRPr="00EC1D99">
        <w:rPr>
          <w:noProof/>
        </w:rPr>
        <w:fldChar w:fldCharType="begin"/>
      </w:r>
      <w:r w:rsidRPr="00EC1D99">
        <w:rPr>
          <w:noProof/>
        </w:rPr>
        <w:instrText xml:space="preserve"> STYLEREF "Heading 1" \l \n </w:instrText>
      </w:r>
      <w:r w:rsidRPr="00EC1D99">
        <w:rPr>
          <w:noProof/>
        </w:rPr>
        <w:fldChar w:fldCharType="separate"/>
      </w:r>
      <w:r w:rsidR="00B833F1">
        <w:rPr>
          <w:noProof/>
        </w:rPr>
        <w:instrText>8</w:instrText>
      </w:r>
      <w:r w:rsidRPr="00EC1D99">
        <w:rPr>
          <w:noProof/>
        </w:rPr>
        <w:fldChar w:fldCharType="end"/>
      </w:r>
      <w:r w:rsidRPr="00EC1D99">
        <w:instrText xml:space="preserve"> = 0 "" "1" </w:instrText>
      </w:r>
      <w:r w:rsidRPr="00EC1D99">
        <w:fldChar w:fldCharType="separate"/>
      </w:r>
      <w:r w:rsidR="00EA42ED" w:rsidRPr="00EC1D99">
        <w:rPr>
          <w:noProof/>
        </w:rPr>
        <w:instrText>1</w:instrText>
      </w:r>
      <w:r w:rsidRPr="00EC1D99">
        <w:fldChar w:fldCharType="end"/>
      </w:r>
      <w:r w:rsidRPr="00EC1D99">
        <w:instrText xml:space="preserve">" "6" </w:instrText>
      </w:r>
      <w:r w:rsidRPr="00EC1D99">
        <w:fldChar w:fldCharType="separate"/>
      </w:r>
      <w:r w:rsidR="00EA42ED" w:rsidRPr="00EC1D99">
        <w:rPr>
          <w:noProof/>
        </w:rPr>
        <w:instrText>1</w:instrText>
      </w:r>
      <w:r w:rsidRPr="00EC1D99">
        <w:fldChar w:fldCharType="end"/>
      </w:r>
      <w:r w:rsidRPr="00EC1D99">
        <w:instrText xml:space="preserve"> </w:instrText>
      </w:r>
      <w:r w:rsidRPr="00EC1D99">
        <w:fldChar w:fldCharType="separate"/>
      </w:r>
      <w:r w:rsidR="00B833F1">
        <w:rPr>
          <w:noProof/>
        </w:rPr>
        <w:instrText>16</w:instrText>
      </w:r>
      <w:r w:rsidRPr="00EC1D99">
        <w:fldChar w:fldCharType="end"/>
      </w:r>
      <w:r w:rsidRPr="00EC1D99">
        <w:instrText xml:space="preserve">" "" </w:instrText>
      </w:r>
      <w:r w:rsidRPr="00EC1D99">
        <w:fldChar w:fldCharType="separate"/>
      </w:r>
      <w:bookmarkStart w:id="3989" w:name="_Caption0493"/>
      <w:bookmarkStart w:id="3990" w:name="_Caption3723"/>
      <w:bookmarkStart w:id="3991" w:name="_Caption3175"/>
      <w:bookmarkStart w:id="3992" w:name="_Caption8386"/>
      <w:bookmarkStart w:id="3993" w:name="_Caption2226"/>
      <w:bookmarkStart w:id="3994" w:name="_Caption6450"/>
      <w:bookmarkStart w:id="3995" w:name="_Caption0537"/>
      <w:bookmarkStart w:id="3996" w:name="_Caption4326"/>
      <w:bookmarkStart w:id="3997" w:name="_Caption1082"/>
      <w:bookmarkStart w:id="3998" w:name="_Caption1535"/>
      <w:bookmarkStart w:id="3999" w:name="_Caption1811"/>
      <w:bookmarkStart w:id="4000" w:name="_Caption6890"/>
      <w:bookmarkStart w:id="4001" w:name="_Caption8338"/>
      <w:bookmarkStart w:id="4002" w:name="_Caption4219"/>
      <w:bookmarkStart w:id="4003" w:name="_Caption3791"/>
      <w:bookmarkStart w:id="4004" w:name="_Caption8885"/>
      <w:bookmarkStart w:id="4005" w:name="_Caption4127"/>
      <w:bookmarkStart w:id="4006" w:name="_Caption6212"/>
      <w:bookmarkStart w:id="4007" w:name="_Caption9613"/>
      <w:bookmarkStart w:id="4008" w:name="_Caption9312"/>
      <w:bookmarkStart w:id="4009" w:name="_Caption3350"/>
      <w:bookmarkStart w:id="4010" w:name="_Caption0059"/>
      <w:bookmarkStart w:id="4011" w:name="_Caption8413"/>
      <w:bookmarkStart w:id="4012" w:name="_Caption4257"/>
      <w:bookmarkStart w:id="4013" w:name="_Caption5459"/>
      <w:bookmarkStart w:id="4014" w:name="_Caption9686"/>
      <w:bookmarkStart w:id="4015" w:name="_Caption2101"/>
      <w:bookmarkStart w:id="4016" w:name="_Caption2602"/>
      <w:bookmarkStart w:id="4017" w:name="_Caption6951"/>
      <w:bookmarkStart w:id="4018" w:name="_Caption4118"/>
      <w:bookmarkStart w:id="4019" w:name="_Caption2522"/>
      <w:bookmarkStart w:id="4020" w:name="_Caption8894"/>
      <w:bookmarkStart w:id="4021" w:name="_Caption7408"/>
      <w:bookmarkStart w:id="4022" w:name="_Caption6857"/>
      <w:bookmarkStart w:id="4023" w:name="_Caption2561"/>
      <w:bookmarkStart w:id="4024" w:name="_Caption2321"/>
      <w:bookmarkStart w:id="4025" w:name="_Caption5910"/>
      <w:bookmarkStart w:id="4026" w:name="_Caption5425"/>
      <w:bookmarkStart w:id="4027" w:name="_Caption3418"/>
      <w:bookmarkStart w:id="4028" w:name="_Caption9704"/>
      <w:bookmarkStart w:id="4029" w:name="_Caption7405"/>
      <w:bookmarkStart w:id="4030" w:name="_Caption0547"/>
      <w:bookmarkStart w:id="4031" w:name="_Caption5845"/>
      <w:bookmarkStart w:id="4032" w:name="_Caption9526"/>
      <w:bookmarkStart w:id="4033" w:name="_Caption4317"/>
      <w:bookmarkStart w:id="4034" w:name="_Caption0328"/>
      <w:bookmarkStart w:id="4035" w:name="_Caption4751"/>
      <w:bookmarkStart w:id="4036" w:name="_Caption5722"/>
      <w:bookmarkStart w:id="4037" w:name="_Caption0940"/>
      <w:bookmarkStart w:id="4038" w:name="_Caption1492"/>
      <w:bookmarkStart w:id="4039" w:name="_Caption1214"/>
      <w:bookmarkStart w:id="4040" w:name="_Caption2455"/>
      <w:bookmarkStart w:id="4041" w:name="_Caption7296"/>
      <w:bookmarkStart w:id="4042" w:name="_Caption4286"/>
      <w:bookmarkStart w:id="4043" w:name="_Caption0962"/>
      <w:bookmarkStart w:id="4044" w:name="_Caption1276"/>
      <w:bookmarkStart w:id="4045" w:name="_Caption6581"/>
      <w:bookmarkStart w:id="4046" w:name="_Caption1911"/>
      <w:bookmarkStart w:id="4047" w:name="_Caption6014"/>
      <w:bookmarkStart w:id="4048" w:name="_Caption6388"/>
      <w:bookmarkStart w:id="4049" w:name="_Caption7704"/>
      <w:bookmarkStart w:id="4050" w:name="_Caption0553"/>
      <w:bookmarkStart w:id="4051" w:name="_Caption2511"/>
      <w:bookmarkStart w:id="4052" w:name="_Caption2365"/>
      <w:bookmarkStart w:id="4053" w:name="_Caption0177"/>
      <w:bookmarkStart w:id="4054" w:name="_Caption3225"/>
      <w:bookmarkStart w:id="4055" w:name="_Caption5423"/>
      <w:bookmarkStart w:id="4056" w:name="_Caption5311"/>
      <w:bookmarkStart w:id="4057" w:name="_Caption0730"/>
      <w:bookmarkStart w:id="4058" w:name="_Caption1540"/>
      <w:bookmarkStart w:id="4059" w:name="_Caption6233"/>
      <w:bookmarkStart w:id="4060" w:name="_Caption7624"/>
      <w:bookmarkStart w:id="4061" w:name="_Caption1365"/>
      <w:bookmarkStart w:id="4062" w:name="_Caption0912"/>
      <w:bookmarkStart w:id="4063" w:name="_Caption9582"/>
      <w:bookmarkStart w:id="4064" w:name="_Caption2369"/>
      <w:bookmarkStart w:id="4065" w:name="_Caption8311"/>
      <w:bookmarkStart w:id="4066" w:name="_Caption2768"/>
      <w:bookmarkStart w:id="4067" w:name="_Caption5594"/>
      <w:bookmarkStart w:id="4068" w:name="_Caption8396"/>
      <w:bookmarkStart w:id="4069" w:name="_Caption3275"/>
      <w:bookmarkStart w:id="4070" w:name="_Toc509220864"/>
      <w:bookmarkStart w:id="4071" w:name="_Toc529869955"/>
      <w:bookmarkStart w:id="4072" w:name="_Toc530748451"/>
      <w:r w:rsidR="00EA42ED">
        <w:rPr>
          <w:noProof/>
        </w:rPr>
        <w:t>8</w:t>
      </w:r>
      <w:r w:rsidR="00EA42ED" w:rsidRPr="00EC1D99">
        <w:rPr>
          <w:noProof/>
        </w:rPr>
        <w:t>.</w:t>
      </w:r>
      <w:r w:rsidR="00EA42ED">
        <w:rPr>
          <w:noProof/>
        </w:rPr>
        <w:t>16</w:t>
      </w:r>
      <w:bookmarkStart w:id="4073" w:name="_Toc507523815"/>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r w:rsidRPr="00EC1D99">
        <w:fldChar w:fldCharType="end"/>
      </w:r>
      <w:r w:rsidRPr="00EC1D99">
        <w:tab/>
        <w:t>Net benefit/costs of proposed changes to the NCC by building type</w:t>
      </w:r>
      <w:bookmarkEnd w:id="4070"/>
      <w:bookmarkEnd w:id="4071"/>
      <w:bookmarkEnd w:id="4072"/>
      <w:bookmarkEnd w:id="4073"/>
    </w:p>
    <w:tbl>
      <w:tblPr>
        <w:tblW w:w="8023" w:type="dxa"/>
        <w:tblLayout w:type="fixed"/>
        <w:tblLook w:val="0000" w:firstRow="0" w:lastRow="0" w:firstColumn="0" w:lastColumn="0" w:noHBand="0" w:noVBand="0"/>
        <w:tblCaption w:val="Table 8.16: Net benefit/cost proposed changes to the NCC by building type."/>
        <w:tblDescription w:val="This table summarises the net benefits and costs of the proposed changes to NCC 2019 by building type and jurisdiction. "/>
      </w:tblPr>
      <w:tblGrid>
        <w:gridCol w:w="1559"/>
        <w:gridCol w:w="709"/>
        <w:gridCol w:w="709"/>
        <w:gridCol w:w="709"/>
        <w:gridCol w:w="709"/>
        <w:gridCol w:w="709"/>
        <w:gridCol w:w="709"/>
        <w:gridCol w:w="709"/>
        <w:gridCol w:w="709"/>
        <w:gridCol w:w="792"/>
      </w:tblGrid>
      <w:tr w:rsidR="00612FD3" w:rsidTr="00301B6D">
        <w:trPr>
          <w:trHeight w:val="230"/>
          <w:tblHeader/>
        </w:trPr>
        <w:tc>
          <w:tcPr>
            <w:tcW w:w="1559" w:type="dxa"/>
            <w:shd w:val="clear" w:color="auto" w:fill="6F6652"/>
            <w:tcMar>
              <w:left w:w="57" w:type="dxa"/>
              <w:right w:w="57" w:type="dxa"/>
            </w:tcMar>
          </w:tcPr>
          <w:p w:rsidR="00612FD3" w:rsidRDefault="00612FD3" w:rsidP="00301B6D">
            <w:pPr>
              <w:pStyle w:val="TableDataColumnHeading"/>
              <w:jc w:val="left"/>
              <w:rPr>
                <w:lang w:val="en-GB"/>
              </w:rPr>
            </w:pPr>
          </w:p>
        </w:tc>
        <w:tc>
          <w:tcPr>
            <w:tcW w:w="709" w:type="dxa"/>
            <w:shd w:val="clear" w:color="auto" w:fill="6F6652"/>
            <w:tcMar>
              <w:left w:w="57" w:type="dxa"/>
              <w:right w:w="57" w:type="dxa"/>
            </w:tcMar>
          </w:tcPr>
          <w:p w:rsidR="00612FD3" w:rsidRDefault="00612FD3" w:rsidP="00301B6D">
            <w:pPr>
              <w:pStyle w:val="TableDataColumnHeading"/>
              <w:rPr>
                <w:lang w:val="en-GB"/>
              </w:rPr>
            </w:pPr>
            <w:r>
              <w:rPr>
                <w:lang w:val="en-GB"/>
              </w:rPr>
              <w:t>NSW</w:t>
            </w:r>
          </w:p>
        </w:tc>
        <w:tc>
          <w:tcPr>
            <w:tcW w:w="709" w:type="dxa"/>
            <w:shd w:val="clear" w:color="auto" w:fill="6F6652"/>
            <w:tcMar>
              <w:left w:w="57" w:type="dxa"/>
              <w:right w:w="57" w:type="dxa"/>
            </w:tcMar>
          </w:tcPr>
          <w:p w:rsidR="00612FD3" w:rsidRDefault="00612FD3" w:rsidP="00301B6D">
            <w:pPr>
              <w:pStyle w:val="TableDataColumnHeading"/>
              <w:rPr>
                <w:lang w:val="en-GB"/>
              </w:rPr>
            </w:pPr>
            <w:r>
              <w:rPr>
                <w:lang w:val="en-GB"/>
              </w:rPr>
              <w:t>Vic</w:t>
            </w:r>
          </w:p>
        </w:tc>
        <w:tc>
          <w:tcPr>
            <w:tcW w:w="709" w:type="dxa"/>
            <w:shd w:val="clear" w:color="auto" w:fill="6F6652"/>
            <w:tcMar>
              <w:left w:w="57" w:type="dxa"/>
              <w:right w:w="57" w:type="dxa"/>
            </w:tcMar>
          </w:tcPr>
          <w:p w:rsidR="00612FD3" w:rsidRDefault="00612FD3" w:rsidP="00301B6D">
            <w:pPr>
              <w:pStyle w:val="TableDataColumnHeading"/>
              <w:rPr>
                <w:lang w:val="en-GB"/>
              </w:rPr>
            </w:pPr>
            <w:r>
              <w:rPr>
                <w:lang w:val="en-GB"/>
              </w:rPr>
              <w:t>Qld</w:t>
            </w:r>
          </w:p>
        </w:tc>
        <w:tc>
          <w:tcPr>
            <w:tcW w:w="709" w:type="dxa"/>
            <w:shd w:val="clear" w:color="auto" w:fill="6F6652"/>
            <w:tcMar>
              <w:left w:w="57" w:type="dxa"/>
              <w:right w:w="57" w:type="dxa"/>
            </w:tcMar>
          </w:tcPr>
          <w:p w:rsidR="00612FD3" w:rsidRDefault="00612FD3" w:rsidP="00301B6D">
            <w:pPr>
              <w:pStyle w:val="TableDataColumnHeading"/>
              <w:rPr>
                <w:lang w:val="en-GB"/>
              </w:rPr>
            </w:pPr>
            <w:r>
              <w:rPr>
                <w:lang w:val="en-GB"/>
              </w:rPr>
              <w:t>SA</w:t>
            </w:r>
          </w:p>
        </w:tc>
        <w:tc>
          <w:tcPr>
            <w:tcW w:w="709" w:type="dxa"/>
            <w:shd w:val="clear" w:color="auto" w:fill="6F6652"/>
            <w:tcMar>
              <w:left w:w="57" w:type="dxa"/>
              <w:right w:w="57" w:type="dxa"/>
            </w:tcMar>
          </w:tcPr>
          <w:p w:rsidR="00612FD3" w:rsidRDefault="00612FD3" w:rsidP="00301B6D">
            <w:pPr>
              <w:pStyle w:val="TableDataColumnHeading"/>
              <w:rPr>
                <w:lang w:val="en-GB"/>
              </w:rPr>
            </w:pPr>
            <w:r>
              <w:rPr>
                <w:lang w:val="en-GB"/>
              </w:rPr>
              <w:t>WA</w:t>
            </w:r>
          </w:p>
        </w:tc>
        <w:tc>
          <w:tcPr>
            <w:tcW w:w="709" w:type="dxa"/>
            <w:shd w:val="clear" w:color="auto" w:fill="6F6652"/>
            <w:tcMar>
              <w:left w:w="57" w:type="dxa"/>
              <w:right w:w="57" w:type="dxa"/>
            </w:tcMar>
          </w:tcPr>
          <w:p w:rsidR="00612FD3" w:rsidRDefault="00612FD3" w:rsidP="00301B6D">
            <w:pPr>
              <w:pStyle w:val="TableDataColumnHeading"/>
              <w:rPr>
                <w:lang w:val="en-GB"/>
              </w:rPr>
            </w:pPr>
            <w:r>
              <w:rPr>
                <w:lang w:val="en-GB"/>
              </w:rPr>
              <w:t>Tas</w:t>
            </w:r>
          </w:p>
        </w:tc>
        <w:tc>
          <w:tcPr>
            <w:tcW w:w="709" w:type="dxa"/>
            <w:shd w:val="clear" w:color="auto" w:fill="6F6652"/>
            <w:tcMar>
              <w:left w:w="57" w:type="dxa"/>
              <w:right w:w="57" w:type="dxa"/>
            </w:tcMar>
          </w:tcPr>
          <w:p w:rsidR="00612FD3" w:rsidRDefault="00612FD3" w:rsidP="00301B6D">
            <w:pPr>
              <w:pStyle w:val="TableDataColumnHeading"/>
              <w:rPr>
                <w:lang w:val="en-GB"/>
              </w:rPr>
            </w:pPr>
            <w:r>
              <w:rPr>
                <w:lang w:val="en-GB"/>
              </w:rPr>
              <w:t>ACT</w:t>
            </w:r>
          </w:p>
        </w:tc>
        <w:tc>
          <w:tcPr>
            <w:tcW w:w="709" w:type="dxa"/>
            <w:shd w:val="clear" w:color="auto" w:fill="6F6652"/>
            <w:tcMar>
              <w:left w:w="57" w:type="dxa"/>
              <w:right w:w="57" w:type="dxa"/>
            </w:tcMar>
          </w:tcPr>
          <w:p w:rsidR="00612FD3" w:rsidRDefault="00612FD3" w:rsidP="00301B6D">
            <w:pPr>
              <w:pStyle w:val="TableDataColumnHeading"/>
              <w:rPr>
                <w:lang w:val="en-GB"/>
              </w:rPr>
            </w:pPr>
            <w:r>
              <w:rPr>
                <w:lang w:val="en-GB"/>
              </w:rPr>
              <w:t>NT</w:t>
            </w:r>
          </w:p>
        </w:tc>
        <w:tc>
          <w:tcPr>
            <w:tcW w:w="792" w:type="dxa"/>
            <w:shd w:val="clear" w:color="auto" w:fill="6F6652"/>
            <w:tcMar>
              <w:left w:w="57" w:type="dxa"/>
              <w:right w:w="57" w:type="dxa"/>
            </w:tcMar>
          </w:tcPr>
          <w:p w:rsidR="00612FD3" w:rsidRDefault="00612FD3" w:rsidP="00301B6D">
            <w:pPr>
              <w:pStyle w:val="TableDataColumnHeading"/>
              <w:rPr>
                <w:lang w:val="en-GB"/>
              </w:rPr>
            </w:pPr>
            <w:r>
              <w:rPr>
                <w:lang w:val="en-GB"/>
              </w:rPr>
              <w:t>Total</w:t>
            </w:r>
          </w:p>
        </w:tc>
      </w:tr>
      <w:tr w:rsidR="00612FD3" w:rsidTr="00301B6D">
        <w:trPr>
          <w:trHeight w:val="230"/>
          <w:tblHeader/>
        </w:trPr>
        <w:tc>
          <w:tcPr>
            <w:tcW w:w="1559"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jc w:val="left"/>
              <w:rPr>
                <w:lang w:val="en-GB"/>
              </w:rPr>
            </w:pPr>
          </w:p>
        </w:tc>
        <w:tc>
          <w:tcPr>
            <w:tcW w:w="709"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million</w:t>
            </w:r>
          </w:p>
        </w:tc>
        <w:tc>
          <w:tcPr>
            <w:tcW w:w="709"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million</w:t>
            </w:r>
          </w:p>
        </w:tc>
        <w:tc>
          <w:tcPr>
            <w:tcW w:w="709"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million</w:t>
            </w:r>
          </w:p>
        </w:tc>
        <w:tc>
          <w:tcPr>
            <w:tcW w:w="709"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million</w:t>
            </w:r>
          </w:p>
        </w:tc>
        <w:tc>
          <w:tcPr>
            <w:tcW w:w="709"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million</w:t>
            </w:r>
          </w:p>
        </w:tc>
        <w:tc>
          <w:tcPr>
            <w:tcW w:w="709"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million</w:t>
            </w:r>
          </w:p>
        </w:tc>
        <w:tc>
          <w:tcPr>
            <w:tcW w:w="709"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million</w:t>
            </w:r>
          </w:p>
        </w:tc>
        <w:tc>
          <w:tcPr>
            <w:tcW w:w="709"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million</w:t>
            </w:r>
          </w:p>
        </w:tc>
        <w:tc>
          <w:tcPr>
            <w:tcW w:w="792"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million</w:t>
            </w:r>
          </w:p>
        </w:tc>
      </w:tr>
      <w:tr w:rsidR="00612FD3" w:rsidTr="00301B6D">
        <w:trPr>
          <w:trHeight w:val="230"/>
        </w:trPr>
        <w:tc>
          <w:tcPr>
            <w:tcW w:w="155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r>
              <w:rPr>
                <w:lang w:val="en-GB"/>
              </w:rPr>
              <w:t>Low scenario</w:t>
            </w:r>
          </w:p>
        </w:tc>
        <w:tc>
          <w:tcPr>
            <w:tcW w:w="70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612FD3" w:rsidRDefault="00612FD3" w:rsidP="00301B6D">
            <w:pPr>
              <w:pStyle w:val="TableHeading1"/>
            </w:pPr>
          </w:p>
        </w:tc>
        <w:tc>
          <w:tcPr>
            <w:tcW w:w="70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612FD3" w:rsidRDefault="00612FD3" w:rsidP="00301B6D">
            <w:pPr>
              <w:pStyle w:val="TableHeading1"/>
            </w:pPr>
          </w:p>
        </w:tc>
        <w:tc>
          <w:tcPr>
            <w:tcW w:w="70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612FD3" w:rsidRDefault="00612FD3" w:rsidP="00301B6D">
            <w:pPr>
              <w:pStyle w:val="TableHeading1"/>
            </w:pPr>
          </w:p>
        </w:tc>
        <w:tc>
          <w:tcPr>
            <w:tcW w:w="70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612FD3" w:rsidRDefault="00612FD3" w:rsidP="00301B6D">
            <w:pPr>
              <w:pStyle w:val="TableHeading1"/>
            </w:pPr>
          </w:p>
        </w:tc>
        <w:tc>
          <w:tcPr>
            <w:tcW w:w="70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612FD3" w:rsidRDefault="00612FD3" w:rsidP="00301B6D">
            <w:pPr>
              <w:pStyle w:val="TableHeading1"/>
            </w:pPr>
          </w:p>
        </w:tc>
        <w:tc>
          <w:tcPr>
            <w:tcW w:w="70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612FD3" w:rsidRDefault="00612FD3" w:rsidP="00301B6D">
            <w:pPr>
              <w:pStyle w:val="TableHeading1"/>
            </w:pPr>
          </w:p>
        </w:tc>
        <w:tc>
          <w:tcPr>
            <w:tcW w:w="70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612FD3" w:rsidRDefault="00612FD3" w:rsidP="00301B6D">
            <w:pPr>
              <w:pStyle w:val="TableHeading1"/>
            </w:pPr>
          </w:p>
        </w:tc>
        <w:tc>
          <w:tcPr>
            <w:tcW w:w="70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612FD3" w:rsidRDefault="00612FD3" w:rsidP="00301B6D">
            <w:pPr>
              <w:pStyle w:val="TableHeading1"/>
            </w:pPr>
          </w:p>
        </w:tc>
        <w:tc>
          <w:tcPr>
            <w:tcW w:w="792"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612FD3" w:rsidRDefault="00612FD3" w:rsidP="00301B6D">
            <w:pPr>
              <w:pStyle w:val="TableHeading1"/>
            </w:pPr>
          </w:p>
        </w:tc>
      </w:tr>
      <w:tr w:rsidR="008D1885" w:rsidTr="00301B6D">
        <w:trPr>
          <w:trHeight w:val="230"/>
        </w:trPr>
        <w:tc>
          <w:tcPr>
            <w:tcW w:w="155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8D1885" w:rsidRDefault="008D1885" w:rsidP="008D1885">
            <w:pPr>
              <w:pStyle w:val="TableDataEntries"/>
              <w:jc w:val="left"/>
              <w:rPr>
                <w:lang w:val="en-GB"/>
              </w:rPr>
            </w:pPr>
            <w:r>
              <w:rPr>
                <w:lang w:val="en-GB"/>
              </w:rPr>
              <w:t>Hotel</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xml:space="preserve"> 27.1</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xml:space="preserve"> 30.6</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xml:space="preserve"> 20.9</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xml:space="preserve"> 4.9</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xml:space="preserve"> 7.7</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xml:space="preserve"> 2.9</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xml:space="preserve"> 1.6</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xml:space="preserve"> 2.2</w:t>
            </w:r>
          </w:p>
        </w:tc>
        <w:tc>
          <w:tcPr>
            <w:tcW w:w="79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xml:space="preserve"> 97.9</w:t>
            </w:r>
          </w:p>
        </w:tc>
      </w:tr>
      <w:tr w:rsidR="008D1885" w:rsidTr="00301B6D">
        <w:trPr>
          <w:trHeight w:val="230"/>
        </w:trPr>
        <w:tc>
          <w:tcPr>
            <w:tcW w:w="155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8D1885" w:rsidRDefault="008D1885" w:rsidP="008D1885">
            <w:pPr>
              <w:pStyle w:val="TableDataEntries"/>
              <w:jc w:val="left"/>
              <w:rPr>
                <w:lang w:val="en-GB"/>
              </w:rPr>
            </w:pPr>
            <w:r>
              <w:rPr>
                <w:lang w:val="en-GB"/>
              </w:rPr>
              <w:t>Office</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xml:space="preserve"> 17.2</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xml:space="preserve"> 15.0</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xml:space="preserve"> 23.6</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xml:space="preserve"> 0.7</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xml:space="preserve"> 1.7</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xml:space="preserve"> 0.7</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xml:space="preserve"> 4.5</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xml:space="preserve"> 0.4</w:t>
            </w:r>
          </w:p>
        </w:tc>
        <w:tc>
          <w:tcPr>
            <w:tcW w:w="79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xml:space="preserve"> 63.8</w:t>
            </w:r>
          </w:p>
        </w:tc>
      </w:tr>
      <w:tr w:rsidR="008D1885" w:rsidTr="00301B6D">
        <w:trPr>
          <w:trHeight w:val="230"/>
        </w:trPr>
        <w:tc>
          <w:tcPr>
            <w:tcW w:w="155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8D1885" w:rsidRDefault="008D1885" w:rsidP="008D1885">
            <w:pPr>
              <w:pStyle w:val="TableDataEntries"/>
              <w:jc w:val="left"/>
              <w:rPr>
                <w:lang w:val="en-GB"/>
              </w:rPr>
            </w:pPr>
            <w:r>
              <w:rPr>
                <w:lang w:val="en-GB"/>
              </w:rPr>
              <w:t>Retail</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xml:space="preserve"> 145.7</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xml:space="preserve"> 132.5</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xml:space="preserve"> 150.9</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xml:space="preserve"> 39.5</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xml:space="preserve"> 112.3</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- 4.4</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- 4.1</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xml:space="preserve"> 9.9</w:t>
            </w:r>
          </w:p>
        </w:tc>
        <w:tc>
          <w:tcPr>
            <w:tcW w:w="79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xml:space="preserve"> 582.2</w:t>
            </w:r>
          </w:p>
        </w:tc>
      </w:tr>
      <w:tr w:rsidR="008D1885" w:rsidTr="00301B6D">
        <w:trPr>
          <w:trHeight w:val="230"/>
        </w:trPr>
        <w:tc>
          <w:tcPr>
            <w:tcW w:w="155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8D1885" w:rsidRDefault="008D1885" w:rsidP="008D1885">
            <w:pPr>
              <w:pStyle w:val="TableDataEntries"/>
              <w:jc w:val="left"/>
              <w:rPr>
                <w:lang w:val="en-GB"/>
              </w:rPr>
            </w:pPr>
            <w:r>
              <w:rPr>
                <w:lang w:val="en-GB"/>
              </w:rPr>
              <w:t>Healthcare</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- 7.8</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- 13.1</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xml:space="preserve"> 10.0</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- 0.7</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xml:space="preserve"> 0.1</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- 1.2</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- 1.0</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xml:space="preserve"> 0.8</w:t>
            </w:r>
          </w:p>
        </w:tc>
        <w:tc>
          <w:tcPr>
            <w:tcW w:w="79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- 13.0</w:t>
            </w:r>
          </w:p>
        </w:tc>
      </w:tr>
      <w:tr w:rsidR="008D1885" w:rsidTr="00301B6D">
        <w:trPr>
          <w:trHeight w:val="230"/>
        </w:trPr>
        <w:tc>
          <w:tcPr>
            <w:tcW w:w="155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8D1885" w:rsidRDefault="008D1885" w:rsidP="008D1885">
            <w:pPr>
              <w:pStyle w:val="TableDataEntries"/>
              <w:jc w:val="left"/>
              <w:rPr>
                <w:lang w:val="en-GB"/>
              </w:rPr>
            </w:pPr>
            <w:r>
              <w:rPr>
                <w:lang w:val="en-GB"/>
              </w:rPr>
              <w:t>School</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xml:space="preserve"> 103.0</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xml:space="preserve"> 130.1</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xml:space="preserve"> 135.6</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xml:space="preserve"> 11.7</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xml:space="preserve"> 25.6</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xml:space="preserve"> 7.5</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xml:space="preserve"> 12.5</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xml:space="preserve"> 13.2</w:t>
            </w:r>
          </w:p>
        </w:tc>
        <w:tc>
          <w:tcPr>
            <w:tcW w:w="79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xml:space="preserve"> 439.2</w:t>
            </w:r>
          </w:p>
        </w:tc>
      </w:tr>
      <w:tr w:rsidR="008D1885" w:rsidTr="00EC1D99">
        <w:trPr>
          <w:trHeight w:val="230"/>
        </w:trPr>
        <w:tc>
          <w:tcPr>
            <w:tcW w:w="155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8D1885" w:rsidRDefault="008D1885" w:rsidP="008D1885">
            <w:pPr>
              <w:pStyle w:val="TableDataEntries"/>
              <w:jc w:val="left"/>
              <w:rPr>
                <w:lang w:val="en-GB"/>
              </w:rPr>
            </w:pPr>
            <w:r>
              <w:rPr>
                <w:lang w:val="en-GB"/>
              </w:rPr>
              <w:t>Aged care</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- 5.8</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- 12.7</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xml:space="preserve"> 6.5</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- 1.1</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- 0.1</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- 1.2</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- 0.6</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xml:space="preserve"> 0.3</w:t>
            </w:r>
          </w:p>
        </w:tc>
        <w:tc>
          <w:tcPr>
            <w:tcW w:w="79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- 14.8</w:t>
            </w:r>
          </w:p>
        </w:tc>
      </w:tr>
      <w:tr w:rsidR="008D1885" w:rsidTr="00EC1D99">
        <w:trPr>
          <w:trHeight w:val="230"/>
        </w:trPr>
        <w:tc>
          <w:tcPr>
            <w:tcW w:w="155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8D1885" w:rsidRDefault="008D1885" w:rsidP="008D1885">
            <w:pPr>
              <w:pStyle w:val="TableDataEntries"/>
              <w:jc w:val="left"/>
              <w:rPr>
                <w:lang w:val="en-GB"/>
              </w:rPr>
            </w:pPr>
            <w:r>
              <w:rPr>
                <w:lang w:val="en-GB"/>
              </w:rPr>
              <w:t>Other impacts</w:t>
            </w:r>
            <w:r w:rsidRPr="00D466CC">
              <w:rPr>
                <w:rStyle w:val="NoteLabel"/>
              </w:rPr>
              <w:t>a</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- 5.7</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- 5.0</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- 3.0</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- 0.9</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- 1.9</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- 0.2</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- 0.3</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- 0.1</w:t>
            </w:r>
          </w:p>
        </w:tc>
        <w:tc>
          <w:tcPr>
            <w:tcW w:w="79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- 17.1</w:t>
            </w:r>
          </w:p>
        </w:tc>
      </w:tr>
      <w:tr w:rsidR="008D1885" w:rsidRPr="008D1885" w:rsidTr="00C661AF">
        <w:trPr>
          <w:trHeight w:val="230"/>
        </w:trPr>
        <w:tc>
          <w:tcPr>
            <w:tcW w:w="1559"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8D1885" w:rsidRPr="008D1885" w:rsidRDefault="008D1885" w:rsidP="008D1885">
            <w:pPr>
              <w:pStyle w:val="TableDataEntries"/>
              <w:jc w:val="left"/>
              <w:rPr>
                <w:rFonts w:ascii="Franklin Gothic Demi" w:hAnsi="Franklin Gothic Demi"/>
                <w:lang w:val="en-GB"/>
              </w:rPr>
            </w:pPr>
            <w:r w:rsidRPr="008D1885">
              <w:rPr>
                <w:rFonts w:ascii="Franklin Gothic Demi" w:hAnsi="Franklin Gothic Demi"/>
                <w:lang w:val="en-GB"/>
              </w:rPr>
              <w:t>Net benefit/cost</w:t>
            </w:r>
          </w:p>
        </w:tc>
        <w:tc>
          <w:tcPr>
            <w:tcW w:w="709"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8D1885" w:rsidRPr="008D1885" w:rsidRDefault="008D1885" w:rsidP="008D1885">
            <w:pPr>
              <w:pStyle w:val="TableDataEntries"/>
              <w:rPr>
                <w:rFonts w:ascii="Franklin Gothic Demi" w:hAnsi="Franklin Gothic Demi"/>
              </w:rPr>
            </w:pPr>
            <w:r w:rsidRPr="008D1885">
              <w:rPr>
                <w:rFonts w:ascii="Franklin Gothic Demi" w:hAnsi="Franklin Gothic Demi"/>
              </w:rPr>
              <w:t xml:space="preserve"> 273.7</w:t>
            </w:r>
          </w:p>
        </w:tc>
        <w:tc>
          <w:tcPr>
            <w:tcW w:w="709"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8D1885" w:rsidRPr="008D1885" w:rsidRDefault="008D1885" w:rsidP="008D1885">
            <w:pPr>
              <w:pStyle w:val="TableDataEntries"/>
              <w:rPr>
                <w:rFonts w:ascii="Franklin Gothic Demi" w:hAnsi="Franklin Gothic Demi"/>
              </w:rPr>
            </w:pPr>
            <w:r w:rsidRPr="008D1885">
              <w:rPr>
                <w:rFonts w:ascii="Franklin Gothic Demi" w:hAnsi="Franklin Gothic Demi"/>
              </w:rPr>
              <w:t xml:space="preserve"> 277.4</w:t>
            </w:r>
          </w:p>
        </w:tc>
        <w:tc>
          <w:tcPr>
            <w:tcW w:w="709"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8D1885" w:rsidRPr="008D1885" w:rsidRDefault="008D1885" w:rsidP="008D1885">
            <w:pPr>
              <w:pStyle w:val="TableDataEntries"/>
              <w:rPr>
                <w:rFonts w:ascii="Franklin Gothic Demi" w:hAnsi="Franklin Gothic Demi"/>
              </w:rPr>
            </w:pPr>
            <w:r w:rsidRPr="008D1885">
              <w:rPr>
                <w:rFonts w:ascii="Franklin Gothic Demi" w:hAnsi="Franklin Gothic Demi"/>
              </w:rPr>
              <w:t xml:space="preserve"> 344.4</w:t>
            </w:r>
          </w:p>
        </w:tc>
        <w:tc>
          <w:tcPr>
            <w:tcW w:w="709"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8D1885" w:rsidRPr="008D1885" w:rsidRDefault="008D1885" w:rsidP="008D1885">
            <w:pPr>
              <w:pStyle w:val="TableDataEntries"/>
              <w:rPr>
                <w:rFonts w:ascii="Franklin Gothic Demi" w:hAnsi="Franklin Gothic Demi"/>
              </w:rPr>
            </w:pPr>
            <w:r w:rsidRPr="008D1885">
              <w:rPr>
                <w:rFonts w:ascii="Franklin Gothic Demi" w:hAnsi="Franklin Gothic Demi"/>
              </w:rPr>
              <w:t xml:space="preserve"> 54.1</w:t>
            </w:r>
          </w:p>
        </w:tc>
        <w:tc>
          <w:tcPr>
            <w:tcW w:w="709"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8D1885" w:rsidRPr="008D1885" w:rsidRDefault="008D1885" w:rsidP="008D1885">
            <w:pPr>
              <w:pStyle w:val="TableDataEntries"/>
              <w:rPr>
                <w:rFonts w:ascii="Franklin Gothic Demi" w:hAnsi="Franklin Gothic Demi"/>
              </w:rPr>
            </w:pPr>
            <w:r w:rsidRPr="008D1885">
              <w:rPr>
                <w:rFonts w:ascii="Franklin Gothic Demi" w:hAnsi="Franklin Gothic Demi"/>
              </w:rPr>
              <w:t xml:space="preserve"> 145.4</w:t>
            </w:r>
          </w:p>
        </w:tc>
        <w:tc>
          <w:tcPr>
            <w:tcW w:w="709"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8D1885" w:rsidRPr="008D1885" w:rsidRDefault="008D1885" w:rsidP="008D1885">
            <w:pPr>
              <w:pStyle w:val="TableDataEntries"/>
              <w:rPr>
                <w:rFonts w:ascii="Franklin Gothic Demi" w:hAnsi="Franklin Gothic Demi"/>
              </w:rPr>
            </w:pPr>
            <w:r w:rsidRPr="008D1885">
              <w:rPr>
                <w:rFonts w:ascii="Franklin Gothic Demi" w:hAnsi="Franklin Gothic Demi"/>
              </w:rPr>
              <w:t xml:space="preserve"> 4.0</w:t>
            </w:r>
          </w:p>
        </w:tc>
        <w:tc>
          <w:tcPr>
            <w:tcW w:w="709"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8D1885" w:rsidRPr="008D1885" w:rsidRDefault="008D1885" w:rsidP="008D1885">
            <w:pPr>
              <w:pStyle w:val="TableDataEntries"/>
              <w:rPr>
                <w:rFonts w:ascii="Franklin Gothic Demi" w:hAnsi="Franklin Gothic Demi"/>
              </w:rPr>
            </w:pPr>
            <w:r w:rsidRPr="008D1885">
              <w:rPr>
                <w:rFonts w:ascii="Franklin Gothic Demi" w:hAnsi="Franklin Gothic Demi"/>
              </w:rPr>
              <w:t xml:space="preserve"> 12.6</w:t>
            </w:r>
          </w:p>
        </w:tc>
        <w:tc>
          <w:tcPr>
            <w:tcW w:w="709"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8D1885" w:rsidRPr="008D1885" w:rsidRDefault="008D1885" w:rsidP="008D1885">
            <w:pPr>
              <w:pStyle w:val="TableDataEntries"/>
              <w:rPr>
                <w:rFonts w:ascii="Franklin Gothic Demi" w:hAnsi="Franklin Gothic Demi"/>
              </w:rPr>
            </w:pPr>
            <w:r w:rsidRPr="008D1885">
              <w:rPr>
                <w:rFonts w:ascii="Franklin Gothic Demi" w:hAnsi="Franklin Gothic Demi"/>
              </w:rPr>
              <w:t xml:space="preserve"> 26.7</w:t>
            </w:r>
          </w:p>
        </w:tc>
        <w:tc>
          <w:tcPr>
            <w:tcW w:w="792"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8D1885" w:rsidRPr="008D1885" w:rsidRDefault="008D1885" w:rsidP="008D1885">
            <w:pPr>
              <w:pStyle w:val="TableDataEntries"/>
              <w:rPr>
                <w:rFonts w:ascii="Franklin Gothic Demi" w:hAnsi="Franklin Gothic Demi"/>
              </w:rPr>
            </w:pPr>
            <w:r w:rsidRPr="008D1885">
              <w:rPr>
                <w:rFonts w:ascii="Franklin Gothic Demi" w:hAnsi="Franklin Gothic Demi"/>
              </w:rPr>
              <w:t>1 138.3</w:t>
            </w:r>
          </w:p>
        </w:tc>
      </w:tr>
      <w:tr w:rsidR="00612FD3" w:rsidTr="00301B6D">
        <w:trPr>
          <w:trHeight w:val="230"/>
        </w:trPr>
        <w:tc>
          <w:tcPr>
            <w:tcW w:w="155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r>
              <w:rPr>
                <w:lang w:val="en-GB"/>
              </w:rPr>
              <w:t>Medium scenario</w:t>
            </w:r>
          </w:p>
        </w:tc>
        <w:tc>
          <w:tcPr>
            <w:tcW w:w="70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612FD3" w:rsidRPr="00EC1D99" w:rsidRDefault="00612FD3" w:rsidP="00EC1D99">
            <w:pPr>
              <w:pStyle w:val="TableDataEntries"/>
            </w:pPr>
          </w:p>
        </w:tc>
        <w:tc>
          <w:tcPr>
            <w:tcW w:w="70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612FD3" w:rsidRPr="00EC1D99" w:rsidRDefault="00612FD3" w:rsidP="00EC1D99">
            <w:pPr>
              <w:pStyle w:val="TableDataEntries"/>
            </w:pPr>
          </w:p>
        </w:tc>
        <w:tc>
          <w:tcPr>
            <w:tcW w:w="70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612FD3" w:rsidRPr="00EC1D99" w:rsidRDefault="00612FD3" w:rsidP="00EC1D99">
            <w:pPr>
              <w:pStyle w:val="TableDataEntries"/>
            </w:pPr>
          </w:p>
        </w:tc>
        <w:tc>
          <w:tcPr>
            <w:tcW w:w="70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612FD3" w:rsidRPr="00EC1D99" w:rsidRDefault="00612FD3" w:rsidP="00EC1D99">
            <w:pPr>
              <w:pStyle w:val="TableDataEntries"/>
            </w:pPr>
          </w:p>
        </w:tc>
        <w:tc>
          <w:tcPr>
            <w:tcW w:w="70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612FD3" w:rsidRPr="00EC1D99" w:rsidRDefault="00612FD3" w:rsidP="00EC1D99">
            <w:pPr>
              <w:pStyle w:val="TableDataEntries"/>
            </w:pPr>
          </w:p>
        </w:tc>
        <w:tc>
          <w:tcPr>
            <w:tcW w:w="70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612FD3" w:rsidRPr="00EC1D99" w:rsidRDefault="00612FD3" w:rsidP="00EC1D99">
            <w:pPr>
              <w:pStyle w:val="TableDataEntries"/>
            </w:pPr>
          </w:p>
        </w:tc>
        <w:tc>
          <w:tcPr>
            <w:tcW w:w="70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612FD3" w:rsidRPr="00EC1D99" w:rsidRDefault="00612FD3" w:rsidP="00EC1D99">
            <w:pPr>
              <w:pStyle w:val="TableDataEntries"/>
            </w:pPr>
          </w:p>
        </w:tc>
        <w:tc>
          <w:tcPr>
            <w:tcW w:w="70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612FD3" w:rsidRPr="00EC1D99" w:rsidRDefault="00612FD3" w:rsidP="00EC1D99">
            <w:pPr>
              <w:pStyle w:val="TableDataEntries"/>
            </w:pPr>
          </w:p>
        </w:tc>
        <w:tc>
          <w:tcPr>
            <w:tcW w:w="792"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612FD3" w:rsidRPr="00EC1D99" w:rsidRDefault="00612FD3" w:rsidP="00EC1D99">
            <w:pPr>
              <w:pStyle w:val="TableDataEntries"/>
            </w:pPr>
          </w:p>
        </w:tc>
      </w:tr>
      <w:tr w:rsidR="008D1885" w:rsidTr="00301B6D">
        <w:trPr>
          <w:trHeight w:val="230"/>
        </w:trPr>
        <w:tc>
          <w:tcPr>
            <w:tcW w:w="155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8D1885" w:rsidRDefault="008D1885" w:rsidP="008D1885">
            <w:pPr>
              <w:pStyle w:val="TableDataEntries"/>
              <w:jc w:val="left"/>
              <w:rPr>
                <w:lang w:val="en-GB"/>
              </w:rPr>
            </w:pPr>
            <w:r>
              <w:rPr>
                <w:lang w:val="en-GB"/>
              </w:rPr>
              <w:t>Hotel</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xml:space="preserve"> 41.4</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xml:space="preserve"> 45.6</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xml:space="preserve"> 31.4</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xml:space="preserve"> 7.6</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xml:space="preserve"> 12.0</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xml:space="preserve"> 3.8</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xml:space="preserve"> 2.2</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xml:space="preserve"> 3.0</w:t>
            </w:r>
          </w:p>
        </w:tc>
        <w:tc>
          <w:tcPr>
            <w:tcW w:w="79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xml:space="preserve"> 147.1</w:t>
            </w:r>
          </w:p>
        </w:tc>
      </w:tr>
      <w:tr w:rsidR="008D1885" w:rsidTr="00301B6D">
        <w:trPr>
          <w:trHeight w:val="230"/>
        </w:trPr>
        <w:tc>
          <w:tcPr>
            <w:tcW w:w="155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8D1885" w:rsidRDefault="008D1885" w:rsidP="008D1885">
            <w:pPr>
              <w:pStyle w:val="TableDataEntries"/>
              <w:jc w:val="left"/>
              <w:rPr>
                <w:lang w:val="en-GB"/>
              </w:rPr>
            </w:pPr>
            <w:r>
              <w:rPr>
                <w:lang w:val="en-GB"/>
              </w:rPr>
              <w:t>Office</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xml:space="preserve"> 46.0</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xml:space="preserve"> 28.9</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xml:space="preserve"> 38.3</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xml:space="preserve"> 3.9</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xml:space="preserve"> 8.6</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xml:space="preserve"> 1.1</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xml:space="preserve"> 7.4</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xml:space="preserve"> 1.1</w:t>
            </w:r>
          </w:p>
        </w:tc>
        <w:tc>
          <w:tcPr>
            <w:tcW w:w="79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xml:space="preserve"> 135.4</w:t>
            </w:r>
          </w:p>
        </w:tc>
      </w:tr>
      <w:tr w:rsidR="008D1885" w:rsidTr="00301B6D">
        <w:trPr>
          <w:trHeight w:val="230"/>
        </w:trPr>
        <w:tc>
          <w:tcPr>
            <w:tcW w:w="155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8D1885" w:rsidRDefault="008D1885" w:rsidP="008D1885">
            <w:pPr>
              <w:pStyle w:val="TableDataEntries"/>
              <w:jc w:val="left"/>
              <w:rPr>
                <w:lang w:val="en-GB"/>
              </w:rPr>
            </w:pPr>
            <w:r>
              <w:rPr>
                <w:lang w:val="en-GB"/>
              </w:rPr>
              <w:t>Retail</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xml:space="preserve"> 240.7</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xml:space="preserve"> 221.2</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xml:space="preserve"> 235.2</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xml:space="preserve"> 63.8</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xml:space="preserve"> 177.5</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- 4.2</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- 4.0</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xml:space="preserve"> 15.0</w:t>
            </w:r>
          </w:p>
        </w:tc>
        <w:tc>
          <w:tcPr>
            <w:tcW w:w="79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xml:space="preserve"> 945.3</w:t>
            </w:r>
          </w:p>
        </w:tc>
      </w:tr>
      <w:tr w:rsidR="008D1885" w:rsidTr="00301B6D">
        <w:trPr>
          <w:trHeight w:val="230"/>
        </w:trPr>
        <w:tc>
          <w:tcPr>
            <w:tcW w:w="155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8D1885" w:rsidRDefault="008D1885" w:rsidP="008D1885">
            <w:pPr>
              <w:pStyle w:val="TableDataEntries"/>
              <w:jc w:val="left"/>
              <w:rPr>
                <w:lang w:val="en-GB"/>
              </w:rPr>
            </w:pPr>
            <w:r>
              <w:rPr>
                <w:lang w:val="en-GB"/>
              </w:rPr>
              <w:t>Healthcare</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- 3.9</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- 11.3</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xml:space="preserve"> 18.6</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xml:space="preserve"> 0.4</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xml:space="preserve"> 3.5</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- 1.0</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- 0.8</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xml:space="preserve"> 1.5</w:t>
            </w:r>
          </w:p>
        </w:tc>
        <w:tc>
          <w:tcPr>
            <w:tcW w:w="79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xml:space="preserve"> 7.0</w:t>
            </w:r>
          </w:p>
        </w:tc>
      </w:tr>
      <w:tr w:rsidR="008D1885" w:rsidTr="00301B6D">
        <w:trPr>
          <w:trHeight w:val="230"/>
        </w:trPr>
        <w:tc>
          <w:tcPr>
            <w:tcW w:w="155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8D1885" w:rsidRDefault="008D1885" w:rsidP="008D1885">
            <w:pPr>
              <w:pStyle w:val="TableDataEntries"/>
              <w:jc w:val="left"/>
              <w:rPr>
                <w:lang w:val="en-GB"/>
              </w:rPr>
            </w:pPr>
            <w:r>
              <w:rPr>
                <w:lang w:val="en-GB"/>
              </w:rPr>
              <w:t>School</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xml:space="preserve"> 181.7</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xml:space="preserve"> 210.6</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xml:space="preserve"> 231.4</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xml:space="preserve"> 25.1</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xml:space="preserve"> 57.9</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xml:space="preserve"> 12.3</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xml:space="preserve"> 20.3</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xml:space="preserve"> 20.4</w:t>
            </w:r>
          </w:p>
        </w:tc>
        <w:tc>
          <w:tcPr>
            <w:tcW w:w="79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xml:space="preserve"> 759.6</w:t>
            </w:r>
          </w:p>
        </w:tc>
      </w:tr>
      <w:tr w:rsidR="008D1885" w:rsidTr="00EC1D99">
        <w:trPr>
          <w:trHeight w:val="230"/>
        </w:trPr>
        <w:tc>
          <w:tcPr>
            <w:tcW w:w="155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8D1885" w:rsidRDefault="008D1885" w:rsidP="008D1885">
            <w:pPr>
              <w:pStyle w:val="TableDataEntries"/>
              <w:jc w:val="left"/>
              <w:rPr>
                <w:lang w:val="en-GB"/>
              </w:rPr>
            </w:pPr>
            <w:r>
              <w:rPr>
                <w:lang w:val="en-GB"/>
              </w:rPr>
              <w:t>Aged care</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- 1.3</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- 11.1</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xml:space="preserve"> 12.3</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xml:space="preserve"> 0.1</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xml:space="preserve"> 1.9</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- 1.0</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- 0.5</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xml:space="preserve"> 0.5</w:t>
            </w:r>
          </w:p>
        </w:tc>
        <w:tc>
          <w:tcPr>
            <w:tcW w:w="79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xml:space="preserve"> 0.9</w:t>
            </w:r>
          </w:p>
        </w:tc>
      </w:tr>
      <w:tr w:rsidR="008D1885" w:rsidTr="00EC1D99">
        <w:trPr>
          <w:trHeight w:val="230"/>
        </w:trPr>
        <w:tc>
          <w:tcPr>
            <w:tcW w:w="155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8D1885" w:rsidRDefault="008D1885" w:rsidP="008D1885">
            <w:pPr>
              <w:pStyle w:val="TableDataEntries"/>
              <w:jc w:val="left"/>
              <w:rPr>
                <w:lang w:val="en-GB"/>
              </w:rPr>
            </w:pPr>
            <w:r>
              <w:rPr>
                <w:lang w:val="en-GB"/>
              </w:rPr>
              <w:t>Other impacts</w:t>
            </w:r>
            <w:r w:rsidRPr="00D466CC">
              <w:rPr>
                <w:rStyle w:val="NoteLabel"/>
              </w:rPr>
              <w:t>a</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- 5.7</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- 5.0</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- 3.0</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- 0.9</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- 1.9</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- 0.2</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- 0.3</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- 0.1</w:t>
            </w:r>
          </w:p>
        </w:tc>
        <w:tc>
          <w:tcPr>
            <w:tcW w:w="79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- 17.1</w:t>
            </w:r>
          </w:p>
        </w:tc>
      </w:tr>
      <w:tr w:rsidR="008D1885" w:rsidRPr="008D1885" w:rsidTr="00C661AF">
        <w:trPr>
          <w:trHeight w:val="230"/>
        </w:trPr>
        <w:tc>
          <w:tcPr>
            <w:tcW w:w="1559"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8D1885" w:rsidRPr="008D1885" w:rsidRDefault="008D1885" w:rsidP="008D1885">
            <w:pPr>
              <w:pStyle w:val="TableDataEntries"/>
              <w:jc w:val="left"/>
              <w:rPr>
                <w:rFonts w:ascii="Franklin Gothic Demi" w:hAnsi="Franklin Gothic Demi"/>
                <w:lang w:val="en-GB"/>
              </w:rPr>
            </w:pPr>
            <w:r w:rsidRPr="008D1885">
              <w:rPr>
                <w:rFonts w:ascii="Franklin Gothic Demi" w:hAnsi="Franklin Gothic Demi"/>
                <w:lang w:val="en-GB"/>
              </w:rPr>
              <w:t>Net benefit/cost</w:t>
            </w:r>
          </w:p>
        </w:tc>
        <w:tc>
          <w:tcPr>
            <w:tcW w:w="709"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8D1885" w:rsidRPr="008D1885" w:rsidRDefault="008D1885" w:rsidP="008D1885">
            <w:pPr>
              <w:pStyle w:val="TableDataEntries"/>
              <w:rPr>
                <w:rFonts w:ascii="Franklin Gothic Demi" w:hAnsi="Franklin Gothic Demi"/>
              </w:rPr>
            </w:pPr>
            <w:r w:rsidRPr="008D1885">
              <w:rPr>
                <w:rFonts w:ascii="Franklin Gothic Demi" w:hAnsi="Franklin Gothic Demi"/>
              </w:rPr>
              <w:t xml:space="preserve"> 498.9</w:t>
            </w:r>
          </w:p>
        </w:tc>
        <w:tc>
          <w:tcPr>
            <w:tcW w:w="709"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8D1885" w:rsidRPr="008D1885" w:rsidRDefault="008D1885" w:rsidP="008D1885">
            <w:pPr>
              <w:pStyle w:val="TableDataEntries"/>
              <w:rPr>
                <w:rFonts w:ascii="Franklin Gothic Demi" w:hAnsi="Franklin Gothic Demi"/>
              </w:rPr>
            </w:pPr>
            <w:r w:rsidRPr="008D1885">
              <w:rPr>
                <w:rFonts w:ascii="Franklin Gothic Demi" w:hAnsi="Franklin Gothic Demi"/>
              </w:rPr>
              <w:t xml:space="preserve"> 478.9</w:t>
            </w:r>
          </w:p>
        </w:tc>
        <w:tc>
          <w:tcPr>
            <w:tcW w:w="709"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8D1885" w:rsidRPr="008D1885" w:rsidRDefault="008D1885" w:rsidP="008D1885">
            <w:pPr>
              <w:pStyle w:val="TableDataEntries"/>
              <w:rPr>
                <w:rFonts w:ascii="Franklin Gothic Demi" w:hAnsi="Franklin Gothic Demi"/>
              </w:rPr>
            </w:pPr>
            <w:r w:rsidRPr="008D1885">
              <w:rPr>
                <w:rFonts w:ascii="Franklin Gothic Demi" w:hAnsi="Franklin Gothic Demi"/>
              </w:rPr>
              <w:t xml:space="preserve"> 564.3</w:t>
            </w:r>
          </w:p>
        </w:tc>
        <w:tc>
          <w:tcPr>
            <w:tcW w:w="709"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8D1885" w:rsidRPr="008D1885" w:rsidRDefault="008D1885" w:rsidP="008D1885">
            <w:pPr>
              <w:pStyle w:val="TableDataEntries"/>
              <w:rPr>
                <w:rFonts w:ascii="Franklin Gothic Demi" w:hAnsi="Franklin Gothic Demi"/>
              </w:rPr>
            </w:pPr>
            <w:r w:rsidRPr="008D1885">
              <w:rPr>
                <w:rFonts w:ascii="Franklin Gothic Demi" w:hAnsi="Franklin Gothic Demi"/>
              </w:rPr>
              <w:t xml:space="preserve"> 100.0</w:t>
            </w:r>
          </w:p>
        </w:tc>
        <w:tc>
          <w:tcPr>
            <w:tcW w:w="709"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8D1885" w:rsidRPr="008D1885" w:rsidRDefault="008D1885" w:rsidP="008D1885">
            <w:pPr>
              <w:pStyle w:val="TableDataEntries"/>
              <w:rPr>
                <w:rFonts w:ascii="Franklin Gothic Demi" w:hAnsi="Franklin Gothic Demi"/>
              </w:rPr>
            </w:pPr>
            <w:r w:rsidRPr="008D1885">
              <w:rPr>
                <w:rFonts w:ascii="Franklin Gothic Demi" w:hAnsi="Franklin Gothic Demi"/>
              </w:rPr>
              <w:t xml:space="preserve"> 259.6</w:t>
            </w:r>
          </w:p>
        </w:tc>
        <w:tc>
          <w:tcPr>
            <w:tcW w:w="709"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8D1885" w:rsidRPr="008D1885" w:rsidRDefault="008D1885" w:rsidP="008D1885">
            <w:pPr>
              <w:pStyle w:val="TableDataEntries"/>
              <w:rPr>
                <w:rFonts w:ascii="Franklin Gothic Demi" w:hAnsi="Franklin Gothic Demi"/>
              </w:rPr>
            </w:pPr>
            <w:r w:rsidRPr="008D1885">
              <w:rPr>
                <w:rFonts w:ascii="Franklin Gothic Demi" w:hAnsi="Franklin Gothic Demi"/>
              </w:rPr>
              <w:t xml:space="preserve"> 10.8</w:t>
            </w:r>
          </w:p>
        </w:tc>
        <w:tc>
          <w:tcPr>
            <w:tcW w:w="709"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8D1885" w:rsidRPr="008D1885" w:rsidRDefault="008D1885" w:rsidP="008D1885">
            <w:pPr>
              <w:pStyle w:val="TableDataEntries"/>
              <w:rPr>
                <w:rFonts w:ascii="Franklin Gothic Demi" w:hAnsi="Franklin Gothic Demi"/>
              </w:rPr>
            </w:pPr>
            <w:r w:rsidRPr="008D1885">
              <w:rPr>
                <w:rFonts w:ascii="Franklin Gothic Demi" w:hAnsi="Franklin Gothic Demi"/>
              </w:rPr>
              <w:t xml:space="preserve"> 24.4</w:t>
            </w:r>
          </w:p>
        </w:tc>
        <w:tc>
          <w:tcPr>
            <w:tcW w:w="709"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8D1885" w:rsidRPr="008D1885" w:rsidRDefault="008D1885" w:rsidP="008D1885">
            <w:pPr>
              <w:pStyle w:val="TableDataEntries"/>
              <w:rPr>
                <w:rFonts w:ascii="Franklin Gothic Demi" w:hAnsi="Franklin Gothic Demi"/>
              </w:rPr>
            </w:pPr>
            <w:r w:rsidRPr="008D1885">
              <w:rPr>
                <w:rFonts w:ascii="Franklin Gothic Demi" w:hAnsi="Franklin Gothic Demi"/>
              </w:rPr>
              <w:t xml:space="preserve"> 41.3</w:t>
            </w:r>
          </w:p>
        </w:tc>
        <w:tc>
          <w:tcPr>
            <w:tcW w:w="792"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8D1885" w:rsidRPr="008D1885" w:rsidRDefault="008D1885" w:rsidP="008D1885">
            <w:pPr>
              <w:pStyle w:val="TableDataEntries"/>
              <w:rPr>
                <w:rFonts w:ascii="Franklin Gothic Demi" w:hAnsi="Franklin Gothic Demi"/>
              </w:rPr>
            </w:pPr>
            <w:r w:rsidRPr="008D1885">
              <w:rPr>
                <w:rFonts w:ascii="Franklin Gothic Demi" w:hAnsi="Franklin Gothic Demi"/>
              </w:rPr>
              <w:t>1 978.1</w:t>
            </w:r>
          </w:p>
        </w:tc>
      </w:tr>
      <w:tr w:rsidR="00612FD3" w:rsidTr="00301B6D">
        <w:trPr>
          <w:trHeight w:val="230"/>
        </w:trPr>
        <w:tc>
          <w:tcPr>
            <w:tcW w:w="155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r>
              <w:rPr>
                <w:lang w:val="en-GB"/>
              </w:rPr>
              <w:t>High scenario</w:t>
            </w:r>
          </w:p>
        </w:tc>
        <w:tc>
          <w:tcPr>
            <w:tcW w:w="70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612FD3" w:rsidRPr="00D466CC" w:rsidRDefault="00612FD3" w:rsidP="00D466CC">
            <w:pPr>
              <w:pStyle w:val="TableDataEntries"/>
            </w:pPr>
          </w:p>
        </w:tc>
        <w:tc>
          <w:tcPr>
            <w:tcW w:w="70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612FD3" w:rsidRPr="00D466CC" w:rsidRDefault="00612FD3" w:rsidP="00D466CC">
            <w:pPr>
              <w:pStyle w:val="TableDataEntries"/>
            </w:pPr>
          </w:p>
        </w:tc>
        <w:tc>
          <w:tcPr>
            <w:tcW w:w="70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612FD3" w:rsidRPr="00D466CC" w:rsidRDefault="00612FD3" w:rsidP="00D466CC">
            <w:pPr>
              <w:pStyle w:val="TableDataEntries"/>
            </w:pPr>
          </w:p>
        </w:tc>
        <w:tc>
          <w:tcPr>
            <w:tcW w:w="70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612FD3" w:rsidRPr="00D466CC" w:rsidRDefault="00612FD3" w:rsidP="00D466CC">
            <w:pPr>
              <w:pStyle w:val="TableDataEntries"/>
            </w:pPr>
          </w:p>
        </w:tc>
        <w:tc>
          <w:tcPr>
            <w:tcW w:w="70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612FD3" w:rsidRPr="00D466CC" w:rsidRDefault="00612FD3" w:rsidP="00D466CC">
            <w:pPr>
              <w:pStyle w:val="TableDataEntries"/>
            </w:pPr>
          </w:p>
        </w:tc>
        <w:tc>
          <w:tcPr>
            <w:tcW w:w="70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612FD3" w:rsidRPr="00D466CC" w:rsidRDefault="00612FD3" w:rsidP="00D466CC">
            <w:pPr>
              <w:pStyle w:val="TableDataEntries"/>
            </w:pPr>
          </w:p>
        </w:tc>
        <w:tc>
          <w:tcPr>
            <w:tcW w:w="70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612FD3" w:rsidRPr="00D466CC" w:rsidRDefault="00612FD3" w:rsidP="00D466CC">
            <w:pPr>
              <w:pStyle w:val="TableDataEntries"/>
            </w:pPr>
          </w:p>
        </w:tc>
        <w:tc>
          <w:tcPr>
            <w:tcW w:w="70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612FD3" w:rsidRPr="00D466CC" w:rsidRDefault="00612FD3" w:rsidP="00D466CC">
            <w:pPr>
              <w:pStyle w:val="TableDataEntries"/>
            </w:pPr>
          </w:p>
        </w:tc>
        <w:tc>
          <w:tcPr>
            <w:tcW w:w="792"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612FD3" w:rsidRPr="00D466CC" w:rsidRDefault="00612FD3" w:rsidP="00D466CC">
            <w:pPr>
              <w:pStyle w:val="TableDataEntries"/>
            </w:pPr>
          </w:p>
        </w:tc>
      </w:tr>
      <w:tr w:rsidR="008D1885" w:rsidTr="00301B6D">
        <w:trPr>
          <w:trHeight w:val="230"/>
        </w:trPr>
        <w:tc>
          <w:tcPr>
            <w:tcW w:w="155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8D1885" w:rsidRDefault="008D1885" w:rsidP="008D1885">
            <w:pPr>
              <w:pStyle w:val="TableDataEntries"/>
              <w:jc w:val="left"/>
              <w:rPr>
                <w:lang w:val="en-GB"/>
              </w:rPr>
            </w:pPr>
            <w:r>
              <w:rPr>
                <w:lang w:val="en-GB"/>
              </w:rPr>
              <w:t>Hotel</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D466CC" w:rsidRDefault="008D1885" w:rsidP="008D1885">
            <w:pPr>
              <w:pStyle w:val="TableDataEntries"/>
            </w:pPr>
            <w:r>
              <w:t xml:space="preserve"> 55.7</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D466CC" w:rsidRDefault="008D1885" w:rsidP="008D1885">
            <w:pPr>
              <w:pStyle w:val="TableDataEntries"/>
            </w:pPr>
            <w:r>
              <w:t xml:space="preserve"> 60.5</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D466CC" w:rsidRDefault="008D1885" w:rsidP="008D1885">
            <w:pPr>
              <w:pStyle w:val="TableDataEntries"/>
            </w:pPr>
            <w:r>
              <w:t xml:space="preserve"> 42.0</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D466CC" w:rsidRDefault="008D1885" w:rsidP="008D1885">
            <w:pPr>
              <w:pStyle w:val="TableDataEntries"/>
            </w:pPr>
            <w:r>
              <w:t xml:space="preserve"> 10.3</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D466CC" w:rsidRDefault="008D1885" w:rsidP="008D1885">
            <w:pPr>
              <w:pStyle w:val="TableDataEntries"/>
            </w:pPr>
            <w:r>
              <w:t xml:space="preserve"> 16.4</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D466CC" w:rsidRDefault="008D1885" w:rsidP="008D1885">
            <w:pPr>
              <w:pStyle w:val="TableDataEntries"/>
            </w:pPr>
            <w:r>
              <w:t xml:space="preserve"> 4.8</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D466CC" w:rsidRDefault="008D1885" w:rsidP="008D1885">
            <w:pPr>
              <w:pStyle w:val="TableDataEntries"/>
            </w:pPr>
            <w:r>
              <w:t xml:space="preserve"> 2.8</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D466CC" w:rsidRDefault="008D1885" w:rsidP="008D1885">
            <w:pPr>
              <w:pStyle w:val="TableDataEntries"/>
            </w:pPr>
            <w:r>
              <w:t xml:space="preserve"> 3.7</w:t>
            </w:r>
          </w:p>
        </w:tc>
        <w:tc>
          <w:tcPr>
            <w:tcW w:w="79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D466CC" w:rsidRDefault="008D1885" w:rsidP="008D1885">
            <w:pPr>
              <w:pStyle w:val="TableDataEntries"/>
            </w:pPr>
            <w:r>
              <w:t xml:space="preserve"> 196.3</w:t>
            </w:r>
          </w:p>
        </w:tc>
      </w:tr>
      <w:tr w:rsidR="008D1885" w:rsidTr="00301B6D">
        <w:trPr>
          <w:trHeight w:val="230"/>
        </w:trPr>
        <w:tc>
          <w:tcPr>
            <w:tcW w:w="155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8D1885" w:rsidRDefault="008D1885" w:rsidP="008D1885">
            <w:pPr>
              <w:pStyle w:val="TableDataEntries"/>
              <w:jc w:val="left"/>
              <w:rPr>
                <w:lang w:val="en-GB"/>
              </w:rPr>
            </w:pPr>
            <w:r>
              <w:rPr>
                <w:lang w:val="en-GB"/>
              </w:rPr>
              <w:t>Office</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D466CC" w:rsidRDefault="008D1885" w:rsidP="008D1885">
            <w:pPr>
              <w:pStyle w:val="TableDataEntries"/>
            </w:pPr>
            <w:r>
              <w:t xml:space="preserve"> 74.8</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D466CC" w:rsidRDefault="008D1885" w:rsidP="008D1885">
            <w:pPr>
              <w:pStyle w:val="TableDataEntries"/>
            </w:pPr>
            <w:r>
              <w:t xml:space="preserve"> 42.8</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D466CC" w:rsidRDefault="008D1885" w:rsidP="008D1885">
            <w:pPr>
              <w:pStyle w:val="TableDataEntries"/>
            </w:pPr>
            <w:r>
              <w:t xml:space="preserve"> 53.1</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D466CC" w:rsidRDefault="008D1885" w:rsidP="008D1885">
            <w:pPr>
              <w:pStyle w:val="TableDataEntries"/>
            </w:pPr>
            <w:r>
              <w:t xml:space="preserve"> 7.0</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D466CC" w:rsidRDefault="008D1885" w:rsidP="008D1885">
            <w:pPr>
              <w:pStyle w:val="TableDataEntries"/>
            </w:pPr>
            <w:r>
              <w:t xml:space="preserve"> 15.5</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D466CC" w:rsidRDefault="008D1885" w:rsidP="008D1885">
            <w:pPr>
              <w:pStyle w:val="TableDataEntries"/>
            </w:pPr>
            <w:r>
              <w:t xml:space="preserve"> 1.6</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D466CC" w:rsidRDefault="008D1885" w:rsidP="008D1885">
            <w:pPr>
              <w:pStyle w:val="TableDataEntries"/>
            </w:pPr>
            <w:r>
              <w:t xml:space="preserve"> 10.3</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D466CC" w:rsidRDefault="008D1885" w:rsidP="008D1885">
            <w:pPr>
              <w:pStyle w:val="TableDataEntries"/>
            </w:pPr>
            <w:r>
              <w:t xml:space="preserve"> 1.9</w:t>
            </w:r>
          </w:p>
        </w:tc>
        <w:tc>
          <w:tcPr>
            <w:tcW w:w="79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D466CC" w:rsidRDefault="008D1885" w:rsidP="008D1885">
            <w:pPr>
              <w:pStyle w:val="TableDataEntries"/>
            </w:pPr>
            <w:r>
              <w:t xml:space="preserve"> 207.0</w:t>
            </w:r>
          </w:p>
        </w:tc>
      </w:tr>
      <w:tr w:rsidR="008D1885" w:rsidTr="00301B6D">
        <w:trPr>
          <w:trHeight w:val="230"/>
        </w:trPr>
        <w:tc>
          <w:tcPr>
            <w:tcW w:w="155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8D1885" w:rsidRDefault="008D1885" w:rsidP="008D1885">
            <w:pPr>
              <w:pStyle w:val="TableDataEntries"/>
              <w:jc w:val="left"/>
              <w:rPr>
                <w:lang w:val="en-GB"/>
              </w:rPr>
            </w:pPr>
            <w:r>
              <w:rPr>
                <w:lang w:val="en-GB"/>
              </w:rPr>
              <w:t>Retail</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D466CC" w:rsidRDefault="008D1885" w:rsidP="008D1885">
            <w:pPr>
              <w:pStyle w:val="TableDataEntries"/>
            </w:pPr>
            <w:r>
              <w:t xml:space="preserve"> 335.8</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D466CC" w:rsidRDefault="008D1885" w:rsidP="008D1885">
            <w:pPr>
              <w:pStyle w:val="TableDataEntries"/>
            </w:pPr>
            <w:r>
              <w:t xml:space="preserve"> 310.0</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D466CC" w:rsidRDefault="008D1885" w:rsidP="008D1885">
            <w:pPr>
              <w:pStyle w:val="TableDataEntries"/>
            </w:pPr>
            <w:r>
              <w:t xml:space="preserve"> 319.5</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D466CC" w:rsidRDefault="008D1885" w:rsidP="008D1885">
            <w:pPr>
              <w:pStyle w:val="TableDataEntries"/>
            </w:pPr>
            <w:r>
              <w:t xml:space="preserve"> 88.1</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D466CC" w:rsidRDefault="008D1885" w:rsidP="008D1885">
            <w:pPr>
              <w:pStyle w:val="TableDataEntries"/>
            </w:pPr>
            <w:r>
              <w:t xml:space="preserve"> 242.7</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D466CC" w:rsidRDefault="008D1885" w:rsidP="008D1885">
            <w:pPr>
              <w:pStyle w:val="TableDataEntries"/>
            </w:pPr>
            <w:r>
              <w:t>- 4.0</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D466CC" w:rsidRDefault="008D1885" w:rsidP="008D1885">
            <w:pPr>
              <w:pStyle w:val="TableDataEntries"/>
            </w:pPr>
            <w:r>
              <w:t>- 3.9</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D466CC" w:rsidRDefault="008D1885" w:rsidP="008D1885">
            <w:pPr>
              <w:pStyle w:val="TableDataEntries"/>
            </w:pPr>
            <w:r>
              <w:t xml:space="preserve"> 20.1</w:t>
            </w:r>
          </w:p>
        </w:tc>
        <w:tc>
          <w:tcPr>
            <w:tcW w:w="79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D466CC" w:rsidRDefault="008D1885" w:rsidP="008D1885">
            <w:pPr>
              <w:pStyle w:val="TableDataEntries"/>
            </w:pPr>
            <w:r>
              <w:t>1 308.4</w:t>
            </w:r>
          </w:p>
        </w:tc>
      </w:tr>
      <w:tr w:rsidR="008D1885" w:rsidTr="00301B6D">
        <w:trPr>
          <w:trHeight w:val="230"/>
        </w:trPr>
        <w:tc>
          <w:tcPr>
            <w:tcW w:w="155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8D1885" w:rsidRDefault="008D1885" w:rsidP="008D1885">
            <w:pPr>
              <w:pStyle w:val="TableDataEntries"/>
              <w:jc w:val="left"/>
              <w:rPr>
                <w:lang w:val="en-GB"/>
              </w:rPr>
            </w:pPr>
            <w:r>
              <w:rPr>
                <w:lang w:val="en-GB"/>
              </w:rPr>
              <w:t>Healthcare</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D466CC" w:rsidRDefault="008D1885" w:rsidP="008D1885">
            <w:pPr>
              <w:pStyle w:val="TableDataEntries"/>
            </w:pPr>
            <w:r>
              <w:t xml:space="preserve"> 0.0</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D466CC" w:rsidRDefault="008D1885" w:rsidP="008D1885">
            <w:pPr>
              <w:pStyle w:val="TableDataEntries"/>
            </w:pPr>
            <w:r>
              <w:t>- 9.6</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D466CC" w:rsidRDefault="008D1885" w:rsidP="008D1885">
            <w:pPr>
              <w:pStyle w:val="TableDataEntries"/>
            </w:pPr>
            <w:r>
              <w:t xml:space="preserve"> 27.2</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D466CC" w:rsidRDefault="008D1885" w:rsidP="008D1885">
            <w:pPr>
              <w:pStyle w:val="TableDataEntries"/>
            </w:pPr>
            <w:r>
              <w:t xml:space="preserve"> 1.6</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D466CC" w:rsidRDefault="008D1885" w:rsidP="008D1885">
            <w:pPr>
              <w:pStyle w:val="TableDataEntries"/>
            </w:pPr>
            <w:r>
              <w:t xml:space="preserve"> 7.0</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D466CC" w:rsidRDefault="008D1885" w:rsidP="008D1885">
            <w:pPr>
              <w:pStyle w:val="TableDataEntries"/>
            </w:pPr>
            <w:r>
              <w:t>- 0.8</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D466CC" w:rsidRDefault="008D1885" w:rsidP="008D1885">
            <w:pPr>
              <w:pStyle w:val="TableDataEntries"/>
            </w:pPr>
            <w:r>
              <w:t>- 0.6</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D466CC" w:rsidRDefault="008D1885" w:rsidP="008D1885">
            <w:pPr>
              <w:pStyle w:val="TableDataEntries"/>
            </w:pPr>
            <w:r>
              <w:t xml:space="preserve"> 2.1</w:t>
            </w:r>
          </w:p>
        </w:tc>
        <w:tc>
          <w:tcPr>
            <w:tcW w:w="79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D466CC" w:rsidRDefault="008D1885" w:rsidP="008D1885">
            <w:pPr>
              <w:pStyle w:val="TableDataEntries"/>
            </w:pPr>
            <w:r>
              <w:t xml:space="preserve"> 26.9</w:t>
            </w:r>
          </w:p>
        </w:tc>
      </w:tr>
      <w:tr w:rsidR="008D1885" w:rsidTr="00301B6D">
        <w:trPr>
          <w:trHeight w:val="230"/>
        </w:trPr>
        <w:tc>
          <w:tcPr>
            <w:tcW w:w="155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8D1885" w:rsidRDefault="008D1885" w:rsidP="008D1885">
            <w:pPr>
              <w:pStyle w:val="TableDataEntries"/>
              <w:jc w:val="left"/>
              <w:rPr>
                <w:lang w:val="en-GB"/>
              </w:rPr>
            </w:pPr>
            <w:r>
              <w:rPr>
                <w:lang w:val="en-GB"/>
              </w:rPr>
              <w:t>School</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D466CC" w:rsidRDefault="008D1885" w:rsidP="008D1885">
            <w:pPr>
              <w:pStyle w:val="TableDataEntries"/>
            </w:pPr>
            <w:r>
              <w:t xml:space="preserve"> 260.3</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D466CC" w:rsidRDefault="008D1885" w:rsidP="008D1885">
            <w:pPr>
              <w:pStyle w:val="TableDataEntries"/>
            </w:pPr>
            <w:r>
              <w:t xml:space="preserve"> 291.1</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D466CC" w:rsidRDefault="008D1885" w:rsidP="008D1885">
            <w:pPr>
              <w:pStyle w:val="TableDataEntries"/>
            </w:pPr>
            <w:r>
              <w:t xml:space="preserve"> 327.2</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D466CC" w:rsidRDefault="008D1885" w:rsidP="008D1885">
            <w:pPr>
              <w:pStyle w:val="TableDataEntries"/>
            </w:pPr>
            <w:r>
              <w:t xml:space="preserve"> 38.4</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D466CC" w:rsidRDefault="008D1885" w:rsidP="008D1885">
            <w:pPr>
              <w:pStyle w:val="TableDataEntries"/>
            </w:pPr>
            <w:r>
              <w:t xml:space="preserve"> 90.1</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D466CC" w:rsidRDefault="008D1885" w:rsidP="008D1885">
            <w:pPr>
              <w:pStyle w:val="TableDataEntries"/>
            </w:pPr>
            <w:r>
              <w:t xml:space="preserve"> 17.1</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D466CC" w:rsidRDefault="008D1885" w:rsidP="008D1885">
            <w:pPr>
              <w:pStyle w:val="TableDataEntries"/>
            </w:pPr>
            <w:r>
              <w:t xml:space="preserve"> 28.1</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D466CC" w:rsidRDefault="008D1885" w:rsidP="008D1885">
            <w:pPr>
              <w:pStyle w:val="TableDataEntries"/>
            </w:pPr>
            <w:r>
              <w:t xml:space="preserve"> 27.5</w:t>
            </w:r>
          </w:p>
        </w:tc>
        <w:tc>
          <w:tcPr>
            <w:tcW w:w="79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D466CC" w:rsidRDefault="008D1885" w:rsidP="008D1885">
            <w:pPr>
              <w:pStyle w:val="TableDataEntries"/>
            </w:pPr>
            <w:r>
              <w:t>1 079.9</w:t>
            </w:r>
          </w:p>
        </w:tc>
      </w:tr>
      <w:tr w:rsidR="008D1885" w:rsidTr="00EC1D99">
        <w:trPr>
          <w:trHeight w:val="230"/>
        </w:trPr>
        <w:tc>
          <w:tcPr>
            <w:tcW w:w="155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8D1885" w:rsidRDefault="008D1885" w:rsidP="008D1885">
            <w:pPr>
              <w:pStyle w:val="TableDataEntries"/>
              <w:jc w:val="left"/>
              <w:rPr>
                <w:lang w:val="en-GB"/>
              </w:rPr>
            </w:pPr>
            <w:r>
              <w:rPr>
                <w:lang w:val="en-GB"/>
              </w:rPr>
              <w:t>Aged care</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D466CC" w:rsidRDefault="008D1885" w:rsidP="008D1885">
            <w:pPr>
              <w:pStyle w:val="TableDataEntries"/>
            </w:pPr>
            <w:r>
              <w:t xml:space="preserve"> 3.2</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D466CC" w:rsidRDefault="008D1885" w:rsidP="008D1885">
            <w:pPr>
              <w:pStyle w:val="TableDataEntries"/>
            </w:pPr>
            <w:r>
              <w:t>- 9.4</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D466CC" w:rsidRDefault="008D1885" w:rsidP="008D1885">
            <w:pPr>
              <w:pStyle w:val="TableDataEntries"/>
            </w:pPr>
            <w:r>
              <w:t xml:space="preserve"> 18.1</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D466CC" w:rsidRDefault="008D1885" w:rsidP="008D1885">
            <w:pPr>
              <w:pStyle w:val="TableDataEntries"/>
            </w:pPr>
            <w:r>
              <w:t xml:space="preserve"> 1.4</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D466CC" w:rsidRDefault="008D1885" w:rsidP="008D1885">
            <w:pPr>
              <w:pStyle w:val="TableDataEntries"/>
            </w:pPr>
            <w:r>
              <w:t xml:space="preserve"> 3.9</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D466CC" w:rsidRDefault="008D1885" w:rsidP="008D1885">
            <w:pPr>
              <w:pStyle w:val="TableDataEntries"/>
            </w:pPr>
            <w:r>
              <w:t>- 0.8</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D466CC" w:rsidRDefault="008D1885" w:rsidP="008D1885">
            <w:pPr>
              <w:pStyle w:val="TableDataEntries"/>
            </w:pPr>
            <w:r>
              <w:t>- 0.4</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D466CC" w:rsidRDefault="008D1885" w:rsidP="008D1885">
            <w:pPr>
              <w:pStyle w:val="TableDataEntries"/>
            </w:pPr>
            <w:r>
              <w:t xml:space="preserve"> 0.7</w:t>
            </w:r>
          </w:p>
        </w:tc>
        <w:tc>
          <w:tcPr>
            <w:tcW w:w="79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D466CC" w:rsidRDefault="008D1885" w:rsidP="008D1885">
            <w:pPr>
              <w:pStyle w:val="TableDataEntries"/>
            </w:pPr>
            <w:r>
              <w:t xml:space="preserve"> 16.6</w:t>
            </w:r>
          </w:p>
        </w:tc>
      </w:tr>
      <w:tr w:rsidR="008D1885" w:rsidTr="00EC1D99">
        <w:trPr>
          <w:trHeight w:val="230"/>
        </w:trPr>
        <w:tc>
          <w:tcPr>
            <w:tcW w:w="155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8D1885" w:rsidRDefault="008D1885" w:rsidP="008D1885">
            <w:pPr>
              <w:pStyle w:val="TableDataEntries"/>
              <w:jc w:val="left"/>
              <w:rPr>
                <w:lang w:val="en-GB"/>
              </w:rPr>
            </w:pPr>
            <w:r>
              <w:rPr>
                <w:lang w:val="en-GB"/>
              </w:rPr>
              <w:t>Other impacts</w:t>
            </w:r>
            <w:r w:rsidRPr="00D466CC">
              <w:rPr>
                <w:rStyle w:val="NoteLabel"/>
              </w:rPr>
              <w:t>a</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D466CC" w:rsidRDefault="008D1885" w:rsidP="008D1885">
            <w:pPr>
              <w:pStyle w:val="TableDataEntries"/>
            </w:pPr>
            <w:r>
              <w:t>- 5.7</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D466CC" w:rsidRDefault="008D1885" w:rsidP="008D1885">
            <w:pPr>
              <w:pStyle w:val="TableDataEntries"/>
            </w:pPr>
            <w:r>
              <w:t>- 5.0</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D466CC" w:rsidRDefault="008D1885" w:rsidP="008D1885">
            <w:pPr>
              <w:pStyle w:val="TableDataEntries"/>
            </w:pPr>
            <w:r>
              <w:t>- 3.0</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D466CC" w:rsidRDefault="008D1885" w:rsidP="008D1885">
            <w:pPr>
              <w:pStyle w:val="TableDataEntries"/>
            </w:pPr>
            <w:r>
              <w:t>- 0.9</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D466CC" w:rsidRDefault="008D1885" w:rsidP="008D1885">
            <w:pPr>
              <w:pStyle w:val="TableDataEntries"/>
            </w:pPr>
            <w:r>
              <w:t>- 1.9</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D466CC" w:rsidRDefault="008D1885" w:rsidP="008D1885">
            <w:pPr>
              <w:pStyle w:val="TableDataEntries"/>
            </w:pPr>
            <w:r>
              <w:t>- 0.2</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D466CC" w:rsidRDefault="008D1885" w:rsidP="008D1885">
            <w:pPr>
              <w:pStyle w:val="TableDataEntries"/>
            </w:pPr>
            <w:r>
              <w:t>- 0.3</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D466CC" w:rsidRDefault="008D1885" w:rsidP="008D1885">
            <w:pPr>
              <w:pStyle w:val="TableDataEntries"/>
            </w:pPr>
            <w:r>
              <w:t>- 0.1</w:t>
            </w:r>
          </w:p>
        </w:tc>
        <w:tc>
          <w:tcPr>
            <w:tcW w:w="79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D466CC" w:rsidRDefault="008D1885" w:rsidP="008D1885">
            <w:pPr>
              <w:pStyle w:val="TableDataEntries"/>
            </w:pPr>
            <w:r>
              <w:t>- 17.1</w:t>
            </w:r>
          </w:p>
        </w:tc>
      </w:tr>
      <w:tr w:rsidR="008D1885" w:rsidRPr="008D1885" w:rsidTr="00301B6D">
        <w:trPr>
          <w:trHeight w:val="230"/>
        </w:trPr>
        <w:tc>
          <w:tcPr>
            <w:tcW w:w="1559"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rsidR="008D1885" w:rsidRPr="008D1885" w:rsidRDefault="008D1885" w:rsidP="008D1885">
            <w:pPr>
              <w:pStyle w:val="TableDataEntries"/>
              <w:jc w:val="left"/>
              <w:rPr>
                <w:rFonts w:ascii="Franklin Gothic Demi" w:hAnsi="Franklin Gothic Demi"/>
                <w:lang w:val="en-GB"/>
              </w:rPr>
            </w:pPr>
            <w:r w:rsidRPr="008D1885">
              <w:rPr>
                <w:rFonts w:ascii="Franklin Gothic Demi" w:hAnsi="Franklin Gothic Demi"/>
                <w:lang w:val="en-GB"/>
              </w:rPr>
              <w:t>Net benefit/cost</w:t>
            </w:r>
          </w:p>
        </w:tc>
        <w:tc>
          <w:tcPr>
            <w:tcW w:w="709"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8D1885" w:rsidRPr="008D1885" w:rsidRDefault="008D1885" w:rsidP="008D1885">
            <w:pPr>
              <w:pStyle w:val="TableDataEntries"/>
              <w:rPr>
                <w:rFonts w:ascii="Franklin Gothic Demi" w:hAnsi="Franklin Gothic Demi"/>
              </w:rPr>
            </w:pPr>
            <w:r w:rsidRPr="008D1885">
              <w:rPr>
                <w:rFonts w:ascii="Franklin Gothic Demi" w:hAnsi="Franklin Gothic Demi"/>
              </w:rPr>
              <w:t xml:space="preserve"> 724.2</w:t>
            </w:r>
          </w:p>
        </w:tc>
        <w:tc>
          <w:tcPr>
            <w:tcW w:w="709"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8D1885" w:rsidRPr="008D1885" w:rsidRDefault="008D1885" w:rsidP="008D1885">
            <w:pPr>
              <w:pStyle w:val="TableDataEntries"/>
              <w:rPr>
                <w:rFonts w:ascii="Franklin Gothic Demi" w:hAnsi="Franklin Gothic Demi"/>
              </w:rPr>
            </w:pPr>
            <w:r w:rsidRPr="008D1885">
              <w:rPr>
                <w:rFonts w:ascii="Franklin Gothic Demi" w:hAnsi="Franklin Gothic Demi"/>
              </w:rPr>
              <w:t xml:space="preserve"> 680.3</w:t>
            </w:r>
          </w:p>
        </w:tc>
        <w:tc>
          <w:tcPr>
            <w:tcW w:w="709"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8D1885" w:rsidRPr="008D1885" w:rsidRDefault="008D1885" w:rsidP="008D1885">
            <w:pPr>
              <w:pStyle w:val="TableDataEntries"/>
              <w:rPr>
                <w:rFonts w:ascii="Franklin Gothic Demi" w:hAnsi="Franklin Gothic Demi"/>
              </w:rPr>
            </w:pPr>
            <w:r w:rsidRPr="008D1885">
              <w:rPr>
                <w:rFonts w:ascii="Franklin Gothic Demi" w:hAnsi="Franklin Gothic Demi"/>
              </w:rPr>
              <w:t xml:space="preserve"> 784.2</w:t>
            </w:r>
          </w:p>
        </w:tc>
        <w:tc>
          <w:tcPr>
            <w:tcW w:w="709"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8D1885" w:rsidRPr="008D1885" w:rsidRDefault="008D1885" w:rsidP="008D1885">
            <w:pPr>
              <w:pStyle w:val="TableDataEntries"/>
              <w:rPr>
                <w:rFonts w:ascii="Franklin Gothic Demi" w:hAnsi="Franklin Gothic Demi"/>
              </w:rPr>
            </w:pPr>
            <w:r w:rsidRPr="008D1885">
              <w:rPr>
                <w:rFonts w:ascii="Franklin Gothic Demi" w:hAnsi="Franklin Gothic Demi"/>
              </w:rPr>
              <w:t xml:space="preserve"> 146.0</w:t>
            </w:r>
          </w:p>
        </w:tc>
        <w:tc>
          <w:tcPr>
            <w:tcW w:w="709"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8D1885" w:rsidRPr="008D1885" w:rsidRDefault="008D1885" w:rsidP="008D1885">
            <w:pPr>
              <w:pStyle w:val="TableDataEntries"/>
              <w:rPr>
                <w:rFonts w:ascii="Franklin Gothic Demi" w:hAnsi="Franklin Gothic Demi"/>
              </w:rPr>
            </w:pPr>
            <w:r w:rsidRPr="008D1885">
              <w:rPr>
                <w:rFonts w:ascii="Franklin Gothic Demi" w:hAnsi="Franklin Gothic Demi"/>
              </w:rPr>
              <w:t xml:space="preserve"> 373.8</w:t>
            </w:r>
          </w:p>
        </w:tc>
        <w:tc>
          <w:tcPr>
            <w:tcW w:w="709"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8D1885" w:rsidRPr="008D1885" w:rsidRDefault="008D1885" w:rsidP="008D1885">
            <w:pPr>
              <w:pStyle w:val="TableDataEntries"/>
              <w:rPr>
                <w:rFonts w:ascii="Franklin Gothic Demi" w:hAnsi="Franklin Gothic Demi"/>
              </w:rPr>
            </w:pPr>
            <w:r w:rsidRPr="008D1885">
              <w:rPr>
                <w:rFonts w:ascii="Franklin Gothic Demi" w:hAnsi="Franklin Gothic Demi"/>
              </w:rPr>
              <w:t xml:space="preserve"> 17.6</w:t>
            </w:r>
          </w:p>
        </w:tc>
        <w:tc>
          <w:tcPr>
            <w:tcW w:w="709"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8D1885" w:rsidRPr="008D1885" w:rsidRDefault="008D1885" w:rsidP="008D1885">
            <w:pPr>
              <w:pStyle w:val="TableDataEntries"/>
              <w:rPr>
                <w:rFonts w:ascii="Franklin Gothic Demi" w:hAnsi="Franklin Gothic Demi"/>
              </w:rPr>
            </w:pPr>
            <w:r w:rsidRPr="008D1885">
              <w:rPr>
                <w:rFonts w:ascii="Franklin Gothic Demi" w:hAnsi="Franklin Gothic Demi"/>
              </w:rPr>
              <w:t xml:space="preserve"> 36.1</w:t>
            </w:r>
          </w:p>
        </w:tc>
        <w:tc>
          <w:tcPr>
            <w:tcW w:w="709"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8D1885" w:rsidRPr="008D1885" w:rsidRDefault="008D1885" w:rsidP="008D1885">
            <w:pPr>
              <w:pStyle w:val="TableDataEntries"/>
              <w:rPr>
                <w:rFonts w:ascii="Franklin Gothic Demi" w:hAnsi="Franklin Gothic Demi"/>
              </w:rPr>
            </w:pPr>
            <w:r w:rsidRPr="008D1885">
              <w:rPr>
                <w:rFonts w:ascii="Franklin Gothic Demi" w:hAnsi="Franklin Gothic Demi"/>
              </w:rPr>
              <w:t xml:space="preserve"> 55.8</w:t>
            </w:r>
          </w:p>
        </w:tc>
        <w:tc>
          <w:tcPr>
            <w:tcW w:w="792"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8D1885" w:rsidRPr="008D1885" w:rsidRDefault="008D1885" w:rsidP="008D1885">
            <w:pPr>
              <w:pStyle w:val="TableDataEntries"/>
              <w:rPr>
                <w:rFonts w:ascii="Franklin Gothic Demi" w:hAnsi="Franklin Gothic Demi"/>
              </w:rPr>
            </w:pPr>
            <w:r w:rsidRPr="008D1885">
              <w:rPr>
                <w:rFonts w:ascii="Franklin Gothic Demi" w:hAnsi="Franklin Gothic Demi"/>
              </w:rPr>
              <w:t>2 818.0</w:t>
            </w:r>
          </w:p>
        </w:tc>
      </w:tr>
    </w:tbl>
    <w:p w:rsidR="0015766D" w:rsidRPr="00D466CC" w:rsidRDefault="00D466CC" w:rsidP="00612FD3">
      <w:pPr>
        <w:pStyle w:val="Note"/>
      </w:pPr>
      <w:r>
        <w:rPr>
          <w:i/>
        </w:rPr>
        <w:t xml:space="preserve">a </w:t>
      </w:r>
      <w:r>
        <w:t>Includes impacts that are not attributable to particular building types.</w:t>
      </w:r>
    </w:p>
    <w:p w:rsidR="00612FD3" w:rsidRDefault="00612FD3" w:rsidP="00612FD3">
      <w:pPr>
        <w:pStyle w:val="Note"/>
      </w:pPr>
      <w:r w:rsidRPr="007D1B4F">
        <w:rPr>
          <w:i/>
        </w:rPr>
        <w:t>Note:</w:t>
      </w:r>
      <w:r w:rsidRPr="00E879B8">
        <w:t xml:space="preserve"> </w:t>
      </w:r>
      <w:r w:rsidR="00CA6CF4">
        <w:rPr>
          <w:lang w:bidi="fa-IR"/>
        </w:rPr>
        <w:t xml:space="preserve">Net impacts include the private benefits and costs to building owners/tenants and the global benefits from reduced GHG emissions. </w:t>
      </w:r>
      <w:r>
        <w:t>Costs and benefits estimated over the 40 year life of commercial building construction over a ten year regulatory period, using a discount rate of 7 per cent. Benefits are represented as a positive number; costs are represented as a negative number.</w:t>
      </w:r>
    </w:p>
    <w:p w:rsidR="00612FD3" w:rsidRDefault="00612FD3" w:rsidP="00612FD3">
      <w:pPr>
        <w:pStyle w:val="Source"/>
      </w:pPr>
      <w:r>
        <w:rPr>
          <w:i/>
        </w:rPr>
        <w:t>Source</w:t>
      </w:r>
      <w:r w:rsidRPr="00E4232C">
        <w:rPr>
          <w:i/>
        </w:rPr>
        <w:t>:</w:t>
      </w:r>
      <w:r>
        <w:t xml:space="preserve"> CIE estimates based on </w:t>
      </w:r>
      <w:r w:rsidR="003F28DD">
        <w:t>EA</w:t>
      </w:r>
      <w:r>
        <w:t xml:space="preserve"> modelling.</w:t>
      </w:r>
    </w:p>
    <w:p w:rsidR="001451C0" w:rsidRPr="00420637" w:rsidRDefault="001451C0" w:rsidP="001451C0">
      <w:pPr>
        <w:pStyle w:val="BodyText"/>
        <w:rPr>
          <w:lang w:eastAsia="en-US"/>
        </w:rPr>
      </w:pPr>
      <w:r w:rsidRPr="00420637">
        <w:rPr>
          <w:lang w:eastAsia="en-US"/>
        </w:rPr>
        <w:t xml:space="preserve">Furthermore, there is likely to be significant variation across individual buildings within building types. We previously cited evidence showing that the relationship between modelled and actual energy savings was relatively weak based on a sample of Green Star buildings. </w:t>
      </w:r>
      <w:r w:rsidR="00BF093F">
        <w:rPr>
          <w:lang w:eastAsia="en-US"/>
        </w:rPr>
        <w:t>As well as indicating</w:t>
      </w:r>
      <w:r w:rsidRPr="00420637">
        <w:rPr>
          <w:lang w:eastAsia="en-US"/>
        </w:rPr>
        <w:t xml:space="preserve"> that modelled energy savings were unlikely to be fully realised</w:t>
      </w:r>
      <w:r w:rsidR="00BF093F">
        <w:rPr>
          <w:lang w:eastAsia="en-US"/>
        </w:rPr>
        <w:t xml:space="preserve"> on average</w:t>
      </w:r>
      <w:r w:rsidRPr="00420637">
        <w:rPr>
          <w:lang w:eastAsia="en-US"/>
        </w:rPr>
        <w:t xml:space="preserve">, </w:t>
      </w:r>
      <w:r w:rsidR="00BF093F">
        <w:rPr>
          <w:lang w:eastAsia="en-US"/>
        </w:rPr>
        <w:t>the data also suggested significant</w:t>
      </w:r>
      <w:r w:rsidR="00BF093F" w:rsidRPr="00420637">
        <w:rPr>
          <w:lang w:eastAsia="en-US"/>
        </w:rPr>
        <w:t xml:space="preserve"> </w:t>
      </w:r>
      <w:r w:rsidR="00BF093F">
        <w:rPr>
          <w:lang w:eastAsia="en-US"/>
        </w:rPr>
        <w:t xml:space="preserve">variation around the average (as indicated by relatively high standard errors and </w:t>
      </w:r>
      <w:r w:rsidRPr="00420637">
        <w:rPr>
          <w:lang w:eastAsia="en-US"/>
        </w:rPr>
        <w:t>relatively wide confidence intervals around the coefficient estimates</w:t>
      </w:r>
      <w:r w:rsidR="00BF093F">
        <w:rPr>
          <w:lang w:eastAsia="en-US"/>
        </w:rPr>
        <w:t>)</w:t>
      </w:r>
      <w:r w:rsidRPr="00420637">
        <w:rPr>
          <w:lang w:eastAsia="en-US"/>
        </w:rPr>
        <w:t>.</w:t>
      </w:r>
      <w:r w:rsidR="00BF093F">
        <w:rPr>
          <w:lang w:eastAsia="en-US"/>
        </w:rPr>
        <w:t xml:space="preserve"> This suggests that those buildings with below average realisation rates, but the same costs may incur a net cost even when on average buildings in that class receive a net benefit from the proposed changes to the NCC.</w:t>
      </w:r>
    </w:p>
    <w:p w:rsidR="001451C0" w:rsidRPr="00420637" w:rsidRDefault="001451C0" w:rsidP="001451C0">
      <w:pPr>
        <w:pStyle w:val="BodyText"/>
        <w:rPr>
          <w:lang w:eastAsia="en-US"/>
        </w:rPr>
      </w:pPr>
      <w:r w:rsidRPr="00420637">
        <w:rPr>
          <w:lang w:eastAsia="en-US"/>
        </w:rPr>
        <w:t>From the relationship between modelled and actual outcomes, we can estimate the probability that the proposed changes to the NCC will result in a net cost for each building type/</w:t>
      </w:r>
      <w:r w:rsidR="00E31EE8">
        <w:rPr>
          <w:lang w:eastAsia="en-US"/>
        </w:rPr>
        <w:t>Climate Zone</w:t>
      </w:r>
      <w:r w:rsidRPr="00420637">
        <w:rPr>
          <w:lang w:eastAsia="en-US"/>
        </w:rPr>
        <w:t>/state combination under the low medium and high realisation scenarios.</w:t>
      </w:r>
    </w:p>
    <w:p w:rsidR="001451C0" w:rsidRPr="00420637" w:rsidRDefault="001451C0" w:rsidP="001451C0">
      <w:pPr>
        <w:pStyle w:val="ListBullet"/>
        <w:rPr>
          <w:lang w:eastAsia="en-US"/>
        </w:rPr>
      </w:pPr>
      <w:r w:rsidRPr="00420637">
        <w:rPr>
          <w:lang w:eastAsia="en-US"/>
        </w:rPr>
        <w:t>Based on</w:t>
      </w:r>
      <w:r w:rsidR="00C545FB">
        <w:rPr>
          <w:lang w:eastAsia="en-US"/>
        </w:rPr>
        <w:t xml:space="preserve"> the</w:t>
      </w:r>
      <w:r w:rsidRPr="00420637">
        <w:rPr>
          <w:lang w:eastAsia="en-US"/>
        </w:rPr>
        <w:t xml:space="preserve"> Green Star data, we estimated that only around </w:t>
      </w:r>
      <w:r w:rsidR="00BF093F">
        <w:rPr>
          <w:lang w:eastAsia="en-US"/>
        </w:rPr>
        <w:t>50</w:t>
      </w:r>
      <w:r w:rsidR="00BF093F" w:rsidRPr="00420637">
        <w:rPr>
          <w:lang w:eastAsia="en-US"/>
        </w:rPr>
        <w:t xml:space="preserve"> </w:t>
      </w:r>
      <w:r w:rsidRPr="00420637">
        <w:rPr>
          <w:lang w:eastAsia="en-US"/>
        </w:rPr>
        <w:t xml:space="preserve">per cent of modelled savings were realised (which we used as the low scenario), with a standard error around this estimate of around 0.34. </w:t>
      </w:r>
      <w:r w:rsidR="00BD28D0">
        <w:rPr>
          <w:lang w:eastAsia="en-US"/>
        </w:rPr>
        <w:t>We therefore a</w:t>
      </w:r>
      <w:r w:rsidRPr="00420637">
        <w:rPr>
          <w:lang w:eastAsia="en-US"/>
        </w:rPr>
        <w:t>ssum</w:t>
      </w:r>
      <w:r w:rsidR="00BD28D0">
        <w:rPr>
          <w:lang w:eastAsia="en-US"/>
        </w:rPr>
        <w:t>e</w:t>
      </w:r>
      <w:r w:rsidRPr="00420637">
        <w:rPr>
          <w:lang w:eastAsia="en-US"/>
        </w:rPr>
        <w:t xml:space="preserve"> that the realisation rate is normally distributed,</w:t>
      </w:r>
      <w:r w:rsidR="00BF093F">
        <w:rPr>
          <w:lang w:eastAsia="en-US"/>
        </w:rPr>
        <w:t xml:space="preserve"> </w:t>
      </w:r>
      <w:r w:rsidRPr="00420637">
        <w:rPr>
          <w:lang w:eastAsia="en-US"/>
        </w:rPr>
        <w:t>with a mean of 0.</w:t>
      </w:r>
      <w:r w:rsidR="00BF093F">
        <w:rPr>
          <w:lang w:eastAsia="en-US"/>
        </w:rPr>
        <w:t>50</w:t>
      </w:r>
      <w:r w:rsidR="00BF093F" w:rsidRPr="00420637">
        <w:rPr>
          <w:lang w:eastAsia="en-US"/>
        </w:rPr>
        <w:t xml:space="preserve"> </w:t>
      </w:r>
      <w:r w:rsidRPr="00420637">
        <w:rPr>
          <w:lang w:eastAsia="en-US"/>
        </w:rPr>
        <w:t>and a standard deviation of 0.34.</w:t>
      </w:r>
    </w:p>
    <w:p w:rsidR="001451C0" w:rsidRPr="00420637" w:rsidRDefault="001451C0" w:rsidP="001451C0">
      <w:pPr>
        <w:pStyle w:val="ListBullet"/>
        <w:rPr>
          <w:lang w:eastAsia="en-US"/>
        </w:rPr>
      </w:pPr>
      <w:r w:rsidRPr="00420637">
        <w:rPr>
          <w:lang w:eastAsia="en-US"/>
        </w:rPr>
        <w:t>When several outliers that are potentially distorting the results of the above analysis were removed from the sample, we estimated a mean realisation rate of 0.75, with a standard error of 0.15. For the medium scenario, we therefore assume a normally distributed realisation rate with a mean of 0.75 and a standard deviation of 0.15.</w:t>
      </w:r>
    </w:p>
    <w:p w:rsidR="001451C0" w:rsidRPr="00420637" w:rsidRDefault="001451C0" w:rsidP="001451C0">
      <w:pPr>
        <w:pStyle w:val="ListBullet"/>
        <w:rPr>
          <w:lang w:eastAsia="en-US"/>
        </w:rPr>
      </w:pPr>
      <w:r w:rsidRPr="00420637">
        <w:rPr>
          <w:lang w:eastAsia="en-US"/>
        </w:rPr>
        <w:t>Under the high scenario, we assumed modelled energy savings are achieved on average. Under this scenario we assume the realisation rate is normally distributed with a mean of 1 and standard deviation of 0.15 (as per the medium scenario).</w:t>
      </w:r>
    </w:p>
    <w:p w:rsidR="001451C0" w:rsidRPr="00420637" w:rsidRDefault="001451C0" w:rsidP="001451C0">
      <w:pPr>
        <w:pStyle w:val="BodyText"/>
        <w:rPr>
          <w:lang w:eastAsia="en-US"/>
        </w:rPr>
      </w:pPr>
      <w:r w:rsidRPr="00420637">
        <w:rPr>
          <w:lang w:eastAsia="en-US"/>
        </w:rPr>
        <w:t>This analysis suggests that even though the results suggest significant net benefits in aggregate, a significant proportion of construction activity is likely to incur a net cost</w:t>
      </w:r>
      <w:r w:rsidR="00900525">
        <w:rPr>
          <w:lang w:eastAsia="en-US"/>
        </w:rPr>
        <w:t xml:space="preserve"> under the D</w:t>
      </w:r>
      <w:r w:rsidR="00D97822">
        <w:rPr>
          <w:lang w:eastAsia="en-US"/>
        </w:rPr>
        <w:t>T</w:t>
      </w:r>
      <w:r w:rsidR="00900525">
        <w:rPr>
          <w:lang w:eastAsia="en-US"/>
        </w:rPr>
        <w:t>S</w:t>
      </w:r>
      <w:r w:rsidRPr="00420637">
        <w:rPr>
          <w:lang w:eastAsia="en-US"/>
        </w:rPr>
        <w:t>, particularly under the low scenario.</w:t>
      </w:r>
    </w:p>
    <w:p w:rsidR="001451C0" w:rsidRPr="00420637" w:rsidRDefault="001451C0" w:rsidP="001451C0">
      <w:pPr>
        <w:pStyle w:val="Caption"/>
      </w:pPr>
      <w:r w:rsidRPr="00154DF2">
        <w:fldChar w:fldCharType="begin"/>
      </w:r>
      <w:r w:rsidRPr="00154DF2">
        <w:instrText xml:space="preserve"> IF 1 = 1 "</w:instrText>
      </w:r>
      <w:r w:rsidRPr="00154DF2">
        <w:fldChar w:fldCharType="begin"/>
      </w:r>
      <w:r w:rsidRPr="00154DF2">
        <w:instrText xml:space="preserve"> IF </w:instrText>
      </w:r>
      <w:r w:rsidRPr="00154DF2">
        <w:rPr>
          <w:noProof/>
        </w:rPr>
        <w:fldChar w:fldCharType="begin"/>
      </w:r>
      <w:r w:rsidRPr="00154DF2">
        <w:rPr>
          <w:noProof/>
        </w:rPr>
        <w:instrText xml:space="preserve"> STYLEREF "Heading 6" \l \n </w:instrText>
      </w:r>
      <w:r w:rsidRPr="00154DF2">
        <w:rPr>
          <w:noProof/>
        </w:rPr>
        <w:fldChar w:fldCharType="separate"/>
      </w:r>
      <w:r w:rsidR="00B833F1">
        <w:rPr>
          <w:noProof/>
        </w:rPr>
        <w:instrText>0</w:instrText>
      </w:r>
      <w:r w:rsidRPr="00154DF2">
        <w:rPr>
          <w:noProof/>
        </w:rPr>
        <w:fldChar w:fldCharType="end"/>
      </w:r>
      <w:r w:rsidRPr="00154DF2">
        <w:instrText xml:space="preserve"> = 0 "</w:instrText>
      </w:r>
      <w:r w:rsidRPr="00154DF2">
        <w:fldChar w:fldCharType="begin"/>
      </w:r>
      <w:r w:rsidRPr="00154DF2">
        <w:instrText xml:space="preserve"> IF </w:instrText>
      </w:r>
      <w:r w:rsidRPr="00154DF2">
        <w:rPr>
          <w:noProof/>
        </w:rPr>
        <w:fldChar w:fldCharType="begin"/>
      </w:r>
      <w:r w:rsidRPr="00154DF2">
        <w:rPr>
          <w:noProof/>
        </w:rPr>
        <w:instrText xml:space="preserve"> STYLEREF "Heading 1" \l \n </w:instrText>
      </w:r>
      <w:r w:rsidRPr="00154DF2">
        <w:rPr>
          <w:noProof/>
        </w:rPr>
        <w:fldChar w:fldCharType="separate"/>
      </w:r>
      <w:r w:rsidR="00B833F1">
        <w:rPr>
          <w:noProof/>
        </w:rPr>
        <w:instrText>8</w:instrText>
      </w:r>
      <w:r w:rsidRPr="00154DF2">
        <w:rPr>
          <w:noProof/>
        </w:rPr>
        <w:fldChar w:fldCharType="end"/>
      </w:r>
      <w:r w:rsidRPr="00154DF2">
        <w:instrText xml:space="preserve"> = 0 "" "</w:instrText>
      </w:r>
      <w:r w:rsidRPr="00154DF2">
        <w:rPr>
          <w:noProof/>
        </w:rPr>
        <w:fldChar w:fldCharType="begin"/>
      </w:r>
      <w:r w:rsidRPr="00154DF2">
        <w:rPr>
          <w:noProof/>
        </w:rPr>
        <w:instrText xml:space="preserve"> STYLEREF "Heading 1" \l \n </w:instrText>
      </w:r>
      <w:r w:rsidRPr="00154DF2">
        <w:rPr>
          <w:noProof/>
        </w:rPr>
        <w:fldChar w:fldCharType="separate"/>
      </w:r>
      <w:r w:rsidR="00B833F1">
        <w:rPr>
          <w:noProof/>
        </w:rPr>
        <w:instrText>8</w:instrText>
      </w:r>
      <w:r w:rsidRPr="00154DF2">
        <w:rPr>
          <w:noProof/>
        </w:rPr>
        <w:fldChar w:fldCharType="end"/>
      </w:r>
      <w:r w:rsidRPr="00154DF2">
        <w:instrText xml:space="preserve">." </w:instrText>
      </w:r>
      <w:r w:rsidRPr="00154DF2">
        <w:fldChar w:fldCharType="separate"/>
      </w:r>
      <w:r w:rsidR="00B833F1">
        <w:rPr>
          <w:noProof/>
        </w:rPr>
        <w:instrText>8</w:instrText>
      </w:r>
      <w:r w:rsidR="00B833F1" w:rsidRPr="00154DF2">
        <w:rPr>
          <w:noProof/>
        </w:rPr>
        <w:instrText>.</w:instrText>
      </w:r>
      <w:r w:rsidRPr="00154DF2">
        <w:fldChar w:fldCharType="end"/>
      </w:r>
      <w:r w:rsidRPr="00154DF2">
        <w:instrText>" "</w:instrText>
      </w:r>
      <w:r w:rsidR="001F6F43">
        <w:fldChar w:fldCharType="begin"/>
      </w:r>
      <w:r w:rsidR="001F6F43">
        <w:instrText xml:space="preserve"> STYLEREF "Heading 6" \l \n </w:instrText>
      </w:r>
      <w:r w:rsidR="001F6F43">
        <w:fldChar w:fldCharType="separate"/>
      </w:r>
      <w:r w:rsidRPr="00154DF2">
        <w:instrText>B</w:instrText>
      </w:r>
      <w:r w:rsidR="001F6F43">
        <w:fldChar w:fldCharType="end"/>
      </w:r>
      <w:r w:rsidRPr="00154DF2">
        <w:instrText xml:space="preserve">." </w:instrText>
      </w:r>
      <w:r w:rsidRPr="00154DF2">
        <w:fldChar w:fldCharType="separate"/>
      </w:r>
      <w:r w:rsidR="00EA42ED">
        <w:rPr>
          <w:noProof/>
        </w:rPr>
        <w:instrText>8</w:instrText>
      </w:r>
      <w:r w:rsidR="00EA42ED" w:rsidRPr="00154DF2">
        <w:rPr>
          <w:noProof/>
        </w:rPr>
        <w:instrText>.</w:instrText>
      </w:r>
      <w:r w:rsidRPr="00154DF2">
        <w:fldChar w:fldCharType="end"/>
      </w:r>
      <w:r w:rsidRPr="00154DF2">
        <w:fldChar w:fldCharType="begin"/>
      </w:r>
      <w:r w:rsidRPr="00154DF2">
        <w:instrText xml:space="preserve"> SEQ Item \* ARABIC \s </w:instrText>
      </w:r>
      <w:r w:rsidRPr="00154DF2">
        <w:fldChar w:fldCharType="begin"/>
      </w:r>
      <w:r w:rsidRPr="00154DF2">
        <w:instrText xml:space="preserve"> IF </w:instrText>
      </w:r>
      <w:r w:rsidRPr="00154DF2">
        <w:rPr>
          <w:noProof/>
        </w:rPr>
        <w:fldChar w:fldCharType="begin"/>
      </w:r>
      <w:r w:rsidRPr="00154DF2">
        <w:rPr>
          <w:noProof/>
        </w:rPr>
        <w:instrText xml:space="preserve"> STYLEREF "Heading 6" \l \n </w:instrText>
      </w:r>
      <w:r w:rsidRPr="00154DF2">
        <w:rPr>
          <w:noProof/>
        </w:rPr>
        <w:fldChar w:fldCharType="separate"/>
      </w:r>
      <w:r w:rsidR="00B833F1">
        <w:rPr>
          <w:noProof/>
        </w:rPr>
        <w:instrText>0</w:instrText>
      </w:r>
      <w:r w:rsidRPr="00154DF2">
        <w:rPr>
          <w:noProof/>
        </w:rPr>
        <w:fldChar w:fldCharType="end"/>
      </w:r>
      <w:r w:rsidRPr="00154DF2">
        <w:instrText xml:space="preserve"> = 0 "</w:instrText>
      </w:r>
      <w:r w:rsidRPr="00154DF2">
        <w:fldChar w:fldCharType="begin"/>
      </w:r>
      <w:r w:rsidRPr="00154DF2">
        <w:instrText xml:space="preserve"> IF </w:instrText>
      </w:r>
      <w:r w:rsidRPr="00154DF2">
        <w:rPr>
          <w:noProof/>
        </w:rPr>
        <w:fldChar w:fldCharType="begin"/>
      </w:r>
      <w:r w:rsidRPr="00154DF2">
        <w:rPr>
          <w:noProof/>
        </w:rPr>
        <w:instrText xml:space="preserve"> STYLEREF "Heading 1" \l \n </w:instrText>
      </w:r>
      <w:r w:rsidRPr="00154DF2">
        <w:rPr>
          <w:noProof/>
        </w:rPr>
        <w:fldChar w:fldCharType="separate"/>
      </w:r>
      <w:r w:rsidR="00B833F1">
        <w:rPr>
          <w:noProof/>
        </w:rPr>
        <w:instrText>8</w:instrText>
      </w:r>
      <w:r w:rsidRPr="00154DF2">
        <w:rPr>
          <w:noProof/>
        </w:rPr>
        <w:fldChar w:fldCharType="end"/>
      </w:r>
      <w:r w:rsidRPr="00154DF2">
        <w:instrText xml:space="preserve"> = 0 "" "1" </w:instrText>
      </w:r>
      <w:r w:rsidRPr="00154DF2">
        <w:fldChar w:fldCharType="separate"/>
      </w:r>
      <w:r w:rsidR="00EA42ED" w:rsidRPr="00154DF2">
        <w:rPr>
          <w:noProof/>
        </w:rPr>
        <w:instrText>1</w:instrText>
      </w:r>
      <w:r w:rsidRPr="00154DF2">
        <w:fldChar w:fldCharType="end"/>
      </w:r>
      <w:r w:rsidRPr="00154DF2">
        <w:instrText xml:space="preserve">" "6" </w:instrText>
      </w:r>
      <w:r w:rsidRPr="00154DF2">
        <w:fldChar w:fldCharType="separate"/>
      </w:r>
      <w:r w:rsidR="00EA42ED" w:rsidRPr="00154DF2">
        <w:rPr>
          <w:noProof/>
        </w:rPr>
        <w:instrText>1</w:instrText>
      </w:r>
      <w:r w:rsidRPr="00154DF2">
        <w:fldChar w:fldCharType="end"/>
      </w:r>
      <w:r w:rsidRPr="00154DF2">
        <w:instrText xml:space="preserve"> </w:instrText>
      </w:r>
      <w:r w:rsidRPr="00154DF2">
        <w:fldChar w:fldCharType="separate"/>
      </w:r>
      <w:r w:rsidR="00B833F1">
        <w:rPr>
          <w:noProof/>
        </w:rPr>
        <w:instrText>17</w:instrText>
      </w:r>
      <w:r w:rsidRPr="00154DF2">
        <w:fldChar w:fldCharType="end"/>
      </w:r>
      <w:r w:rsidRPr="00154DF2">
        <w:instrText xml:space="preserve">" "" </w:instrText>
      </w:r>
      <w:r w:rsidRPr="00154DF2">
        <w:fldChar w:fldCharType="separate"/>
      </w:r>
      <w:bookmarkStart w:id="4074" w:name="_Caption5671"/>
      <w:bookmarkStart w:id="4075" w:name="_Caption2536"/>
      <w:bookmarkStart w:id="4076" w:name="_Caption1403"/>
      <w:bookmarkStart w:id="4077" w:name="_Caption7095"/>
      <w:bookmarkStart w:id="4078" w:name="_Caption2513"/>
      <w:bookmarkStart w:id="4079" w:name="_Caption0485"/>
      <w:bookmarkStart w:id="4080" w:name="_Caption8006"/>
      <w:bookmarkStart w:id="4081" w:name="_Caption2908"/>
      <w:bookmarkStart w:id="4082" w:name="_Caption9196"/>
      <w:bookmarkStart w:id="4083" w:name="_Caption4076"/>
      <w:bookmarkStart w:id="4084" w:name="_Caption7027"/>
      <w:bookmarkStart w:id="4085" w:name="_Caption2355"/>
      <w:bookmarkStart w:id="4086" w:name="_Caption1615"/>
      <w:bookmarkStart w:id="4087" w:name="_Caption3668"/>
      <w:bookmarkStart w:id="4088" w:name="_Caption7293"/>
      <w:bookmarkStart w:id="4089" w:name="_Caption2295"/>
      <w:bookmarkStart w:id="4090" w:name="_Caption7039"/>
      <w:bookmarkStart w:id="4091" w:name="_Caption4419"/>
      <w:bookmarkStart w:id="4092" w:name="_Caption1202"/>
      <w:bookmarkStart w:id="4093" w:name="_Caption9645"/>
      <w:bookmarkStart w:id="4094" w:name="_Caption2905"/>
      <w:bookmarkStart w:id="4095" w:name="_Caption3398"/>
      <w:bookmarkStart w:id="4096" w:name="_Caption0470"/>
      <w:bookmarkStart w:id="4097" w:name="_Caption2886"/>
      <w:bookmarkStart w:id="4098" w:name="_Caption4052"/>
      <w:bookmarkStart w:id="4099" w:name="_Caption7634"/>
      <w:bookmarkStart w:id="4100" w:name="_Caption3004"/>
      <w:bookmarkStart w:id="4101" w:name="_Caption0910"/>
      <w:bookmarkStart w:id="4102" w:name="_Caption9644"/>
      <w:bookmarkStart w:id="4103" w:name="_Caption1588"/>
      <w:bookmarkStart w:id="4104" w:name="_Caption8059"/>
      <w:bookmarkStart w:id="4105" w:name="_Caption3729"/>
      <w:bookmarkStart w:id="4106" w:name="_Caption3300"/>
      <w:bookmarkStart w:id="4107" w:name="_Caption6405"/>
      <w:bookmarkStart w:id="4108" w:name="_Caption7761"/>
      <w:bookmarkStart w:id="4109" w:name="_Caption4653"/>
      <w:bookmarkStart w:id="4110" w:name="_Caption4600"/>
      <w:bookmarkStart w:id="4111" w:name="_Caption1426"/>
      <w:bookmarkStart w:id="4112" w:name="_Caption5337"/>
      <w:bookmarkStart w:id="4113" w:name="_Caption6004"/>
      <w:bookmarkStart w:id="4114" w:name="_Caption9150"/>
      <w:bookmarkStart w:id="4115" w:name="_Caption9712"/>
      <w:bookmarkStart w:id="4116" w:name="_Caption5924"/>
      <w:bookmarkStart w:id="4117" w:name="_Caption9093"/>
      <w:bookmarkStart w:id="4118" w:name="_Caption7631"/>
      <w:bookmarkStart w:id="4119" w:name="_Caption2963"/>
      <w:bookmarkStart w:id="4120" w:name="_Caption5318"/>
      <w:bookmarkStart w:id="4121" w:name="_Caption2366"/>
      <w:bookmarkStart w:id="4122" w:name="_Caption9862"/>
      <w:bookmarkStart w:id="4123" w:name="_Caption3790"/>
      <w:bookmarkStart w:id="4124" w:name="_Caption4157"/>
      <w:bookmarkStart w:id="4125" w:name="_Caption6502"/>
      <w:bookmarkStart w:id="4126" w:name="_Caption4302"/>
      <w:bookmarkStart w:id="4127" w:name="_Caption4167"/>
      <w:bookmarkStart w:id="4128" w:name="_Caption6633"/>
      <w:bookmarkStart w:id="4129" w:name="_Caption5292"/>
      <w:bookmarkStart w:id="4130" w:name="_Caption4568"/>
      <w:bookmarkStart w:id="4131" w:name="_Caption9742"/>
      <w:bookmarkStart w:id="4132" w:name="_Caption2288"/>
      <w:bookmarkStart w:id="4133" w:name="_Caption8216"/>
      <w:bookmarkStart w:id="4134" w:name="_Caption2019"/>
      <w:bookmarkStart w:id="4135" w:name="_Caption0986"/>
      <w:bookmarkStart w:id="4136" w:name="_Caption8516"/>
      <w:bookmarkStart w:id="4137" w:name="_Caption5004"/>
      <w:bookmarkStart w:id="4138" w:name="_Caption2689"/>
      <w:bookmarkStart w:id="4139" w:name="_Caption8215"/>
      <w:bookmarkStart w:id="4140" w:name="_Caption1609"/>
      <w:bookmarkStart w:id="4141" w:name="_Caption4012"/>
      <w:bookmarkStart w:id="4142" w:name="_Caption2736"/>
      <w:bookmarkStart w:id="4143" w:name="_Caption3263"/>
      <w:bookmarkStart w:id="4144" w:name="_Caption2232"/>
      <w:bookmarkStart w:id="4145" w:name="_Caption8493"/>
      <w:bookmarkStart w:id="4146" w:name="_Caption4162"/>
      <w:bookmarkStart w:id="4147" w:name="_Caption2290"/>
      <w:bookmarkStart w:id="4148" w:name="_Caption4686"/>
      <w:bookmarkStart w:id="4149" w:name="_Caption6489"/>
      <w:bookmarkStart w:id="4150" w:name="_Caption6665"/>
      <w:bookmarkStart w:id="4151" w:name="_Caption2792"/>
      <w:bookmarkStart w:id="4152" w:name="_Caption8461"/>
      <w:bookmarkStart w:id="4153" w:name="_Caption4338"/>
      <w:bookmarkStart w:id="4154" w:name="_Toc509220865"/>
      <w:bookmarkStart w:id="4155" w:name="_Toc529869956"/>
      <w:bookmarkStart w:id="4156" w:name="_Toc530748452"/>
      <w:r w:rsidR="00EA42ED">
        <w:rPr>
          <w:noProof/>
        </w:rPr>
        <w:t>8</w:t>
      </w:r>
      <w:r w:rsidR="00EA42ED" w:rsidRPr="00154DF2">
        <w:rPr>
          <w:noProof/>
        </w:rPr>
        <w:t>.</w:t>
      </w:r>
      <w:r w:rsidR="00EA42ED">
        <w:rPr>
          <w:noProof/>
        </w:rPr>
        <w:t>17</w:t>
      </w:r>
      <w:bookmarkStart w:id="4157" w:name="_Toc507523816"/>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r w:rsidRPr="00154DF2">
        <w:fldChar w:fldCharType="end"/>
      </w:r>
      <w:r w:rsidRPr="00154DF2">
        <w:tab/>
        <w:t>Estimated proportion of construction activity incurring a net cost</w:t>
      </w:r>
      <w:bookmarkEnd w:id="4154"/>
      <w:bookmarkEnd w:id="4155"/>
      <w:bookmarkEnd w:id="4156"/>
      <w:bookmarkEnd w:id="4157"/>
      <w:r w:rsidRPr="00420637">
        <w:t xml:space="preserve"> </w:t>
      </w:r>
    </w:p>
    <w:tbl>
      <w:tblPr>
        <w:tblW w:w="7993" w:type="dxa"/>
        <w:tblLayout w:type="fixed"/>
        <w:tblLook w:val="0000" w:firstRow="0" w:lastRow="0" w:firstColumn="0" w:lastColumn="0" w:noHBand="0" w:noVBand="0"/>
        <w:tblCaption w:val="Table 8.17: Estimated proportion of construction activity incurring a net cost"/>
        <w:tblDescription w:val="This table summaries the estimated proportion of construction activity incurring a new cost as a result of the proposed changes. This is estimated to be approximately 6% of all activity. "/>
      </w:tblPr>
      <w:tblGrid>
        <w:gridCol w:w="2380"/>
        <w:gridCol w:w="1871"/>
        <w:gridCol w:w="1871"/>
        <w:gridCol w:w="1871"/>
      </w:tblGrid>
      <w:tr w:rsidR="001451C0" w:rsidRPr="00420637" w:rsidTr="001451C0">
        <w:trPr>
          <w:trHeight w:val="461"/>
          <w:tblHeader/>
        </w:trPr>
        <w:tc>
          <w:tcPr>
            <w:tcW w:w="2380" w:type="dxa"/>
            <w:shd w:val="clear" w:color="auto" w:fill="6F6652"/>
            <w:tcMar>
              <w:left w:w="57" w:type="dxa"/>
              <w:right w:w="57" w:type="dxa"/>
            </w:tcMar>
          </w:tcPr>
          <w:p w:rsidR="001451C0" w:rsidRPr="00420637" w:rsidRDefault="001451C0" w:rsidP="001451C0">
            <w:pPr>
              <w:pStyle w:val="TableDataColumnHeading"/>
              <w:jc w:val="left"/>
              <w:rPr>
                <w:lang w:val="en-GB"/>
              </w:rPr>
            </w:pPr>
          </w:p>
        </w:tc>
        <w:tc>
          <w:tcPr>
            <w:tcW w:w="1871" w:type="dxa"/>
            <w:shd w:val="clear" w:color="auto" w:fill="6F6652"/>
            <w:tcMar>
              <w:left w:w="57" w:type="dxa"/>
              <w:right w:w="57" w:type="dxa"/>
            </w:tcMar>
          </w:tcPr>
          <w:p w:rsidR="001451C0" w:rsidRPr="00420637" w:rsidRDefault="001451C0" w:rsidP="001451C0">
            <w:pPr>
              <w:pStyle w:val="TableDataColumnHeading"/>
              <w:rPr>
                <w:lang w:val="en-GB"/>
              </w:rPr>
            </w:pPr>
            <w:r w:rsidRPr="00420637">
              <w:rPr>
                <w:lang w:val="en-GB"/>
              </w:rPr>
              <w:t>Low scenario</w:t>
            </w:r>
          </w:p>
        </w:tc>
        <w:tc>
          <w:tcPr>
            <w:tcW w:w="1871" w:type="dxa"/>
            <w:shd w:val="clear" w:color="auto" w:fill="6F6652"/>
            <w:tcMar>
              <w:left w:w="57" w:type="dxa"/>
              <w:right w:w="57" w:type="dxa"/>
            </w:tcMar>
          </w:tcPr>
          <w:p w:rsidR="001451C0" w:rsidRPr="00420637" w:rsidRDefault="001451C0" w:rsidP="001451C0">
            <w:pPr>
              <w:pStyle w:val="TableDataColumnHeading"/>
              <w:rPr>
                <w:lang w:val="en-GB"/>
              </w:rPr>
            </w:pPr>
            <w:r w:rsidRPr="00420637">
              <w:rPr>
                <w:lang w:val="en-GB"/>
              </w:rPr>
              <w:t>Medium scenario</w:t>
            </w:r>
          </w:p>
        </w:tc>
        <w:tc>
          <w:tcPr>
            <w:tcW w:w="1871" w:type="dxa"/>
            <w:shd w:val="clear" w:color="auto" w:fill="6F6652"/>
            <w:tcMar>
              <w:left w:w="57" w:type="dxa"/>
              <w:right w:w="57" w:type="dxa"/>
            </w:tcMar>
          </w:tcPr>
          <w:p w:rsidR="001451C0" w:rsidRPr="00420637" w:rsidRDefault="001451C0" w:rsidP="001451C0">
            <w:pPr>
              <w:pStyle w:val="TableDataColumnHeading"/>
              <w:rPr>
                <w:lang w:val="en-GB"/>
              </w:rPr>
            </w:pPr>
            <w:r w:rsidRPr="00420637">
              <w:rPr>
                <w:lang w:val="en-GB"/>
              </w:rPr>
              <w:t>High scenario</w:t>
            </w:r>
          </w:p>
        </w:tc>
      </w:tr>
      <w:tr w:rsidR="001451C0" w:rsidRPr="00420637" w:rsidTr="001451C0">
        <w:trPr>
          <w:trHeight w:val="230"/>
          <w:tblHeader/>
        </w:trPr>
        <w:tc>
          <w:tcPr>
            <w:tcW w:w="2380" w:type="dxa"/>
            <w:tcBorders>
              <w:bottom w:val="single" w:sz="8" w:space="0" w:color="FFFFFF" w:themeColor="background1"/>
            </w:tcBorders>
            <w:shd w:val="clear" w:color="auto" w:fill="auto"/>
            <w:tcMar>
              <w:left w:w="57" w:type="dxa"/>
              <w:right w:w="57" w:type="dxa"/>
            </w:tcMar>
          </w:tcPr>
          <w:p w:rsidR="001451C0" w:rsidRPr="00420637" w:rsidRDefault="001451C0" w:rsidP="001451C0">
            <w:pPr>
              <w:pStyle w:val="TableUnit"/>
              <w:jc w:val="left"/>
              <w:rPr>
                <w:lang w:val="en-GB"/>
              </w:rPr>
            </w:pPr>
          </w:p>
        </w:tc>
        <w:tc>
          <w:tcPr>
            <w:tcW w:w="1871" w:type="dxa"/>
            <w:tcBorders>
              <w:bottom w:val="single" w:sz="8" w:space="0" w:color="FFFFFF" w:themeColor="background1"/>
            </w:tcBorders>
            <w:shd w:val="clear" w:color="auto" w:fill="auto"/>
            <w:tcMar>
              <w:left w:w="57" w:type="dxa"/>
              <w:right w:w="57" w:type="dxa"/>
            </w:tcMar>
          </w:tcPr>
          <w:p w:rsidR="001451C0" w:rsidRPr="00420637" w:rsidRDefault="001451C0" w:rsidP="001451C0">
            <w:pPr>
              <w:pStyle w:val="TableUnit"/>
              <w:rPr>
                <w:lang w:val="en-GB"/>
              </w:rPr>
            </w:pPr>
            <w:r w:rsidRPr="00420637">
              <w:rPr>
                <w:lang w:val="en-GB"/>
              </w:rPr>
              <w:t>Per cent</w:t>
            </w:r>
          </w:p>
        </w:tc>
        <w:tc>
          <w:tcPr>
            <w:tcW w:w="1871" w:type="dxa"/>
            <w:tcBorders>
              <w:bottom w:val="single" w:sz="8" w:space="0" w:color="FFFFFF" w:themeColor="background1"/>
            </w:tcBorders>
            <w:shd w:val="clear" w:color="auto" w:fill="auto"/>
            <w:tcMar>
              <w:left w:w="57" w:type="dxa"/>
              <w:right w:w="57" w:type="dxa"/>
            </w:tcMar>
          </w:tcPr>
          <w:p w:rsidR="001451C0" w:rsidRPr="00420637" w:rsidRDefault="001451C0" w:rsidP="001451C0">
            <w:pPr>
              <w:pStyle w:val="TableUnit"/>
              <w:rPr>
                <w:lang w:val="en-GB"/>
              </w:rPr>
            </w:pPr>
            <w:r w:rsidRPr="00420637">
              <w:rPr>
                <w:lang w:val="en-GB"/>
              </w:rPr>
              <w:t>Per cent</w:t>
            </w:r>
          </w:p>
        </w:tc>
        <w:tc>
          <w:tcPr>
            <w:tcW w:w="1871" w:type="dxa"/>
            <w:tcBorders>
              <w:bottom w:val="single" w:sz="8" w:space="0" w:color="FFFFFF" w:themeColor="background1"/>
            </w:tcBorders>
            <w:shd w:val="clear" w:color="auto" w:fill="auto"/>
            <w:tcMar>
              <w:left w:w="57" w:type="dxa"/>
              <w:right w:w="57" w:type="dxa"/>
            </w:tcMar>
          </w:tcPr>
          <w:p w:rsidR="001451C0" w:rsidRPr="00420637" w:rsidRDefault="001451C0" w:rsidP="001451C0">
            <w:pPr>
              <w:pStyle w:val="TableUnit"/>
              <w:rPr>
                <w:lang w:val="en-GB"/>
              </w:rPr>
            </w:pPr>
            <w:r w:rsidRPr="00420637">
              <w:rPr>
                <w:lang w:val="en-GB"/>
              </w:rPr>
              <w:t>Per cent</w:t>
            </w:r>
          </w:p>
        </w:tc>
      </w:tr>
      <w:tr w:rsidR="00154DF2" w:rsidRPr="00420637" w:rsidTr="001451C0">
        <w:trPr>
          <w:trHeight w:val="230"/>
        </w:trPr>
        <w:tc>
          <w:tcPr>
            <w:tcW w:w="238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154DF2" w:rsidRPr="00420637" w:rsidRDefault="00154DF2" w:rsidP="00154DF2">
            <w:pPr>
              <w:pStyle w:val="TableDataEntries"/>
              <w:jc w:val="left"/>
              <w:rPr>
                <w:lang w:val="en-GB"/>
              </w:rPr>
            </w:pPr>
            <w:r w:rsidRPr="00420637">
              <w:rPr>
                <w:lang w:val="en-GB"/>
              </w:rPr>
              <w:t>NSW</w:t>
            </w:r>
          </w:p>
        </w:tc>
        <w:tc>
          <w:tcPr>
            <w:tcW w:w="187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154DF2" w:rsidRPr="00420637" w:rsidRDefault="00154DF2" w:rsidP="00154DF2">
            <w:pPr>
              <w:pStyle w:val="TableDataEntries"/>
            </w:pPr>
            <w:r>
              <w:t xml:space="preserve"> 27.4</w:t>
            </w:r>
          </w:p>
        </w:tc>
        <w:tc>
          <w:tcPr>
            <w:tcW w:w="187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154DF2" w:rsidRPr="00420637" w:rsidRDefault="00154DF2" w:rsidP="00154DF2">
            <w:pPr>
              <w:pStyle w:val="TableDataEntries"/>
            </w:pPr>
            <w:r>
              <w:t xml:space="preserve"> 5.5</w:t>
            </w:r>
          </w:p>
        </w:tc>
        <w:tc>
          <w:tcPr>
            <w:tcW w:w="187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154DF2" w:rsidRPr="00420637" w:rsidRDefault="00154DF2" w:rsidP="00154DF2">
            <w:pPr>
              <w:pStyle w:val="TableDataEntries"/>
            </w:pPr>
            <w:r>
              <w:t xml:space="preserve"> 5.0</w:t>
            </w:r>
          </w:p>
        </w:tc>
      </w:tr>
      <w:tr w:rsidR="00154DF2" w:rsidRPr="00420637" w:rsidTr="001451C0">
        <w:trPr>
          <w:trHeight w:val="230"/>
        </w:trPr>
        <w:tc>
          <w:tcPr>
            <w:tcW w:w="238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154DF2" w:rsidRPr="00420637" w:rsidRDefault="00154DF2" w:rsidP="00154DF2">
            <w:pPr>
              <w:pStyle w:val="TableDataEntries"/>
              <w:jc w:val="left"/>
              <w:rPr>
                <w:lang w:val="en-GB"/>
              </w:rPr>
            </w:pPr>
            <w:r w:rsidRPr="00420637">
              <w:rPr>
                <w:lang w:val="en-GB"/>
              </w:rPr>
              <w:t>Victoria</w:t>
            </w:r>
          </w:p>
        </w:tc>
        <w:tc>
          <w:tcPr>
            <w:tcW w:w="187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154DF2" w:rsidRPr="00420637" w:rsidRDefault="00154DF2" w:rsidP="00154DF2">
            <w:pPr>
              <w:pStyle w:val="TableDataEntries"/>
            </w:pPr>
            <w:r>
              <w:t xml:space="preserve"> 23.1</w:t>
            </w:r>
          </w:p>
        </w:tc>
        <w:tc>
          <w:tcPr>
            <w:tcW w:w="187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154DF2" w:rsidRPr="00420637" w:rsidRDefault="00154DF2" w:rsidP="00154DF2">
            <w:pPr>
              <w:pStyle w:val="TableDataEntries"/>
            </w:pPr>
            <w:r>
              <w:t xml:space="preserve"> 9.5</w:t>
            </w:r>
          </w:p>
        </w:tc>
        <w:tc>
          <w:tcPr>
            <w:tcW w:w="187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154DF2" w:rsidRPr="00420637" w:rsidRDefault="00154DF2" w:rsidP="00154DF2">
            <w:pPr>
              <w:pStyle w:val="TableDataEntries"/>
            </w:pPr>
            <w:r>
              <w:t xml:space="preserve"> 9.4</w:t>
            </w:r>
          </w:p>
        </w:tc>
      </w:tr>
      <w:tr w:rsidR="00154DF2" w:rsidRPr="00420637" w:rsidTr="001451C0">
        <w:trPr>
          <w:trHeight w:val="230"/>
        </w:trPr>
        <w:tc>
          <w:tcPr>
            <w:tcW w:w="238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154DF2" w:rsidRPr="00420637" w:rsidRDefault="00154DF2" w:rsidP="00154DF2">
            <w:pPr>
              <w:pStyle w:val="TableDataEntries"/>
              <w:jc w:val="left"/>
              <w:rPr>
                <w:lang w:val="en-GB"/>
              </w:rPr>
            </w:pPr>
            <w:r w:rsidRPr="00420637">
              <w:rPr>
                <w:lang w:val="en-GB"/>
              </w:rPr>
              <w:t>Queensland</w:t>
            </w:r>
          </w:p>
        </w:tc>
        <w:tc>
          <w:tcPr>
            <w:tcW w:w="187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154DF2" w:rsidRPr="00420637" w:rsidRDefault="00154DF2" w:rsidP="00154DF2">
            <w:pPr>
              <w:pStyle w:val="TableDataEntries"/>
            </w:pPr>
            <w:r>
              <w:t xml:space="preserve"> 13.0</w:t>
            </w:r>
          </w:p>
        </w:tc>
        <w:tc>
          <w:tcPr>
            <w:tcW w:w="187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154DF2" w:rsidRPr="00420637" w:rsidRDefault="00154DF2" w:rsidP="00154DF2">
            <w:pPr>
              <w:pStyle w:val="TableDataEntries"/>
            </w:pPr>
            <w:r>
              <w:t xml:space="preserve"> 0.0</w:t>
            </w:r>
          </w:p>
        </w:tc>
        <w:tc>
          <w:tcPr>
            <w:tcW w:w="187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154DF2" w:rsidRPr="00420637" w:rsidRDefault="00154DF2" w:rsidP="00154DF2">
            <w:pPr>
              <w:pStyle w:val="TableDataEntries"/>
            </w:pPr>
            <w:r>
              <w:t xml:space="preserve"> 0.0</w:t>
            </w:r>
          </w:p>
        </w:tc>
      </w:tr>
      <w:tr w:rsidR="00154DF2" w:rsidRPr="00420637" w:rsidTr="001451C0">
        <w:trPr>
          <w:trHeight w:val="230"/>
        </w:trPr>
        <w:tc>
          <w:tcPr>
            <w:tcW w:w="238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154DF2" w:rsidRPr="00420637" w:rsidRDefault="00154DF2" w:rsidP="00154DF2">
            <w:pPr>
              <w:pStyle w:val="TableDataEntries"/>
              <w:jc w:val="left"/>
              <w:rPr>
                <w:lang w:val="en-GB"/>
              </w:rPr>
            </w:pPr>
            <w:r w:rsidRPr="00420637">
              <w:rPr>
                <w:lang w:val="en-GB"/>
              </w:rPr>
              <w:t>South Australia</w:t>
            </w:r>
          </w:p>
        </w:tc>
        <w:tc>
          <w:tcPr>
            <w:tcW w:w="187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154DF2" w:rsidRPr="00420637" w:rsidRDefault="00154DF2" w:rsidP="00154DF2">
            <w:pPr>
              <w:pStyle w:val="TableDataEntries"/>
            </w:pPr>
            <w:r>
              <w:t xml:space="preserve"> 28.8</w:t>
            </w:r>
          </w:p>
        </w:tc>
        <w:tc>
          <w:tcPr>
            <w:tcW w:w="187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154DF2" w:rsidRPr="00420637" w:rsidRDefault="00154DF2" w:rsidP="00154DF2">
            <w:pPr>
              <w:pStyle w:val="TableDataEntries"/>
            </w:pPr>
            <w:r>
              <w:t xml:space="preserve"> 3.7</w:t>
            </w:r>
          </w:p>
        </w:tc>
        <w:tc>
          <w:tcPr>
            <w:tcW w:w="187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154DF2" w:rsidRPr="00420637" w:rsidRDefault="00154DF2" w:rsidP="00154DF2">
            <w:pPr>
              <w:pStyle w:val="TableDataEntries"/>
            </w:pPr>
            <w:r>
              <w:t xml:space="preserve"> 2.3</w:t>
            </w:r>
          </w:p>
        </w:tc>
      </w:tr>
      <w:tr w:rsidR="00154DF2" w:rsidRPr="00420637" w:rsidTr="001451C0">
        <w:trPr>
          <w:trHeight w:val="230"/>
        </w:trPr>
        <w:tc>
          <w:tcPr>
            <w:tcW w:w="238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154DF2" w:rsidRPr="00420637" w:rsidRDefault="00154DF2" w:rsidP="00154DF2">
            <w:pPr>
              <w:pStyle w:val="TableDataEntries"/>
              <w:jc w:val="left"/>
              <w:rPr>
                <w:lang w:val="en-GB"/>
              </w:rPr>
            </w:pPr>
            <w:r w:rsidRPr="00420637">
              <w:rPr>
                <w:lang w:val="en-GB"/>
              </w:rPr>
              <w:t>Western Australia</w:t>
            </w:r>
          </w:p>
        </w:tc>
        <w:tc>
          <w:tcPr>
            <w:tcW w:w="187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154DF2" w:rsidRPr="00420637" w:rsidRDefault="00154DF2" w:rsidP="00154DF2">
            <w:pPr>
              <w:pStyle w:val="TableDataEntries"/>
            </w:pPr>
            <w:r>
              <w:t xml:space="preserve"> 26.9</w:t>
            </w:r>
          </w:p>
        </w:tc>
        <w:tc>
          <w:tcPr>
            <w:tcW w:w="187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154DF2" w:rsidRPr="00420637" w:rsidRDefault="00154DF2" w:rsidP="00154DF2">
            <w:pPr>
              <w:pStyle w:val="TableDataEntries"/>
            </w:pPr>
            <w:r>
              <w:t xml:space="preserve"> 1.4</w:t>
            </w:r>
          </w:p>
        </w:tc>
        <w:tc>
          <w:tcPr>
            <w:tcW w:w="187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154DF2" w:rsidRPr="00420637" w:rsidRDefault="00154DF2" w:rsidP="00154DF2">
            <w:pPr>
              <w:pStyle w:val="TableDataEntries"/>
            </w:pPr>
            <w:r>
              <w:t xml:space="preserve"> 0.2</w:t>
            </w:r>
          </w:p>
        </w:tc>
      </w:tr>
      <w:tr w:rsidR="00154DF2" w:rsidRPr="00420637" w:rsidTr="001451C0">
        <w:trPr>
          <w:trHeight w:val="230"/>
        </w:trPr>
        <w:tc>
          <w:tcPr>
            <w:tcW w:w="238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154DF2" w:rsidRPr="00420637" w:rsidRDefault="00154DF2" w:rsidP="00154DF2">
            <w:pPr>
              <w:pStyle w:val="TableDataEntries"/>
              <w:jc w:val="left"/>
              <w:rPr>
                <w:lang w:val="en-GB"/>
              </w:rPr>
            </w:pPr>
            <w:r w:rsidRPr="00420637">
              <w:rPr>
                <w:lang w:val="en-GB"/>
              </w:rPr>
              <w:t>Tasmania</w:t>
            </w:r>
          </w:p>
        </w:tc>
        <w:tc>
          <w:tcPr>
            <w:tcW w:w="187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154DF2" w:rsidRPr="00420637" w:rsidRDefault="00154DF2" w:rsidP="00154DF2">
            <w:pPr>
              <w:pStyle w:val="TableDataEntries"/>
            </w:pPr>
            <w:r>
              <w:t xml:space="preserve"> 53.5</w:t>
            </w:r>
          </w:p>
        </w:tc>
        <w:tc>
          <w:tcPr>
            <w:tcW w:w="187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154DF2" w:rsidRPr="00420637" w:rsidRDefault="00154DF2" w:rsidP="00154DF2">
            <w:pPr>
              <w:pStyle w:val="TableDataEntries"/>
            </w:pPr>
            <w:r>
              <w:t xml:space="preserve"> 47.7</w:t>
            </w:r>
          </w:p>
        </w:tc>
        <w:tc>
          <w:tcPr>
            <w:tcW w:w="187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154DF2" w:rsidRPr="00420637" w:rsidRDefault="00154DF2" w:rsidP="00154DF2">
            <w:pPr>
              <w:pStyle w:val="TableDataEntries"/>
            </w:pPr>
            <w:r>
              <w:t xml:space="preserve"> 47.7</w:t>
            </w:r>
          </w:p>
        </w:tc>
      </w:tr>
      <w:tr w:rsidR="00154DF2" w:rsidRPr="00420637" w:rsidTr="001451C0">
        <w:trPr>
          <w:trHeight w:val="230"/>
        </w:trPr>
        <w:tc>
          <w:tcPr>
            <w:tcW w:w="238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154DF2" w:rsidRPr="00420637" w:rsidRDefault="00154DF2" w:rsidP="00154DF2">
            <w:pPr>
              <w:pStyle w:val="TableDataEntries"/>
              <w:jc w:val="left"/>
              <w:rPr>
                <w:lang w:val="en-GB"/>
              </w:rPr>
            </w:pPr>
            <w:r w:rsidRPr="00420637">
              <w:rPr>
                <w:lang w:val="en-GB"/>
              </w:rPr>
              <w:t>ACT</w:t>
            </w:r>
          </w:p>
        </w:tc>
        <w:tc>
          <w:tcPr>
            <w:tcW w:w="187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154DF2" w:rsidRPr="00420637" w:rsidRDefault="00154DF2" w:rsidP="00154DF2">
            <w:pPr>
              <w:pStyle w:val="TableDataEntries"/>
            </w:pPr>
            <w:r>
              <w:t xml:space="preserve"> 33.6</w:t>
            </w:r>
          </w:p>
        </w:tc>
        <w:tc>
          <w:tcPr>
            <w:tcW w:w="187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154DF2" w:rsidRPr="00420637" w:rsidRDefault="00154DF2" w:rsidP="00154DF2">
            <w:pPr>
              <w:pStyle w:val="TableDataEntries"/>
            </w:pPr>
            <w:r>
              <w:t xml:space="preserve"> 24.3</w:t>
            </w:r>
          </w:p>
        </w:tc>
        <w:tc>
          <w:tcPr>
            <w:tcW w:w="187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154DF2" w:rsidRPr="00420637" w:rsidRDefault="00154DF2" w:rsidP="00154DF2">
            <w:pPr>
              <w:pStyle w:val="TableDataEntries"/>
            </w:pPr>
            <w:r>
              <w:t xml:space="preserve"> 24.3</w:t>
            </w:r>
          </w:p>
        </w:tc>
      </w:tr>
      <w:tr w:rsidR="00154DF2" w:rsidRPr="00420637" w:rsidTr="001451C0">
        <w:trPr>
          <w:trHeight w:val="230"/>
        </w:trPr>
        <w:tc>
          <w:tcPr>
            <w:tcW w:w="238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154DF2" w:rsidRPr="00420637" w:rsidRDefault="00154DF2" w:rsidP="00154DF2">
            <w:pPr>
              <w:pStyle w:val="TableDataEntries"/>
              <w:jc w:val="left"/>
              <w:rPr>
                <w:lang w:val="en-GB"/>
              </w:rPr>
            </w:pPr>
            <w:r w:rsidRPr="00420637">
              <w:rPr>
                <w:lang w:val="en-GB"/>
              </w:rPr>
              <w:t>Northern Territory</w:t>
            </w:r>
          </w:p>
        </w:tc>
        <w:tc>
          <w:tcPr>
            <w:tcW w:w="187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154DF2" w:rsidRPr="00420637" w:rsidRDefault="00154DF2" w:rsidP="00154DF2">
            <w:pPr>
              <w:pStyle w:val="TableDataEntries"/>
            </w:pPr>
            <w:r>
              <w:t xml:space="preserve"> 13.9</w:t>
            </w:r>
          </w:p>
        </w:tc>
        <w:tc>
          <w:tcPr>
            <w:tcW w:w="187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154DF2" w:rsidRPr="00420637" w:rsidRDefault="00154DF2" w:rsidP="00154DF2">
            <w:pPr>
              <w:pStyle w:val="TableDataEntries"/>
            </w:pPr>
            <w:r>
              <w:t xml:space="preserve"> 0.2</w:t>
            </w:r>
          </w:p>
        </w:tc>
        <w:tc>
          <w:tcPr>
            <w:tcW w:w="187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154DF2" w:rsidRPr="00420637" w:rsidRDefault="00154DF2" w:rsidP="00154DF2">
            <w:pPr>
              <w:pStyle w:val="TableDataEntries"/>
            </w:pPr>
            <w:r>
              <w:t xml:space="preserve"> 0.0</w:t>
            </w:r>
          </w:p>
        </w:tc>
      </w:tr>
      <w:tr w:rsidR="00154DF2" w:rsidRPr="00143A66" w:rsidTr="001451C0">
        <w:trPr>
          <w:trHeight w:val="230"/>
        </w:trPr>
        <w:tc>
          <w:tcPr>
            <w:tcW w:w="2380"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rsidR="00154DF2" w:rsidRPr="00143A66" w:rsidRDefault="00154DF2" w:rsidP="00154DF2">
            <w:pPr>
              <w:pStyle w:val="TableDataEntries"/>
              <w:jc w:val="left"/>
              <w:rPr>
                <w:rFonts w:ascii="Franklin Gothic Demi" w:hAnsi="Franklin Gothic Demi"/>
                <w:lang w:val="en-GB"/>
              </w:rPr>
            </w:pPr>
            <w:r w:rsidRPr="00143A66">
              <w:rPr>
                <w:rFonts w:ascii="Franklin Gothic Demi" w:hAnsi="Franklin Gothic Demi"/>
                <w:lang w:val="en-GB"/>
              </w:rPr>
              <w:t>Total</w:t>
            </w:r>
          </w:p>
        </w:tc>
        <w:tc>
          <w:tcPr>
            <w:tcW w:w="1871"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154DF2" w:rsidRPr="00143A66" w:rsidRDefault="00154DF2" w:rsidP="00154DF2">
            <w:pPr>
              <w:pStyle w:val="TableDataEntries"/>
              <w:rPr>
                <w:rFonts w:ascii="Franklin Gothic Demi" w:hAnsi="Franklin Gothic Demi"/>
              </w:rPr>
            </w:pPr>
            <w:r w:rsidRPr="00143A66">
              <w:rPr>
                <w:rFonts w:ascii="Franklin Gothic Demi" w:hAnsi="Franklin Gothic Demi"/>
              </w:rPr>
              <w:t xml:space="preserve"> 23.7</w:t>
            </w:r>
          </w:p>
        </w:tc>
        <w:tc>
          <w:tcPr>
            <w:tcW w:w="1871"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154DF2" w:rsidRPr="00143A66" w:rsidRDefault="00154DF2" w:rsidP="00154DF2">
            <w:pPr>
              <w:pStyle w:val="TableDataEntries"/>
              <w:rPr>
                <w:rFonts w:ascii="Franklin Gothic Demi" w:hAnsi="Franklin Gothic Demi"/>
              </w:rPr>
            </w:pPr>
            <w:r w:rsidRPr="00143A66">
              <w:rPr>
                <w:rFonts w:ascii="Franklin Gothic Demi" w:hAnsi="Franklin Gothic Demi"/>
              </w:rPr>
              <w:t xml:space="preserve"> 5.9</w:t>
            </w:r>
          </w:p>
        </w:tc>
        <w:tc>
          <w:tcPr>
            <w:tcW w:w="1871"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154DF2" w:rsidRPr="00143A66" w:rsidRDefault="00154DF2" w:rsidP="00154DF2">
            <w:pPr>
              <w:pStyle w:val="TableDataEntries"/>
              <w:rPr>
                <w:rFonts w:ascii="Franklin Gothic Demi" w:hAnsi="Franklin Gothic Demi"/>
              </w:rPr>
            </w:pPr>
            <w:r w:rsidRPr="00143A66">
              <w:rPr>
                <w:rFonts w:ascii="Franklin Gothic Demi" w:hAnsi="Franklin Gothic Demi"/>
              </w:rPr>
              <w:t xml:space="preserve"> 5.4</w:t>
            </w:r>
          </w:p>
        </w:tc>
      </w:tr>
    </w:tbl>
    <w:p w:rsidR="001451C0" w:rsidRPr="00420637" w:rsidRDefault="001451C0" w:rsidP="001451C0">
      <w:pPr>
        <w:pStyle w:val="Source"/>
      </w:pPr>
      <w:r w:rsidRPr="00420637">
        <w:rPr>
          <w:i/>
        </w:rPr>
        <w:t>Source:</w:t>
      </w:r>
      <w:r w:rsidRPr="00420637">
        <w:t xml:space="preserve"> CIE estimates.</w:t>
      </w:r>
    </w:p>
    <w:p w:rsidR="001451C0" w:rsidRDefault="003B6B16" w:rsidP="002B3C0A">
      <w:pPr>
        <w:pStyle w:val="Heading3"/>
        <w:rPr>
          <w:lang w:eastAsia="en-US"/>
        </w:rPr>
      </w:pPr>
      <w:r>
        <w:rPr>
          <w:lang w:eastAsia="en-US"/>
        </w:rPr>
        <w:t>Regulatory burden</w:t>
      </w:r>
    </w:p>
    <w:p w:rsidR="007E7845" w:rsidRDefault="00DD2C71" w:rsidP="00DD2C71">
      <w:pPr>
        <w:pStyle w:val="BodyText"/>
      </w:pPr>
      <w:r>
        <w:t>Under OBPR</w:t>
      </w:r>
      <w:r w:rsidR="00C545FB">
        <w:t>’s</w:t>
      </w:r>
      <w:r>
        <w:t xml:space="preserve"> requirements</w:t>
      </w:r>
      <w:r w:rsidR="00C545FB">
        <w:t>,</w:t>
      </w:r>
      <w:r>
        <w:t xml:space="preserve"> RISs must report the regulatory burden of a policy proposal on businesses using the Regulatory Burden Measure (RBM) framework. </w:t>
      </w:r>
      <w:r w:rsidR="007E7845">
        <w:t>T</w:t>
      </w:r>
      <w:r>
        <w:t>he RBM framework</w:t>
      </w:r>
      <w:r w:rsidR="007E7845">
        <w:t xml:space="preserve"> covers:</w:t>
      </w:r>
    </w:p>
    <w:p w:rsidR="007E7845" w:rsidRDefault="007E7845" w:rsidP="002B3C0A">
      <w:pPr>
        <w:pStyle w:val="ListBullet"/>
      </w:pPr>
      <w:r>
        <w:t>administrative costs</w:t>
      </w:r>
    </w:p>
    <w:p w:rsidR="007E7845" w:rsidRDefault="007E7845" w:rsidP="002B3C0A">
      <w:pPr>
        <w:pStyle w:val="ListBullet"/>
      </w:pPr>
      <w:r>
        <w:t>substantive compliance costs</w:t>
      </w:r>
    </w:p>
    <w:p w:rsidR="007E7845" w:rsidRDefault="007E7845" w:rsidP="002B3C0A">
      <w:pPr>
        <w:pStyle w:val="ListBullet"/>
      </w:pPr>
      <w:r>
        <w:t>delay costs.</w:t>
      </w:r>
    </w:p>
    <w:p w:rsidR="00EB5798" w:rsidRDefault="00EB5798" w:rsidP="00DD2C71">
      <w:pPr>
        <w:pStyle w:val="BodyText"/>
      </w:pPr>
      <w:r>
        <w:t>Costs associated with the proposed changes that fall under the RBM framework include:</w:t>
      </w:r>
    </w:p>
    <w:p w:rsidR="00EB5798" w:rsidRDefault="00DD2C71" w:rsidP="00D56695">
      <w:pPr>
        <w:pStyle w:val="ListBullet"/>
      </w:pPr>
      <w:r>
        <w:t>the incremental costs associated with meeting the revised minimum standards</w:t>
      </w:r>
      <w:r w:rsidR="00150F7F">
        <w:t xml:space="preserve"> incurred by privately owned buildings (as costs imposed on governments are excluded under the RBM framework, the additional construction costs incurred by government</w:t>
      </w:r>
      <w:r w:rsidR="00150F7F">
        <w:noBreakHyphen/>
        <w:t>owned building must be excluded from the costs estimated above)</w:t>
      </w:r>
    </w:p>
    <w:p w:rsidR="00150F7F" w:rsidRDefault="00EB5798" w:rsidP="00D56695">
      <w:pPr>
        <w:pStyle w:val="ListBullet"/>
      </w:pPr>
      <w:r>
        <w:t>retraining costs incurred by industry</w:t>
      </w:r>
    </w:p>
    <w:p w:rsidR="00DD2C71" w:rsidRDefault="00150F7F" w:rsidP="00D56695">
      <w:pPr>
        <w:pStyle w:val="ListBullet"/>
      </w:pPr>
      <w:r>
        <w:t>these costs</w:t>
      </w:r>
      <w:r w:rsidR="007E7845">
        <w:t xml:space="preserve"> are partly offset by administrative cost savings associated with additional </w:t>
      </w:r>
      <w:r w:rsidR="00C545FB">
        <w:t>V</w:t>
      </w:r>
      <w:r w:rsidR="007E7845">
        <w:t xml:space="preserve">erification </w:t>
      </w:r>
      <w:r w:rsidR="00C545FB">
        <w:t>M</w:t>
      </w:r>
      <w:r w:rsidR="007E7845">
        <w:t>ethods</w:t>
      </w:r>
      <w:r w:rsidR="00DD2C71">
        <w:t>.</w:t>
      </w:r>
    </w:p>
    <w:p w:rsidR="000B585D" w:rsidRDefault="00D95FD9" w:rsidP="00DD2C71">
      <w:pPr>
        <w:pStyle w:val="BodyText"/>
      </w:pPr>
      <w:r>
        <w:t>To exclude additional construction costs incurred by government</w:t>
      </w:r>
      <w:r>
        <w:noBreakHyphen/>
        <w:t>owned buildings</w:t>
      </w:r>
      <w:r w:rsidR="000B585D">
        <w:t>, we estimated the private ownership share for office, education and healthcare buildings by state and territory</w:t>
      </w:r>
      <w:r>
        <w:t xml:space="preserve"> as follows.</w:t>
      </w:r>
    </w:p>
    <w:p w:rsidR="00243B95" w:rsidRDefault="00243B95" w:rsidP="00243B95">
      <w:pPr>
        <w:pStyle w:val="ListBullet"/>
        <w:rPr>
          <w:lang w:bidi="fa-IR"/>
        </w:rPr>
      </w:pPr>
      <w:r>
        <w:rPr>
          <w:lang w:bidi="fa-IR"/>
        </w:rPr>
        <w:t xml:space="preserve">Office building </w:t>
      </w:r>
      <w:r w:rsidR="00D95FD9">
        <w:rPr>
          <w:lang w:bidi="fa-IR"/>
        </w:rPr>
        <w:t>—</w:t>
      </w:r>
      <w:r>
        <w:rPr>
          <w:lang w:bidi="fa-IR"/>
        </w:rPr>
        <w:t xml:space="preserve"> </w:t>
      </w:r>
      <w:r w:rsidR="005C7A16">
        <w:rPr>
          <w:lang w:bidi="fa-IR"/>
        </w:rPr>
        <w:t>w</w:t>
      </w:r>
      <w:r>
        <w:rPr>
          <w:lang w:bidi="fa-IR"/>
        </w:rPr>
        <w:t>e used the government owned and leased office floor space, and occupation data in Australian Government Office Occupancy Report 2017</w:t>
      </w:r>
      <w:r>
        <w:rPr>
          <w:rStyle w:val="FootnoteReference"/>
          <w:lang w:bidi="fa-IR"/>
        </w:rPr>
        <w:footnoteReference w:id="65"/>
      </w:r>
      <w:r>
        <w:rPr>
          <w:lang w:bidi="fa-IR"/>
        </w:rPr>
        <w:t xml:space="preserve"> and ABS data on public sector employment (ABS Cat.No.6248.0.55.002) to estimate the office floor spaces owned by Commonwealth, state and </w:t>
      </w:r>
      <w:r w:rsidR="00C545FB">
        <w:rPr>
          <w:lang w:bidi="fa-IR"/>
        </w:rPr>
        <w:t>territory,</w:t>
      </w:r>
      <w:r>
        <w:rPr>
          <w:lang w:bidi="fa-IR"/>
        </w:rPr>
        <w:t xml:space="preserve"> and local governments in 2017 and </w:t>
      </w:r>
      <w:r w:rsidR="002E1E6B">
        <w:rPr>
          <w:lang w:bidi="fa-IR"/>
        </w:rPr>
        <w:t>compare</w:t>
      </w:r>
      <w:r w:rsidR="00C545FB">
        <w:rPr>
          <w:lang w:bidi="fa-IR"/>
        </w:rPr>
        <w:t>d</w:t>
      </w:r>
      <w:r w:rsidR="002E1E6B">
        <w:rPr>
          <w:lang w:bidi="fa-IR"/>
        </w:rPr>
        <w:t xml:space="preserve"> them to the total office floor space in 2017 to estimate </w:t>
      </w:r>
      <w:r>
        <w:rPr>
          <w:lang w:bidi="fa-IR"/>
        </w:rPr>
        <w:t>the private ownership share;</w:t>
      </w:r>
    </w:p>
    <w:p w:rsidR="00243B95" w:rsidRDefault="00243B95" w:rsidP="00243B95">
      <w:pPr>
        <w:pStyle w:val="ListBullet"/>
        <w:rPr>
          <w:lang w:bidi="fa-IR"/>
        </w:rPr>
      </w:pPr>
      <w:r>
        <w:rPr>
          <w:lang w:bidi="fa-IR"/>
        </w:rPr>
        <w:t>Education building</w:t>
      </w:r>
      <w:r w:rsidR="005C7A16">
        <w:rPr>
          <w:lang w:bidi="fa-IR"/>
        </w:rPr>
        <w:t>s</w:t>
      </w:r>
      <w:r>
        <w:rPr>
          <w:lang w:bidi="fa-IR"/>
        </w:rPr>
        <w:t xml:space="preserve"> </w:t>
      </w:r>
      <w:r w:rsidR="00D95FD9">
        <w:rPr>
          <w:lang w:bidi="fa-IR"/>
        </w:rPr>
        <w:t>—</w:t>
      </w:r>
      <w:r>
        <w:rPr>
          <w:lang w:bidi="fa-IR"/>
        </w:rPr>
        <w:t xml:space="preserve"> </w:t>
      </w:r>
      <w:r w:rsidR="005C7A16">
        <w:rPr>
          <w:lang w:bidi="fa-IR"/>
        </w:rPr>
        <w:t>w</w:t>
      </w:r>
      <w:r>
        <w:rPr>
          <w:lang w:bidi="fa-IR"/>
        </w:rPr>
        <w:t>e used the ABS data on the number of full time equivalent (FTE) students attending government and non-government schools (ABS Cat.No.4221.0) as a proxy to split the building ownership; and</w:t>
      </w:r>
    </w:p>
    <w:p w:rsidR="00243B95" w:rsidRDefault="00243B95" w:rsidP="00243B95">
      <w:pPr>
        <w:pStyle w:val="ListBullet"/>
        <w:rPr>
          <w:lang w:bidi="fa-IR"/>
        </w:rPr>
      </w:pPr>
      <w:r>
        <w:rPr>
          <w:lang w:bidi="fa-IR"/>
        </w:rPr>
        <w:t xml:space="preserve">Health buildings </w:t>
      </w:r>
      <w:r w:rsidR="00D95FD9">
        <w:rPr>
          <w:lang w:bidi="fa-IR"/>
        </w:rPr>
        <w:t>—</w:t>
      </w:r>
      <w:r>
        <w:rPr>
          <w:lang w:bidi="fa-IR"/>
        </w:rPr>
        <w:t xml:space="preserve"> </w:t>
      </w:r>
      <w:r w:rsidR="005C7A16">
        <w:rPr>
          <w:lang w:bidi="fa-IR"/>
        </w:rPr>
        <w:t>n</w:t>
      </w:r>
      <w:r>
        <w:rPr>
          <w:lang w:bidi="fa-IR"/>
        </w:rPr>
        <w:t xml:space="preserve">o data available for state </w:t>
      </w:r>
      <w:r w:rsidR="00C545FB">
        <w:rPr>
          <w:lang w:bidi="fa-IR"/>
        </w:rPr>
        <w:t>and territory</w:t>
      </w:r>
      <w:r>
        <w:rPr>
          <w:lang w:bidi="fa-IR"/>
        </w:rPr>
        <w:t xml:space="preserve"> level breakdown between private and public hospital</w:t>
      </w:r>
      <w:r w:rsidR="00C54D28">
        <w:rPr>
          <w:lang w:bidi="fa-IR"/>
        </w:rPr>
        <w:t xml:space="preserve"> bed</w:t>
      </w:r>
      <w:r>
        <w:rPr>
          <w:lang w:bidi="fa-IR"/>
        </w:rPr>
        <w:t>s. As a result, we used the national hospital beds data from Australian Institute of Health and Welfare (AIHW)</w:t>
      </w:r>
      <w:r>
        <w:rPr>
          <w:rStyle w:val="FootnoteReference"/>
          <w:lang w:bidi="fa-IR"/>
        </w:rPr>
        <w:footnoteReference w:id="66"/>
      </w:r>
      <w:r>
        <w:rPr>
          <w:lang w:bidi="fa-IR"/>
        </w:rPr>
        <w:t xml:space="preserve"> as a proxy to split the ownership of healthcare buildings and assumed the same share for all states and territories.</w:t>
      </w:r>
    </w:p>
    <w:p w:rsidR="00243B95" w:rsidRDefault="00243B95" w:rsidP="00243B95">
      <w:pPr>
        <w:pStyle w:val="BodyText"/>
        <w:rPr>
          <w:lang w:bidi="fa-IR"/>
        </w:rPr>
      </w:pPr>
      <w:r>
        <w:rPr>
          <w:lang w:bidi="fa-IR"/>
        </w:rPr>
        <w:t xml:space="preserve">Table </w:t>
      </w:r>
      <w:r>
        <w:rPr>
          <w:lang w:bidi="fa-IR"/>
        </w:rPr>
        <w:fldChar w:fldCharType="begin"/>
      </w:r>
      <w:r>
        <w:rPr>
          <w:lang w:bidi="fa-IR"/>
        </w:rPr>
        <w:instrText xml:space="preserve"> REF _Caption5918 </w:instrText>
      </w:r>
      <w:r>
        <w:rPr>
          <w:lang w:bidi="fa-IR"/>
        </w:rPr>
        <w:fldChar w:fldCharType="separate"/>
      </w:r>
      <w:r w:rsidR="006B79B8">
        <w:rPr>
          <w:noProof/>
        </w:rPr>
        <w:t>8</w:t>
      </w:r>
      <w:r w:rsidR="006B79B8" w:rsidRPr="00695C93">
        <w:rPr>
          <w:noProof/>
        </w:rPr>
        <w:t>.</w:t>
      </w:r>
      <w:r w:rsidR="006B79B8">
        <w:rPr>
          <w:noProof/>
        </w:rPr>
        <w:t>18</w:t>
      </w:r>
      <w:r>
        <w:rPr>
          <w:lang w:bidi="fa-IR"/>
        </w:rPr>
        <w:fldChar w:fldCharType="end"/>
      </w:r>
      <w:r>
        <w:rPr>
          <w:lang w:bidi="fa-IR"/>
        </w:rPr>
        <w:t xml:space="preserve"> reports the share of non-government owned buildings. On average non-government owned buildings account for more than three quarters of office building, about one third of education and health buildings.</w:t>
      </w:r>
    </w:p>
    <w:p w:rsidR="00243B95" w:rsidRDefault="00243B95" w:rsidP="00243B95">
      <w:pPr>
        <w:pStyle w:val="Caption"/>
      </w:pPr>
      <w:r w:rsidRPr="00695C93">
        <w:fldChar w:fldCharType="begin"/>
      </w:r>
      <w:r w:rsidRPr="00695C93">
        <w:instrText xml:space="preserve"> IF 1 = 1 "</w:instrText>
      </w:r>
      <w:r w:rsidRPr="00695C93">
        <w:fldChar w:fldCharType="begin"/>
      </w:r>
      <w:r w:rsidRPr="00695C93">
        <w:instrText xml:space="preserve"> IF </w:instrText>
      </w:r>
      <w:r w:rsidR="00025FD2">
        <w:rPr>
          <w:noProof/>
        </w:rPr>
        <w:fldChar w:fldCharType="begin"/>
      </w:r>
      <w:r w:rsidR="00025FD2">
        <w:rPr>
          <w:noProof/>
        </w:rPr>
        <w:instrText xml:space="preserve"> STYLEREF "Heading 6" \l \n </w:instrText>
      </w:r>
      <w:r w:rsidR="00025FD2">
        <w:rPr>
          <w:noProof/>
        </w:rPr>
        <w:fldChar w:fldCharType="separate"/>
      </w:r>
      <w:r w:rsidR="00B833F1">
        <w:rPr>
          <w:noProof/>
        </w:rPr>
        <w:instrText>0</w:instrText>
      </w:r>
      <w:r w:rsidR="00025FD2">
        <w:rPr>
          <w:noProof/>
        </w:rPr>
        <w:fldChar w:fldCharType="end"/>
      </w:r>
      <w:r w:rsidRPr="00695C93">
        <w:instrText xml:space="preserve"> = 0 "</w:instrText>
      </w:r>
      <w:r w:rsidRPr="00695C93">
        <w:fldChar w:fldCharType="begin"/>
      </w:r>
      <w:r w:rsidRPr="00695C93">
        <w:instrText xml:space="preserve"> IF </w:instrText>
      </w:r>
      <w:r w:rsidR="00025FD2">
        <w:rPr>
          <w:noProof/>
        </w:rPr>
        <w:fldChar w:fldCharType="begin"/>
      </w:r>
      <w:r w:rsidR="00025FD2">
        <w:rPr>
          <w:noProof/>
        </w:rPr>
        <w:instrText xml:space="preserve"> STYLEREF "Heading 1" \l \n </w:instrText>
      </w:r>
      <w:r w:rsidR="00025FD2">
        <w:rPr>
          <w:noProof/>
        </w:rPr>
        <w:fldChar w:fldCharType="separate"/>
      </w:r>
      <w:r w:rsidR="00B833F1">
        <w:rPr>
          <w:noProof/>
        </w:rPr>
        <w:instrText>8</w:instrText>
      </w:r>
      <w:r w:rsidR="00025FD2">
        <w:rPr>
          <w:noProof/>
        </w:rPr>
        <w:fldChar w:fldCharType="end"/>
      </w:r>
      <w:r w:rsidRPr="00695C93">
        <w:instrText xml:space="preserve"> = 0 "" "</w:instrText>
      </w:r>
      <w:r w:rsidR="00025FD2">
        <w:rPr>
          <w:noProof/>
        </w:rPr>
        <w:fldChar w:fldCharType="begin"/>
      </w:r>
      <w:r w:rsidR="00025FD2">
        <w:rPr>
          <w:noProof/>
        </w:rPr>
        <w:instrText xml:space="preserve"> STYLEREF "Heading 1" \l \n </w:instrText>
      </w:r>
      <w:r w:rsidR="00025FD2">
        <w:rPr>
          <w:noProof/>
        </w:rPr>
        <w:fldChar w:fldCharType="separate"/>
      </w:r>
      <w:r w:rsidR="00B833F1">
        <w:rPr>
          <w:noProof/>
        </w:rPr>
        <w:instrText>8</w:instrText>
      </w:r>
      <w:r w:rsidR="00025FD2">
        <w:rPr>
          <w:noProof/>
        </w:rPr>
        <w:fldChar w:fldCharType="end"/>
      </w:r>
      <w:r w:rsidRPr="00695C93">
        <w:instrText xml:space="preserve">." </w:instrText>
      </w:r>
      <w:r w:rsidRPr="00695C93">
        <w:fldChar w:fldCharType="separate"/>
      </w:r>
      <w:r w:rsidR="00B833F1">
        <w:rPr>
          <w:noProof/>
        </w:rPr>
        <w:instrText>8</w:instrText>
      </w:r>
      <w:r w:rsidR="00B833F1" w:rsidRPr="00695C93">
        <w:rPr>
          <w:noProof/>
        </w:rPr>
        <w:instrText>.</w:instrText>
      </w:r>
      <w:r w:rsidRPr="00695C93">
        <w:fldChar w:fldCharType="end"/>
      </w:r>
      <w:r w:rsidRPr="00695C93">
        <w:instrText>" "</w:instrText>
      </w:r>
      <w:r w:rsidR="001F6F43">
        <w:fldChar w:fldCharType="begin"/>
      </w:r>
      <w:r w:rsidR="001F6F43">
        <w:instrText xml:space="preserve"> STYLEREF "Heading 6" \l \n </w:instrText>
      </w:r>
      <w:r w:rsidR="001F6F43">
        <w:fldChar w:fldCharType="separate"/>
      </w:r>
      <w:r w:rsidRPr="00695C93">
        <w:instrText>B</w:instrText>
      </w:r>
      <w:r w:rsidR="001F6F43">
        <w:fldChar w:fldCharType="end"/>
      </w:r>
      <w:r w:rsidRPr="00695C93">
        <w:instrText xml:space="preserve">." </w:instrText>
      </w:r>
      <w:r w:rsidRPr="00695C93">
        <w:fldChar w:fldCharType="separate"/>
      </w:r>
      <w:r w:rsidR="00EA42ED">
        <w:rPr>
          <w:noProof/>
        </w:rPr>
        <w:instrText>8</w:instrText>
      </w:r>
      <w:r w:rsidR="00EA42ED"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025FD2">
        <w:rPr>
          <w:noProof/>
        </w:rPr>
        <w:fldChar w:fldCharType="begin"/>
      </w:r>
      <w:r w:rsidR="00025FD2">
        <w:rPr>
          <w:noProof/>
        </w:rPr>
        <w:instrText xml:space="preserve"> STYLEREF "Heading 6" \l \n </w:instrText>
      </w:r>
      <w:r w:rsidR="00025FD2">
        <w:rPr>
          <w:noProof/>
        </w:rPr>
        <w:fldChar w:fldCharType="separate"/>
      </w:r>
      <w:r w:rsidR="00B833F1">
        <w:rPr>
          <w:noProof/>
        </w:rPr>
        <w:instrText>0</w:instrText>
      </w:r>
      <w:r w:rsidR="00025FD2">
        <w:rPr>
          <w:noProof/>
        </w:rPr>
        <w:fldChar w:fldCharType="end"/>
      </w:r>
      <w:r w:rsidRPr="00695C93">
        <w:instrText xml:space="preserve"> = 0 "</w:instrText>
      </w:r>
      <w:r w:rsidRPr="00695C93">
        <w:fldChar w:fldCharType="begin"/>
      </w:r>
      <w:r w:rsidRPr="00695C93">
        <w:instrText xml:space="preserve"> IF </w:instrText>
      </w:r>
      <w:r w:rsidR="00025FD2">
        <w:rPr>
          <w:noProof/>
        </w:rPr>
        <w:fldChar w:fldCharType="begin"/>
      </w:r>
      <w:r w:rsidR="00025FD2">
        <w:rPr>
          <w:noProof/>
        </w:rPr>
        <w:instrText xml:space="preserve"> STYLEREF "Heading 1" \l \n </w:instrText>
      </w:r>
      <w:r w:rsidR="00025FD2">
        <w:rPr>
          <w:noProof/>
        </w:rPr>
        <w:fldChar w:fldCharType="separate"/>
      </w:r>
      <w:r w:rsidR="00B833F1">
        <w:rPr>
          <w:noProof/>
        </w:rPr>
        <w:instrText>8</w:instrText>
      </w:r>
      <w:r w:rsidR="00025FD2">
        <w:rPr>
          <w:noProof/>
        </w:rPr>
        <w:fldChar w:fldCharType="end"/>
      </w:r>
      <w:r w:rsidRPr="00695C93">
        <w:instrText xml:space="preserve"> = 0 "" "1" </w:instrText>
      </w:r>
      <w:r w:rsidRPr="00695C93">
        <w:fldChar w:fldCharType="separate"/>
      </w:r>
      <w:r w:rsidR="00EA42ED" w:rsidRPr="00695C93">
        <w:rPr>
          <w:noProof/>
        </w:rPr>
        <w:instrText>1</w:instrText>
      </w:r>
      <w:r w:rsidRPr="00695C93">
        <w:fldChar w:fldCharType="end"/>
      </w:r>
      <w:r w:rsidRPr="00695C93">
        <w:instrText xml:space="preserve">" "6" </w:instrText>
      </w:r>
      <w:r w:rsidRPr="00695C93">
        <w:fldChar w:fldCharType="separate"/>
      </w:r>
      <w:r w:rsidR="00EA42ED" w:rsidRPr="00695C93">
        <w:rPr>
          <w:noProof/>
        </w:rPr>
        <w:instrText>1</w:instrText>
      </w:r>
      <w:r w:rsidRPr="00695C93">
        <w:fldChar w:fldCharType="end"/>
      </w:r>
      <w:r w:rsidRPr="00695C93">
        <w:instrText xml:space="preserve"> </w:instrText>
      </w:r>
      <w:r w:rsidRPr="00695C93">
        <w:fldChar w:fldCharType="separate"/>
      </w:r>
      <w:r w:rsidR="00B833F1">
        <w:rPr>
          <w:noProof/>
        </w:rPr>
        <w:instrText>18</w:instrText>
      </w:r>
      <w:r w:rsidRPr="00695C93">
        <w:fldChar w:fldCharType="end"/>
      </w:r>
      <w:r w:rsidRPr="00695C93">
        <w:instrText xml:space="preserve">" "" </w:instrText>
      </w:r>
      <w:r w:rsidRPr="00695C93">
        <w:fldChar w:fldCharType="separate"/>
      </w:r>
      <w:bookmarkStart w:id="4158" w:name="_Caption3642"/>
      <w:bookmarkStart w:id="4159" w:name="_Caption5918"/>
      <w:bookmarkStart w:id="4160" w:name="_Caption6615"/>
      <w:bookmarkStart w:id="4161" w:name="_Caption6524"/>
      <w:bookmarkStart w:id="4162" w:name="_Caption6356"/>
      <w:bookmarkStart w:id="4163" w:name="_Caption1650"/>
      <w:bookmarkStart w:id="4164" w:name="_Caption8759"/>
      <w:bookmarkStart w:id="4165" w:name="_Caption5999"/>
      <w:bookmarkStart w:id="4166" w:name="_Caption2388"/>
      <w:bookmarkStart w:id="4167" w:name="_Caption4521"/>
      <w:bookmarkStart w:id="4168" w:name="_Caption9776"/>
      <w:bookmarkStart w:id="4169" w:name="_Caption9976"/>
      <w:bookmarkStart w:id="4170" w:name="_Caption9156"/>
      <w:bookmarkStart w:id="4171" w:name="_Caption4484"/>
      <w:bookmarkStart w:id="4172" w:name="_Caption3945"/>
      <w:bookmarkStart w:id="4173" w:name="_Caption6573"/>
      <w:bookmarkStart w:id="4174" w:name="_Toc529869957"/>
      <w:bookmarkStart w:id="4175" w:name="_Toc530748453"/>
      <w:r w:rsidR="00EA42ED">
        <w:rPr>
          <w:noProof/>
        </w:rPr>
        <w:t>8</w:t>
      </w:r>
      <w:r w:rsidR="00EA42ED" w:rsidRPr="00695C93">
        <w:rPr>
          <w:noProof/>
        </w:rPr>
        <w:t>.</w:t>
      </w:r>
      <w:r w:rsidR="00EA42ED">
        <w:rPr>
          <w:noProof/>
        </w:rPr>
        <w:t>18</w:t>
      </w:r>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r w:rsidRPr="00695C93">
        <w:fldChar w:fldCharType="end"/>
      </w:r>
      <w:r w:rsidRPr="00695C93">
        <w:tab/>
      </w:r>
      <w:r>
        <w:t>Share of non-government owned buildings</w:t>
      </w:r>
      <w:bookmarkEnd w:id="4174"/>
      <w:bookmarkEnd w:id="4175"/>
    </w:p>
    <w:tbl>
      <w:tblPr>
        <w:tblW w:w="7938" w:type="dxa"/>
        <w:tblLook w:val="04A0" w:firstRow="1" w:lastRow="0" w:firstColumn="1" w:lastColumn="0" w:noHBand="0" w:noVBand="1"/>
        <w:tblCaption w:val="Table 8.18: Share of non-government owned buildings"/>
        <w:tblDescription w:val="This table shows the estimated number of government owned buildings in Australia. This is estimated to be 77% of office buildings, 34% of education buildings and 35% of healthcare buildings. "/>
      </w:tblPr>
      <w:tblGrid>
        <w:gridCol w:w="2223"/>
        <w:gridCol w:w="1905"/>
        <w:gridCol w:w="1905"/>
        <w:gridCol w:w="1905"/>
      </w:tblGrid>
      <w:tr w:rsidR="00243B95" w:rsidRPr="00413E7B" w:rsidTr="007257CE">
        <w:trPr>
          <w:trHeight w:val="245"/>
          <w:tblHeader/>
        </w:trPr>
        <w:tc>
          <w:tcPr>
            <w:tcW w:w="2223" w:type="dxa"/>
            <w:shd w:val="clear" w:color="auto" w:fill="6F6652"/>
            <w:noWrap/>
            <w:tcMar>
              <w:left w:w="57" w:type="dxa"/>
              <w:right w:w="57" w:type="dxa"/>
            </w:tcMar>
            <w:hideMark/>
          </w:tcPr>
          <w:p w:rsidR="00243B95" w:rsidRPr="00413E7B" w:rsidRDefault="00243B95" w:rsidP="007257CE">
            <w:pPr>
              <w:pStyle w:val="TableDataColumnHeading"/>
              <w:jc w:val="left"/>
            </w:pPr>
          </w:p>
        </w:tc>
        <w:tc>
          <w:tcPr>
            <w:tcW w:w="1905" w:type="dxa"/>
            <w:shd w:val="clear" w:color="auto" w:fill="6F6652"/>
            <w:noWrap/>
            <w:tcMar>
              <w:left w:w="57" w:type="dxa"/>
              <w:right w:w="57" w:type="dxa"/>
            </w:tcMar>
            <w:hideMark/>
          </w:tcPr>
          <w:p w:rsidR="00243B95" w:rsidRPr="00413E7B" w:rsidRDefault="00243B95" w:rsidP="007257CE">
            <w:pPr>
              <w:pStyle w:val="TableDataColumnHeading"/>
              <w:rPr>
                <w:szCs w:val="16"/>
              </w:rPr>
            </w:pPr>
            <w:r w:rsidRPr="00413E7B">
              <w:rPr>
                <w:szCs w:val="16"/>
              </w:rPr>
              <w:t>Office</w:t>
            </w:r>
          </w:p>
        </w:tc>
        <w:tc>
          <w:tcPr>
            <w:tcW w:w="1905" w:type="dxa"/>
            <w:shd w:val="clear" w:color="auto" w:fill="6F6652"/>
            <w:noWrap/>
            <w:tcMar>
              <w:left w:w="57" w:type="dxa"/>
              <w:right w:w="57" w:type="dxa"/>
            </w:tcMar>
            <w:hideMark/>
          </w:tcPr>
          <w:p w:rsidR="00243B95" w:rsidRPr="00413E7B" w:rsidRDefault="00243B95" w:rsidP="007257CE">
            <w:pPr>
              <w:pStyle w:val="TableDataColumnHeading"/>
              <w:rPr>
                <w:szCs w:val="16"/>
              </w:rPr>
            </w:pPr>
            <w:r w:rsidRPr="00413E7B">
              <w:rPr>
                <w:szCs w:val="16"/>
              </w:rPr>
              <w:t>Education</w:t>
            </w:r>
          </w:p>
        </w:tc>
        <w:tc>
          <w:tcPr>
            <w:tcW w:w="1905" w:type="dxa"/>
            <w:shd w:val="clear" w:color="auto" w:fill="6F6652"/>
            <w:noWrap/>
            <w:tcMar>
              <w:left w:w="57" w:type="dxa"/>
              <w:right w:w="57" w:type="dxa"/>
            </w:tcMar>
            <w:hideMark/>
          </w:tcPr>
          <w:p w:rsidR="00243B95" w:rsidRPr="00413E7B" w:rsidRDefault="00243B95" w:rsidP="007257CE">
            <w:pPr>
              <w:pStyle w:val="TableDataColumnHeading"/>
              <w:rPr>
                <w:szCs w:val="16"/>
              </w:rPr>
            </w:pPr>
            <w:r w:rsidRPr="00413E7B">
              <w:rPr>
                <w:szCs w:val="16"/>
              </w:rPr>
              <w:t>Health</w:t>
            </w:r>
          </w:p>
        </w:tc>
      </w:tr>
      <w:tr w:rsidR="00243B95" w:rsidRPr="00413E7B" w:rsidTr="007257CE">
        <w:trPr>
          <w:trHeight w:val="245"/>
        </w:trPr>
        <w:tc>
          <w:tcPr>
            <w:tcW w:w="2223" w:type="dxa"/>
            <w:tcBorders>
              <w:bottom w:val="single" w:sz="8" w:space="0" w:color="FFFFFF" w:themeColor="background1"/>
            </w:tcBorders>
            <w:shd w:val="clear" w:color="auto" w:fill="auto"/>
            <w:noWrap/>
            <w:tcMar>
              <w:left w:w="57" w:type="dxa"/>
              <w:right w:w="57" w:type="dxa"/>
            </w:tcMar>
          </w:tcPr>
          <w:p w:rsidR="00243B95" w:rsidRPr="00413E7B" w:rsidRDefault="00243B95" w:rsidP="007257CE">
            <w:pPr>
              <w:pStyle w:val="TableUnit"/>
              <w:jc w:val="left"/>
            </w:pPr>
          </w:p>
        </w:tc>
        <w:tc>
          <w:tcPr>
            <w:tcW w:w="1905" w:type="dxa"/>
            <w:tcBorders>
              <w:bottom w:val="single" w:sz="8" w:space="0" w:color="FFFFFF" w:themeColor="background1"/>
            </w:tcBorders>
            <w:shd w:val="clear" w:color="auto" w:fill="auto"/>
            <w:noWrap/>
            <w:tcMar>
              <w:left w:w="57" w:type="dxa"/>
              <w:right w:w="57" w:type="dxa"/>
            </w:tcMar>
          </w:tcPr>
          <w:p w:rsidR="00243B95" w:rsidRPr="00413E7B" w:rsidRDefault="005C7A16" w:rsidP="007257CE">
            <w:pPr>
              <w:pStyle w:val="TableUnit"/>
            </w:pPr>
            <w:r>
              <w:t>Per cent</w:t>
            </w:r>
          </w:p>
        </w:tc>
        <w:tc>
          <w:tcPr>
            <w:tcW w:w="1905" w:type="dxa"/>
            <w:tcBorders>
              <w:bottom w:val="single" w:sz="8" w:space="0" w:color="FFFFFF" w:themeColor="background1"/>
            </w:tcBorders>
            <w:shd w:val="clear" w:color="auto" w:fill="auto"/>
            <w:noWrap/>
            <w:tcMar>
              <w:left w:w="57" w:type="dxa"/>
              <w:right w:w="57" w:type="dxa"/>
            </w:tcMar>
          </w:tcPr>
          <w:p w:rsidR="00243B95" w:rsidRPr="00413E7B" w:rsidRDefault="005C7A16" w:rsidP="007257CE">
            <w:pPr>
              <w:pStyle w:val="TableUnit"/>
            </w:pPr>
            <w:r>
              <w:t>Per cent</w:t>
            </w:r>
          </w:p>
        </w:tc>
        <w:tc>
          <w:tcPr>
            <w:tcW w:w="1905" w:type="dxa"/>
            <w:tcBorders>
              <w:bottom w:val="single" w:sz="8" w:space="0" w:color="FFFFFF" w:themeColor="background1"/>
            </w:tcBorders>
            <w:shd w:val="clear" w:color="auto" w:fill="auto"/>
            <w:noWrap/>
            <w:tcMar>
              <w:left w:w="57" w:type="dxa"/>
              <w:right w:w="57" w:type="dxa"/>
            </w:tcMar>
          </w:tcPr>
          <w:p w:rsidR="00243B95" w:rsidRPr="00413E7B" w:rsidRDefault="005C7A16" w:rsidP="007257CE">
            <w:pPr>
              <w:pStyle w:val="TableUnit"/>
            </w:pPr>
            <w:r>
              <w:t>Per cent</w:t>
            </w:r>
          </w:p>
        </w:tc>
      </w:tr>
      <w:tr w:rsidR="00243B95" w:rsidRPr="00413E7B" w:rsidTr="007257CE">
        <w:trPr>
          <w:trHeight w:val="245"/>
        </w:trPr>
        <w:tc>
          <w:tcPr>
            <w:tcW w:w="22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243B95" w:rsidRPr="00413E7B" w:rsidRDefault="00243B95" w:rsidP="007257CE">
            <w:pPr>
              <w:pStyle w:val="TableUnit"/>
              <w:jc w:val="left"/>
            </w:pPr>
            <w:r w:rsidRPr="00413E7B">
              <w:t>NSW</w:t>
            </w:r>
          </w:p>
        </w:tc>
        <w:tc>
          <w:tcPr>
            <w:tcW w:w="190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243B95" w:rsidRPr="00413E7B" w:rsidRDefault="00243B95" w:rsidP="007257CE">
            <w:pPr>
              <w:pStyle w:val="TableUnit"/>
            </w:pPr>
            <w:r w:rsidRPr="00413E7B">
              <w:t xml:space="preserve">84.63 </w:t>
            </w:r>
          </w:p>
        </w:tc>
        <w:tc>
          <w:tcPr>
            <w:tcW w:w="190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243B95" w:rsidRPr="00413E7B" w:rsidRDefault="00243B95" w:rsidP="007257CE">
            <w:pPr>
              <w:pStyle w:val="TableUnit"/>
            </w:pPr>
            <w:r w:rsidRPr="00413E7B">
              <w:t xml:space="preserve">34.54 </w:t>
            </w:r>
          </w:p>
        </w:tc>
        <w:tc>
          <w:tcPr>
            <w:tcW w:w="190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243B95" w:rsidRPr="00413E7B" w:rsidRDefault="00243B95" w:rsidP="007257CE">
            <w:pPr>
              <w:pStyle w:val="TableUnit"/>
            </w:pPr>
            <w:r w:rsidRPr="00413E7B">
              <w:t>34.</w:t>
            </w:r>
            <w:r>
              <w:t>81</w:t>
            </w:r>
            <w:r w:rsidRPr="00413E7B">
              <w:t xml:space="preserve"> </w:t>
            </w:r>
          </w:p>
        </w:tc>
      </w:tr>
      <w:tr w:rsidR="00243B95" w:rsidRPr="00413E7B" w:rsidTr="007257CE">
        <w:trPr>
          <w:trHeight w:val="245"/>
        </w:trPr>
        <w:tc>
          <w:tcPr>
            <w:tcW w:w="22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243B95" w:rsidRPr="00413E7B" w:rsidRDefault="00243B95" w:rsidP="007257CE">
            <w:pPr>
              <w:pStyle w:val="TableDataEntries"/>
              <w:jc w:val="left"/>
            </w:pPr>
            <w:r w:rsidRPr="00413E7B">
              <w:t>Vic</w:t>
            </w:r>
          </w:p>
        </w:tc>
        <w:tc>
          <w:tcPr>
            <w:tcW w:w="190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243B95" w:rsidRPr="00413E7B" w:rsidRDefault="00243B95" w:rsidP="007257CE">
            <w:pPr>
              <w:pStyle w:val="TableDataEntries"/>
            </w:pPr>
            <w:r w:rsidRPr="00413E7B">
              <w:t xml:space="preserve">51.00 </w:t>
            </w:r>
          </w:p>
        </w:tc>
        <w:tc>
          <w:tcPr>
            <w:tcW w:w="190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243B95" w:rsidRPr="00413E7B" w:rsidRDefault="00243B95" w:rsidP="007257CE">
            <w:pPr>
              <w:pStyle w:val="TableDataEntries"/>
            </w:pPr>
            <w:r w:rsidRPr="00413E7B">
              <w:t xml:space="preserve">36.51 </w:t>
            </w:r>
          </w:p>
        </w:tc>
        <w:tc>
          <w:tcPr>
            <w:tcW w:w="190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243B95" w:rsidRPr="00413E7B" w:rsidRDefault="00243B95" w:rsidP="007257CE">
            <w:pPr>
              <w:pStyle w:val="TableDataEntries"/>
            </w:pPr>
            <w:r w:rsidRPr="00413E7B">
              <w:t>34.</w:t>
            </w:r>
            <w:r>
              <w:t>81</w:t>
            </w:r>
            <w:r w:rsidRPr="00413E7B">
              <w:t xml:space="preserve"> </w:t>
            </w:r>
          </w:p>
        </w:tc>
      </w:tr>
      <w:tr w:rsidR="00243B95" w:rsidRPr="00413E7B" w:rsidTr="007257CE">
        <w:trPr>
          <w:trHeight w:val="245"/>
        </w:trPr>
        <w:tc>
          <w:tcPr>
            <w:tcW w:w="22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243B95" w:rsidRPr="00413E7B" w:rsidRDefault="00243B95" w:rsidP="007257CE">
            <w:pPr>
              <w:pStyle w:val="TableDataEntries"/>
              <w:jc w:val="left"/>
            </w:pPr>
            <w:r w:rsidRPr="00413E7B">
              <w:t>Qld</w:t>
            </w:r>
          </w:p>
        </w:tc>
        <w:tc>
          <w:tcPr>
            <w:tcW w:w="190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243B95" w:rsidRPr="00413E7B" w:rsidRDefault="00243B95" w:rsidP="007257CE">
            <w:pPr>
              <w:pStyle w:val="TableDataEntries"/>
            </w:pPr>
            <w:r w:rsidRPr="00413E7B">
              <w:t xml:space="preserve">78.88 </w:t>
            </w:r>
          </w:p>
        </w:tc>
        <w:tc>
          <w:tcPr>
            <w:tcW w:w="190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243B95" w:rsidRPr="00413E7B" w:rsidRDefault="00243B95" w:rsidP="007257CE">
            <w:pPr>
              <w:pStyle w:val="TableDataEntries"/>
            </w:pPr>
            <w:r w:rsidRPr="00413E7B">
              <w:t xml:space="preserve">32.85 </w:t>
            </w:r>
          </w:p>
        </w:tc>
        <w:tc>
          <w:tcPr>
            <w:tcW w:w="190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243B95" w:rsidRPr="00413E7B" w:rsidRDefault="00243B95" w:rsidP="007257CE">
            <w:pPr>
              <w:pStyle w:val="TableDataEntries"/>
            </w:pPr>
            <w:r w:rsidRPr="00413E7B">
              <w:t>34.</w:t>
            </w:r>
            <w:r>
              <w:t>81</w:t>
            </w:r>
            <w:r w:rsidRPr="00413E7B">
              <w:t xml:space="preserve"> </w:t>
            </w:r>
          </w:p>
        </w:tc>
      </w:tr>
      <w:tr w:rsidR="00243B95" w:rsidRPr="00413E7B" w:rsidTr="007257CE">
        <w:trPr>
          <w:trHeight w:val="245"/>
        </w:trPr>
        <w:tc>
          <w:tcPr>
            <w:tcW w:w="22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243B95" w:rsidRPr="00413E7B" w:rsidRDefault="00243B95" w:rsidP="007257CE">
            <w:pPr>
              <w:pStyle w:val="TableDataEntries"/>
              <w:jc w:val="left"/>
            </w:pPr>
            <w:r w:rsidRPr="00413E7B">
              <w:t>SA</w:t>
            </w:r>
          </w:p>
        </w:tc>
        <w:tc>
          <w:tcPr>
            <w:tcW w:w="190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243B95" w:rsidRPr="00413E7B" w:rsidRDefault="00243B95" w:rsidP="007257CE">
            <w:pPr>
              <w:pStyle w:val="TableDataEntries"/>
            </w:pPr>
            <w:r w:rsidRPr="00413E7B">
              <w:t xml:space="preserve">71.87 </w:t>
            </w:r>
          </w:p>
        </w:tc>
        <w:tc>
          <w:tcPr>
            <w:tcW w:w="190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243B95" w:rsidRPr="00413E7B" w:rsidRDefault="00243B95" w:rsidP="007257CE">
            <w:pPr>
              <w:pStyle w:val="TableDataEntries"/>
            </w:pPr>
            <w:r w:rsidRPr="00413E7B">
              <w:t xml:space="preserve">35.05 </w:t>
            </w:r>
          </w:p>
        </w:tc>
        <w:tc>
          <w:tcPr>
            <w:tcW w:w="190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243B95" w:rsidRPr="00413E7B" w:rsidRDefault="00243B95" w:rsidP="007257CE">
            <w:pPr>
              <w:pStyle w:val="TableDataEntries"/>
            </w:pPr>
            <w:r w:rsidRPr="00413E7B">
              <w:t>34.</w:t>
            </w:r>
            <w:r>
              <w:t>81</w:t>
            </w:r>
            <w:r w:rsidRPr="00413E7B">
              <w:t xml:space="preserve"> </w:t>
            </w:r>
          </w:p>
        </w:tc>
      </w:tr>
      <w:tr w:rsidR="00243B95" w:rsidRPr="00413E7B" w:rsidTr="007257CE">
        <w:trPr>
          <w:trHeight w:val="245"/>
        </w:trPr>
        <w:tc>
          <w:tcPr>
            <w:tcW w:w="22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243B95" w:rsidRPr="00413E7B" w:rsidRDefault="00243B95" w:rsidP="007257CE">
            <w:pPr>
              <w:pStyle w:val="TableDataEntries"/>
              <w:jc w:val="left"/>
            </w:pPr>
            <w:r w:rsidRPr="00413E7B">
              <w:t>WA</w:t>
            </w:r>
          </w:p>
        </w:tc>
        <w:tc>
          <w:tcPr>
            <w:tcW w:w="190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243B95" w:rsidRPr="00413E7B" w:rsidRDefault="00243B95" w:rsidP="007257CE">
            <w:pPr>
              <w:pStyle w:val="TableDataEntries"/>
            </w:pPr>
            <w:r w:rsidRPr="00413E7B">
              <w:t xml:space="preserve">77.12 </w:t>
            </w:r>
          </w:p>
        </w:tc>
        <w:tc>
          <w:tcPr>
            <w:tcW w:w="190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243B95" w:rsidRPr="00413E7B" w:rsidRDefault="00243B95" w:rsidP="007257CE">
            <w:pPr>
              <w:pStyle w:val="TableDataEntries"/>
            </w:pPr>
            <w:r w:rsidRPr="00413E7B">
              <w:t xml:space="preserve">33.11 </w:t>
            </w:r>
          </w:p>
        </w:tc>
        <w:tc>
          <w:tcPr>
            <w:tcW w:w="190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243B95" w:rsidRPr="00413E7B" w:rsidRDefault="00243B95" w:rsidP="007257CE">
            <w:pPr>
              <w:pStyle w:val="TableDataEntries"/>
            </w:pPr>
            <w:r w:rsidRPr="00413E7B">
              <w:t>34.</w:t>
            </w:r>
            <w:r>
              <w:t>81</w:t>
            </w:r>
            <w:r w:rsidRPr="00413E7B">
              <w:t xml:space="preserve"> </w:t>
            </w:r>
          </w:p>
        </w:tc>
      </w:tr>
      <w:tr w:rsidR="00243B95" w:rsidRPr="00413E7B" w:rsidTr="007257CE">
        <w:trPr>
          <w:trHeight w:val="245"/>
        </w:trPr>
        <w:tc>
          <w:tcPr>
            <w:tcW w:w="22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243B95" w:rsidRPr="00413E7B" w:rsidRDefault="00243B95" w:rsidP="007257CE">
            <w:pPr>
              <w:pStyle w:val="TableDataEntries"/>
              <w:jc w:val="left"/>
            </w:pPr>
            <w:r w:rsidRPr="00413E7B">
              <w:t>Tas</w:t>
            </w:r>
          </w:p>
        </w:tc>
        <w:tc>
          <w:tcPr>
            <w:tcW w:w="190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243B95" w:rsidRPr="00413E7B" w:rsidRDefault="00243B95" w:rsidP="007257CE">
            <w:pPr>
              <w:pStyle w:val="TableDataEntries"/>
            </w:pPr>
            <w:r w:rsidRPr="00413E7B">
              <w:t xml:space="preserve">37.84 </w:t>
            </w:r>
          </w:p>
        </w:tc>
        <w:tc>
          <w:tcPr>
            <w:tcW w:w="190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243B95" w:rsidRPr="00413E7B" w:rsidRDefault="00243B95" w:rsidP="007257CE">
            <w:pPr>
              <w:pStyle w:val="TableDataEntries"/>
            </w:pPr>
            <w:r w:rsidRPr="00413E7B">
              <w:t xml:space="preserve">30.07 </w:t>
            </w:r>
          </w:p>
        </w:tc>
        <w:tc>
          <w:tcPr>
            <w:tcW w:w="190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243B95" w:rsidRPr="00413E7B" w:rsidRDefault="00243B95" w:rsidP="007257CE">
            <w:pPr>
              <w:pStyle w:val="TableDataEntries"/>
            </w:pPr>
            <w:r w:rsidRPr="00413E7B">
              <w:t>34.</w:t>
            </w:r>
            <w:r>
              <w:t>81</w:t>
            </w:r>
            <w:r w:rsidRPr="00413E7B">
              <w:t xml:space="preserve"> </w:t>
            </w:r>
          </w:p>
        </w:tc>
      </w:tr>
      <w:tr w:rsidR="00243B95" w:rsidRPr="00413E7B" w:rsidTr="007257CE">
        <w:trPr>
          <w:trHeight w:val="245"/>
        </w:trPr>
        <w:tc>
          <w:tcPr>
            <w:tcW w:w="22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243B95" w:rsidRPr="00413E7B" w:rsidRDefault="00243B95" w:rsidP="007257CE">
            <w:pPr>
              <w:pStyle w:val="TableDataEntries"/>
              <w:jc w:val="left"/>
            </w:pPr>
            <w:r w:rsidRPr="00413E7B">
              <w:t>NT</w:t>
            </w:r>
          </w:p>
        </w:tc>
        <w:tc>
          <w:tcPr>
            <w:tcW w:w="190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243B95" w:rsidRPr="00413E7B" w:rsidRDefault="00243B95" w:rsidP="007257CE">
            <w:pPr>
              <w:pStyle w:val="TableDataEntries"/>
            </w:pPr>
            <w:r w:rsidRPr="00413E7B">
              <w:t xml:space="preserve">64.95 </w:t>
            </w:r>
          </w:p>
        </w:tc>
        <w:tc>
          <w:tcPr>
            <w:tcW w:w="190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243B95" w:rsidRPr="00413E7B" w:rsidRDefault="00243B95" w:rsidP="007257CE">
            <w:pPr>
              <w:pStyle w:val="TableDataEntries"/>
            </w:pPr>
            <w:r w:rsidRPr="00413E7B">
              <w:t xml:space="preserve">26.91 </w:t>
            </w:r>
          </w:p>
        </w:tc>
        <w:tc>
          <w:tcPr>
            <w:tcW w:w="190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243B95" w:rsidRPr="00413E7B" w:rsidRDefault="00243B95" w:rsidP="007257CE">
            <w:pPr>
              <w:pStyle w:val="TableDataEntries"/>
            </w:pPr>
            <w:r w:rsidRPr="00413E7B">
              <w:t>34.</w:t>
            </w:r>
            <w:r>
              <w:t>81</w:t>
            </w:r>
            <w:r w:rsidRPr="00413E7B">
              <w:t xml:space="preserve"> </w:t>
            </w:r>
          </w:p>
        </w:tc>
      </w:tr>
      <w:tr w:rsidR="00243B95" w:rsidRPr="00413E7B" w:rsidTr="007257CE">
        <w:trPr>
          <w:trHeight w:val="245"/>
        </w:trPr>
        <w:tc>
          <w:tcPr>
            <w:tcW w:w="22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243B95" w:rsidRPr="00413E7B" w:rsidRDefault="00243B95" w:rsidP="007257CE">
            <w:pPr>
              <w:pStyle w:val="TableDataEntries"/>
              <w:jc w:val="left"/>
            </w:pPr>
            <w:r w:rsidRPr="00413E7B">
              <w:t>ACT</w:t>
            </w:r>
          </w:p>
        </w:tc>
        <w:tc>
          <w:tcPr>
            <w:tcW w:w="190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243B95" w:rsidRPr="00413E7B" w:rsidRDefault="00243B95" w:rsidP="007257CE">
            <w:pPr>
              <w:pStyle w:val="TableDataEntries"/>
            </w:pPr>
            <w:r w:rsidRPr="00413E7B">
              <w:t xml:space="preserve">80.48 </w:t>
            </w:r>
          </w:p>
        </w:tc>
        <w:tc>
          <w:tcPr>
            <w:tcW w:w="190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243B95" w:rsidRPr="00413E7B" w:rsidRDefault="00243B95" w:rsidP="007257CE">
            <w:pPr>
              <w:pStyle w:val="TableDataEntries"/>
            </w:pPr>
            <w:r w:rsidRPr="00413E7B">
              <w:t xml:space="preserve">39.67 </w:t>
            </w:r>
          </w:p>
        </w:tc>
        <w:tc>
          <w:tcPr>
            <w:tcW w:w="190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rsidR="00243B95" w:rsidRPr="00413E7B" w:rsidRDefault="00243B95" w:rsidP="007257CE">
            <w:pPr>
              <w:pStyle w:val="TableDataEntries"/>
            </w:pPr>
            <w:r w:rsidRPr="00413E7B">
              <w:t>34.</w:t>
            </w:r>
            <w:r>
              <w:t>81</w:t>
            </w:r>
            <w:r w:rsidRPr="00413E7B">
              <w:t xml:space="preserve"> </w:t>
            </w:r>
          </w:p>
        </w:tc>
      </w:tr>
      <w:tr w:rsidR="00243B95" w:rsidRPr="00413E7B" w:rsidTr="007257CE">
        <w:trPr>
          <w:trHeight w:val="245"/>
        </w:trPr>
        <w:tc>
          <w:tcPr>
            <w:tcW w:w="2223"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rsidR="00243B95" w:rsidRPr="00413E7B" w:rsidRDefault="00243B95" w:rsidP="007257CE">
            <w:pPr>
              <w:pStyle w:val="TableDataEntries"/>
              <w:jc w:val="left"/>
              <w:rPr>
                <w:rFonts w:ascii="Franklin Gothic Demi" w:hAnsi="Franklin Gothic Demi"/>
              </w:rPr>
            </w:pPr>
            <w:r w:rsidRPr="00413E7B">
              <w:rPr>
                <w:rFonts w:ascii="Franklin Gothic Demi" w:hAnsi="Franklin Gothic Demi"/>
              </w:rPr>
              <w:t>Australia</w:t>
            </w:r>
          </w:p>
        </w:tc>
        <w:tc>
          <w:tcPr>
            <w:tcW w:w="1905"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rsidR="00243B95" w:rsidRPr="00413E7B" w:rsidRDefault="00243B95" w:rsidP="007257CE">
            <w:pPr>
              <w:pStyle w:val="TableDataEntries"/>
              <w:rPr>
                <w:rFonts w:ascii="Franklin Gothic Demi" w:hAnsi="Franklin Gothic Demi"/>
              </w:rPr>
            </w:pPr>
            <w:r w:rsidRPr="00413E7B">
              <w:rPr>
                <w:rFonts w:ascii="Franklin Gothic Demi" w:hAnsi="Franklin Gothic Demi"/>
              </w:rPr>
              <w:t xml:space="preserve">77.36 </w:t>
            </w:r>
          </w:p>
        </w:tc>
        <w:tc>
          <w:tcPr>
            <w:tcW w:w="1905"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rsidR="00243B95" w:rsidRPr="00413E7B" w:rsidRDefault="00243B95" w:rsidP="007257CE">
            <w:pPr>
              <w:pStyle w:val="TableDataEntries"/>
              <w:rPr>
                <w:rFonts w:ascii="Franklin Gothic Demi" w:hAnsi="Franklin Gothic Demi"/>
              </w:rPr>
            </w:pPr>
            <w:r w:rsidRPr="00413E7B">
              <w:rPr>
                <w:rFonts w:ascii="Franklin Gothic Demi" w:hAnsi="Franklin Gothic Demi"/>
              </w:rPr>
              <w:t xml:space="preserve">34.47 </w:t>
            </w:r>
          </w:p>
        </w:tc>
        <w:tc>
          <w:tcPr>
            <w:tcW w:w="1905"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rsidR="00243B95" w:rsidRPr="00413E7B" w:rsidRDefault="00243B95" w:rsidP="007257CE">
            <w:pPr>
              <w:pStyle w:val="TableDataEntries"/>
              <w:rPr>
                <w:rFonts w:ascii="Franklin Gothic Demi" w:hAnsi="Franklin Gothic Demi"/>
              </w:rPr>
            </w:pPr>
            <w:r w:rsidRPr="00413E7B">
              <w:rPr>
                <w:rFonts w:ascii="Franklin Gothic Demi" w:hAnsi="Franklin Gothic Demi"/>
              </w:rPr>
              <w:t>34.</w:t>
            </w:r>
            <w:r w:rsidR="002D7D08">
              <w:rPr>
                <w:rFonts w:ascii="Franklin Gothic Demi" w:hAnsi="Franklin Gothic Demi"/>
              </w:rPr>
              <w:t>81</w:t>
            </w:r>
            <w:r w:rsidRPr="00413E7B">
              <w:rPr>
                <w:rFonts w:ascii="Franklin Gothic Demi" w:hAnsi="Franklin Gothic Demi"/>
              </w:rPr>
              <w:t xml:space="preserve"> </w:t>
            </w:r>
          </w:p>
        </w:tc>
      </w:tr>
    </w:tbl>
    <w:p w:rsidR="00243B95" w:rsidRDefault="00243B95" w:rsidP="00243B95">
      <w:pPr>
        <w:pStyle w:val="Source"/>
        <w:rPr>
          <w:lang w:bidi="fa-IR"/>
        </w:rPr>
      </w:pPr>
      <w:r w:rsidRPr="00413E7B">
        <w:rPr>
          <w:i/>
          <w:lang w:bidi="fa-IR"/>
        </w:rPr>
        <w:t>Source:</w:t>
      </w:r>
      <w:r>
        <w:rPr>
          <w:lang w:bidi="fa-IR"/>
        </w:rPr>
        <w:t xml:space="preserve"> CIE estimates</w:t>
      </w:r>
    </w:p>
    <w:p w:rsidR="00D466CC" w:rsidRDefault="00DD2C71" w:rsidP="00DD2C71">
      <w:pPr>
        <w:pStyle w:val="BodyText"/>
      </w:pPr>
      <w:r>
        <w:t>The annual regulatory burden is estimated by multiplying the estimated cost per square metre of floor space (see table </w:t>
      </w:r>
      <w:r w:rsidR="00025FD2">
        <w:rPr>
          <w:noProof/>
          <w:highlight w:val="yellow"/>
        </w:rPr>
        <w:fldChar w:fldCharType="begin"/>
      </w:r>
      <w:r w:rsidR="00025FD2">
        <w:rPr>
          <w:noProof/>
          <w:highlight w:val="yellow"/>
        </w:rPr>
        <w:instrText xml:space="preserve"> REF _Caption2742 </w:instrText>
      </w:r>
      <w:r w:rsidR="00025FD2">
        <w:rPr>
          <w:noProof/>
          <w:highlight w:val="yellow"/>
        </w:rPr>
        <w:fldChar w:fldCharType="separate"/>
      </w:r>
      <w:r w:rsidR="006B79B8">
        <w:rPr>
          <w:noProof/>
        </w:rPr>
        <w:t>5</w:t>
      </w:r>
      <w:r w:rsidR="006B79B8" w:rsidRPr="007E7845">
        <w:rPr>
          <w:noProof/>
        </w:rPr>
        <w:t>.</w:t>
      </w:r>
      <w:r w:rsidR="006B79B8">
        <w:rPr>
          <w:noProof/>
        </w:rPr>
        <w:t>1</w:t>
      </w:r>
      <w:r w:rsidR="00025FD2">
        <w:rPr>
          <w:noProof/>
          <w:highlight w:val="yellow"/>
        </w:rPr>
        <w:fldChar w:fldCharType="end"/>
      </w:r>
      <w:r>
        <w:t xml:space="preserve"> above) for each building type multiplied by projected commercial building additions and major refurbishments (see appendix E for details)</w:t>
      </w:r>
      <w:r w:rsidR="00243B95">
        <w:t xml:space="preserve"> and the private ownership share as shown in table </w:t>
      </w:r>
      <w:r w:rsidR="00243B95">
        <w:rPr>
          <w:lang w:bidi="fa-IR"/>
        </w:rPr>
        <w:fldChar w:fldCharType="begin"/>
      </w:r>
      <w:r w:rsidR="00243B95">
        <w:rPr>
          <w:lang w:bidi="fa-IR"/>
        </w:rPr>
        <w:instrText xml:space="preserve"> REF _Caption5918 </w:instrText>
      </w:r>
      <w:r w:rsidR="00243B95">
        <w:rPr>
          <w:lang w:bidi="fa-IR"/>
        </w:rPr>
        <w:fldChar w:fldCharType="separate"/>
      </w:r>
      <w:r w:rsidR="006B79B8">
        <w:rPr>
          <w:noProof/>
        </w:rPr>
        <w:t>8</w:t>
      </w:r>
      <w:r w:rsidR="006B79B8" w:rsidRPr="00695C93">
        <w:rPr>
          <w:noProof/>
        </w:rPr>
        <w:t>.</w:t>
      </w:r>
      <w:r w:rsidR="006B79B8">
        <w:rPr>
          <w:noProof/>
        </w:rPr>
        <w:t>18</w:t>
      </w:r>
      <w:r w:rsidR="00243B95">
        <w:rPr>
          <w:lang w:bidi="fa-IR"/>
        </w:rPr>
        <w:fldChar w:fldCharType="end"/>
      </w:r>
      <w:r>
        <w:t xml:space="preserve">. </w:t>
      </w:r>
      <w:r w:rsidR="00D466CC">
        <w:t>This is then a</w:t>
      </w:r>
      <w:r>
        <w:t>veraged over the ten</w:t>
      </w:r>
      <w:r>
        <w:noBreakHyphen/>
        <w:t>year regulatory period (as required by OBPR)</w:t>
      </w:r>
      <w:r w:rsidR="00D466CC">
        <w:t>.</w:t>
      </w:r>
    </w:p>
    <w:p w:rsidR="00D466CC" w:rsidRDefault="00D466CC" w:rsidP="00DD2C71">
      <w:pPr>
        <w:pStyle w:val="BodyText"/>
      </w:pPr>
      <w:r>
        <w:t>One</w:t>
      </w:r>
      <w:r>
        <w:noBreakHyphen/>
        <w:t>off industry re</w:t>
      </w:r>
      <w:r>
        <w:noBreakHyphen/>
        <w:t xml:space="preserve">training costs are also divided by ten (reflecting the ten year regulatory period) to </w:t>
      </w:r>
      <w:r w:rsidR="00BF2EA1">
        <w:t>obtain an annual cost estimate, consistent with OBPR Guidelines.</w:t>
      </w:r>
    </w:p>
    <w:p w:rsidR="00DD2C71" w:rsidRDefault="00BF2EA1" w:rsidP="00DD2C71">
      <w:pPr>
        <w:pStyle w:val="BodyText"/>
      </w:pPr>
      <w:r>
        <w:t>T</w:t>
      </w:r>
      <w:r w:rsidR="00DD2C71">
        <w:t xml:space="preserve">he average additional regulatory burden on businesses </w:t>
      </w:r>
      <w:r w:rsidR="00015742">
        <w:t>from the proposed changes to the NCC is around $</w:t>
      </w:r>
      <w:r w:rsidR="00D466CC">
        <w:t>40.5</w:t>
      </w:r>
      <w:r w:rsidR="00015742">
        <w:t> million per year (table </w:t>
      </w:r>
      <w:r w:rsidR="00CE55B1">
        <w:rPr>
          <w:noProof/>
        </w:rPr>
        <w:fldChar w:fldCharType="begin"/>
      </w:r>
      <w:r w:rsidR="00CE55B1">
        <w:rPr>
          <w:noProof/>
        </w:rPr>
        <w:instrText xml:space="preserve"> REF _Caption5187 </w:instrText>
      </w:r>
      <w:r w:rsidR="00CE55B1">
        <w:rPr>
          <w:noProof/>
        </w:rPr>
        <w:fldChar w:fldCharType="separate"/>
      </w:r>
      <w:r w:rsidR="006B79B8">
        <w:rPr>
          <w:noProof/>
        </w:rPr>
        <w:t>8</w:t>
      </w:r>
      <w:r w:rsidR="006B79B8" w:rsidRPr="00695C93">
        <w:rPr>
          <w:noProof/>
        </w:rPr>
        <w:t>.</w:t>
      </w:r>
      <w:r w:rsidR="006B79B8">
        <w:rPr>
          <w:noProof/>
        </w:rPr>
        <w:t>19</w:t>
      </w:r>
      <w:r w:rsidR="00CE55B1">
        <w:rPr>
          <w:noProof/>
        </w:rPr>
        <w:fldChar w:fldCharType="end"/>
      </w:r>
      <w:r w:rsidR="007E7845">
        <w:t xml:space="preserve">). </w:t>
      </w:r>
      <w:r w:rsidR="00242508">
        <w:t xml:space="preserve">The Commonwealths </w:t>
      </w:r>
      <w:r>
        <w:t>s</w:t>
      </w:r>
      <w:r w:rsidR="00242508">
        <w:t xml:space="preserve">hare of this </w:t>
      </w:r>
      <w:r w:rsidR="00537C50">
        <w:t>regulatory</w:t>
      </w:r>
      <w:r w:rsidR="00242508">
        <w:t xml:space="preserve"> burden is $4.</w:t>
      </w:r>
      <w:r>
        <w:t>5</w:t>
      </w:r>
      <w:r w:rsidR="00242508">
        <w:t xml:space="preserve"> million or 1/9</w:t>
      </w:r>
      <w:r w:rsidR="00242508" w:rsidRPr="002B3C0A">
        <w:rPr>
          <w:vertAlign w:val="superscript"/>
        </w:rPr>
        <w:t>th</w:t>
      </w:r>
      <w:r w:rsidR="00242508">
        <w:t xml:space="preserve"> of the regulatory burden.</w:t>
      </w:r>
    </w:p>
    <w:p w:rsidR="00831D96" w:rsidRDefault="00831D96" w:rsidP="00831D96">
      <w:pPr>
        <w:pStyle w:val="Caption"/>
      </w:pPr>
      <w:r w:rsidRPr="00695C93">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sidR="00B833F1">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sidR="00B833F1">
        <w:rPr>
          <w:noProof/>
        </w:rPr>
        <w:instrText>8</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sidR="00B833F1">
        <w:rPr>
          <w:noProof/>
        </w:rPr>
        <w:instrText>8</w:instrText>
      </w:r>
      <w:r>
        <w:rPr>
          <w:noProof/>
        </w:rPr>
        <w:fldChar w:fldCharType="end"/>
      </w:r>
      <w:r w:rsidRPr="00695C93">
        <w:instrText xml:space="preserve">." </w:instrText>
      </w:r>
      <w:r w:rsidRPr="00695C93">
        <w:fldChar w:fldCharType="separate"/>
      </w:r>
      <w:r w:rsidR="00B833F1">
        <w:rPr>
          <w:noProof/>
        </w:rPr>
        <w:instrText>8</w:instrText>
      </w:r>
      <w:r w:rsidR="00B833F1" w:rsidRPr="00695C93">
        <w:rPr>
          <w:noProof/>
        </w:rPr>
        <w:instrText>.</w:instrText>
      </w:r>
      <w:r w:rsidRPr="00695C93">
        <w:fldChar w:fldCharType="end"/>
      </w:r>
      <w:r w:rsidRPr="00695C93">
        <w:instrText>" "</w:instrText>
      </w:r>
      <w:r w:rsidR="001F6F43">
        <w:fldChar w:fldCharType="begin"/>
      </w:r>
      <w:r w:rsidR="001F6F43">
        <w:instrText xml:space="preserve"> STYLEREF "Heading 6" \l \n </w:instrText>
      </w:r>
      <w:r w:rsidR="001F6F43">
        <w:fldChar w:fldCharType="separate"/>
      </w:r>
      <w:r w:rsidRPr="00695C93">
        <w:instrText>B</w:instrText>
      </w:r>
      <w:r w:rsidR="001F6F43">
        <w:fldChar w:fldCharType="end"/>
      </w:r>
      <w:r w:rsidRPr="00695C93">
        <w:instrText xml:space="preserve">." </w:instrText>
      </w:r>
      <w:r w:rsidRPr="00695C93">
        <w:fldChar w:fldCharType="separate"/>
      </w:r>
      <w:r w:rsidR="00EA42ED">
        <w:rPr>
          <w:noProof/>
        </w:rPr>
        <w:instrText>8</w:instrText>
      </w:r>
      <w:r w:rsidR="00EA42ED"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sidR="00B833F1">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sidR="00B833F1">
        <w:rPr>
          <w:noProof/>
        </w:rPr>
        <w:instrText>8</w:instrText>
      </w:r>
      <w:r>
        <w:rPr>
          <w:noProof/>
        </w:rPr>
        <w:fldChar w:fldCharType="end"/>
      </w:r>
      <w:r w:rsidRPr="00695C93">
        <w:instrText xml:space="preserve"> = 0 "" "1" </w:instrText>
      </w:r>
      <w:r w:rsidRPr="00695C93">
        <w:fldChar w:fldCharType="separate"/>
      </w:r>
      <w:r w:rsidR="00EA42ED" w:rsidRPr="00695C93">
        <w:rPr>
          <w:noProof/>
        </w:rPr>
        <w:instrText>1</w:instrText>
      </w:r>
      <w:r w:rsidRPr="00695C93">
        <w:fldChar w:fldCharType="end"/>
      </w:r>
      <w:r w:rsidRPr="00695C93">
        <w:instrText xml:space="preserve">" "6" </w:instrText>
      </w:r>
      <w:r w:rsidRPr="00695C93">
        <w:fldChar w:fldCharType="separate"/>
      </w:r>
      <w:r w:rsidR="00EA42ED" w:rsidRPr="00695C93">
        <w:rPr>
          <w:noProof/>
        </w:rPr>
        <w:instrText>1</w:instrText>
      </w:r>
      <w:r w:rsidRPr="00695C93">
        <w:fldChar w:fldCharType="end"/>
      </w:r>
      <w:r w:rsidRPr="00695C93">
        <w:instrText xml:space="preserve"> </w:instrText>
      </w:r>
      <w:r w:rsidRPr="00695C93">
        <w:fldChar w:fldCharType="separate"/>
      </w:r>
      <w:r w:rsidR="00B833F1">
        <w:rPr>
          <w:noProof/>
        </w:rPr>
        <w:instrText>19</w:instrText>
      </w:r>
      <w:r w:rsidRPr="00695C93">
        <w:fldChar w:fldCharType="end"/>
      </w:r>
      <w:r w:rsidRPr="00695C93">
        <w:instrText xml:space="preserve">" "" </w:instrText>
      </w:r>
      <w:r w:rsidRPr="00695C93">
        <w:fldChar w:fldCharType="separate"/>
      </w:r>
      <w:bookmarkStart w:id="4176" w:name="_Caption3284"/>
      <w:bookmarkStart w:id="4177" w:name="_Caption6861"/>
      <w:bookmarkStart w:id="4178" w:name="_Caption9065"/>
      <w:bookmarkStart w:id="4179" w:name="_Caption4618"/>
      <w:bookmarkStart w:id="4180" w:name="_Caption5187"/>
      <w:bookmarkStart w:id="4181" w:name="_Toc529869958"/>
      <w:bookmarkStart w:id="4182" w:name="_Toc530748454"/>
      <w:r w:rsidR="00EA42ED">
        <w:rPr>
          <w:noProof/>
        </w:rPr>
        <w:t>8</w:t>
      </w:r>
      <w:r w:rsidR="00EA42ED" w:rsidRPr="00695C93">
        <w:rPr>
          <w:noProof/>
        </w:rPr>
        <w:t>.</w:t>
      </w:r>
      <w:r w:rsidR="00EA42ED">
        <w:rPr>
          <w:noProof/>
        </w:rPr>
        <w:t>19</w:t>
      </w:r>
      <w:bookmarkEnd w:id="4176"/>
      <w:bookmarkEnd w:id="4177"/>
      <w:bookmarkEnd w:id="4178"/>
      <w:bookmarkEnd w:id="4179"/>
      <w:bookmarkEnd w:id="4180"/>
      <w:r w:rsidRPr="00695C93">
        <w:fldChar w:fldCharType="end"/>
      </w:r>
      <w:r w:rsidRPr="00695C93">
        <w:tab/>
      </w:r>
      <w:r>
        <w:t>Annual regulatory burden</w:t>
      </w:r>
      <w:bookmarkEnd w:id="4181"/>
      <w:bookmarkEnd w:id="4182"/>
    </w:p>
    <w:tbl>
      <w:tblPr>
        <w:tblW w:w="0" w:type="auto"/>
        <w:tblLayout w:type="fixed"/>
        <w:tblLook w:val="0000" w:firstRow="0" w:lastRow="0" w:firstColumn="0" w:lastColumn="0" w:noHBand="0" w:noVBand="0"/>
        <w:tblCaption w:val="Table 8.19: Annual regulatory burden"/>
        <w:tblDescription w:val="This table estiamtes the annual regulatory burden, approximately $40.4 million. "/>
      </w:tblPr>
      <w:tblGrid>
        <w:gridCol w:w="3099"/>
        <w:gridCol w:w="1210"/>
        <w:gridCol w:w="1209"/>
        <w:gridCol w:w="1210"/>
        <w:gridCol w:w="1209"/>
      </w:tblGrid>
      <w:tr w:rsidR="00831D96" w:rsidTr="00831D96">
        <w:trPr>
          <w:trHeight w:val="461"/>
        </w:trPr>
        <w:tc>
          <w:tcPr>
            <w:tcW w:w="3099" w:type="dxa"/>
            <w:shd w:val="clear" w:color="auto" w:fill="6F6652"/>
            <w:tcMar>
              <w:left w:w="57" w:type="dxa"/>
              <w:right w:w="57" w:type="dxa"/>
            </w:tcMar>
          </w:tcPr>
          <w:p w:rsidR="00831D96" w:rsidRDefault="00831D96" w:rsidP="00831D96">
            <w:pPr>
              <w:pStyle w:val="TableDataColumnHeading"/>
              <w:jc w:val="left"/>
              <w:rPr>
                <w:lang w:val="en-GB"/>
              </w:rPr>
            </w:pPr>
          </w:p>
        </w:tc>
        <w:tc>
          <w:tcPr>
            <w:tcW w:w="1210" w:type="dxa"/>
            <w:shd w:val="clear" w:color="auto" w:fill="6F6652"/>
            <w:tcMar>
              <w:left w:w="57" w:type="dxa"/>
              <w:right w:w="57" w:type="dxa"/>
            </w:tcMar>
          </w:tcPr>
          <w:p w:rsidR="00831D96" w:rsidRDefault="00831D96" w:rsidP="00831D96">
            <w:pPr>
              <w:pStyle w:val="TableDataColumnHeading"/>
              <w:rPr>
                <w:lang w:val="en-GB"/>
              </w:rPr>
            </w:pPr>
            <w:r>
              <w:rPr>
                <w:lang w:val="en-GB"/>
              </w:rPr>
              <w:t>Compliance costs</w:t>
            </w:r>
          </w:p>
        </w:tc>
        <w:tc>
          <w:tcPr>
            <w:tcW w:w="1209" w:type="dxa"/>
            <w:shd w:val="clear" w:color="auto" w:fill="6F6652"/>
            <w:tcMar>
              <w:left w:w="57" w:type="dxa"/>
              <w:right w:w="57" w:type="dxa"/>
            </w:tcMar>
          </w:tcPr>
          <w:p w:rsidR="00831D96" w:rsidRDefault="00831D96" w:rsidP="00831D96">
            <w:pPr>
              <w:pStyle w:val="TableDataColumnHeading"/>
              <w:rPr>
                <w:lang w:val="en-GB"/>
              </w:rPr>
            </w:pPr>
            <w:r>
              <w:rPr>
                <w:lang w:val="en-GB"/>
              </w:rPr>
              <w:t>Industry training costs</w:t>
            </w:r>
          </w:p>
        </w:tc>
        <w:tc>
          <w:tcPr>
            <w:tcW w:w="1210" w:type="dxa"/>
            <w:shd w:val="clear" w:color="auto" w:fill="6F6652"/>
            <w:tcMar>
              <w:left w:w="57" w:type="dxa"/>
              <w:right w:w="57" w:type="dxa"/>
            </w:tcMar>
          </w:tcPr>
          <w:p w:rsidR="00831D96" w:rsidRDefault="00831D96" w:rsidP="00831D96">
            <w:pPr>
              <w:pStyle w:val="TableDataColumnHeading"/>
              <w:rPr>
                <w:lang w:val="en-GB"/>
              </w:rPr>
            </w:pPr>
            <w:r>
              <w:rPr>
                <w:lang w:val="en-GB"/>
              </w:rPr>
              <w:t>Administrative cost savings</w:t>
            </w:r>
          </w:p>
        </w:tc>
        <w:tc>
          <w:tcPr>
            <w:tcW w:w="1209" w:type="dxa"/>
            <w:shd w:val="clear" w:color="auto" w:fill="6F6652"/>
            <w:tcMar>
              <w:left w:w="57" w:type="dxa"/>
              <w:right w:w="57" w:type="dxa"/>
            </w:tcMar>
          </w:tcPr>
          <w:p w:rsidR="00831D96" w:rsidRDefault="00831D96" w:rsidP="00831D96">
            <w:pPr>
              <w:pStyle w:val="TableDataColumnHeading"/>
              <w:rPr>
                <w:lang w:val="en-GB"/>
              </w:rPr>
            </w:pPr>
            <w:r>
              <w:rPr>
                <w:lang w:val="en-GB"/>
              </w:rPr>
              <w:t>Total</w:t>
            </w:r>
          </w:p>
        </w:tc>
      </w:tr>
      <w:tr w:rsidR="00831D96" w:rsidTr="00831D96">
        <w:trPr>
          <w:trHeight w:val="230"/>
        </w:trPr>
        <w:tc>
          <w:tcPr>
            <w:tcW w:w="3099" w:type="dxa"/>
            <w:tcBorders>
              <w:bottom w:val="single" w:sz="8" w:space="0" w:color="FFFFFF" w:themeColor="background1"/>
            </w:tcBorders>
            <w:shd w:val="clear" w:color="auto" w:fill="auto"/>
            <w:tcMar>
              <w:left w:w="57" w:type="dxa"/>
              <w:right w:w="57" w:type="dxa"/>
            </w:tcMar>
          </w:tcPr>
          <w:p w:rsidR="00831D96" w:rsidRDefault="00831D96" w:rsidP="00831D96">
            <w:pPr>
              <w:pStyle w:val="TableUnit"/>
              <w:jc w:val="left"/>
              <w:rPr>
                <w:lang w:val="en-GB"/>
              </w:rPr>
            </w:pPr>
          </w:p>
        </w:tc>
        <w:tc>
          <w:tcPr>
            <w:tcW w:w="1210" w:type="dxa"/>
            <w:tcBorders>
              <w:bottom w:val="single" w:sz="8" w:space="0" w:color="FFFFFF" w:themeColor="background1"/>
            </w:tcBorders>
            <w:shd w:val="clear" w:color="auto" w:fill="auto"/>
            <w:tcMar>
              <w:left w:w="57" w:type="dxa"/>
              <w:right w:w="57" w:type="dxa"/>
            </w:tcMar>
          </w:tcPr>
          <w:p w:rsidR="00831D96" w:rsidRDefault="00831D96" w:rsidP="00831D96">
            <w:pPr>
              <w:pStyle w:val="TableUnit"/>
              <w:rPr>
                <w:lang w:val="en-GB"/>
              </w:rPr>
            </w:pPr>
            <w:r>
              <w:rPr>
                <w:lang w:val="en-GB"/>
              </w:rPr>
              <w:t>$ million</w:t>
            </w:r>
          </w:p>
        </w:tc>
        <w:tc>
          <w:tcPr>
            <w:tcW w:w="1209" w:type="dxa"/>
            <w:tcBorders>
              <w:bottom w:val="single" w:sz="8" w:space="0" w:color="FFFFFF" w:themeColor="background1"/>
            </w:tcBorders>
            <w:shd w:val="clear" w:color="auto" w:fill="auto"/>
            <w:tcMar>
              <w:left w:w="57" w:type="dxa"/>
              <w:right w:w="57" w:type="dxa"/>
            </w:tcMar>
          </w:tcPr>
          <w:p w:rsidR="00831D96" w:rsidRDefault="00831D96" w:rsidP="00831D96">
            <w:pPr>
              <w:pStyle w:val="TableUnit"/>
              <w:rPr>
                <w:lang w:val="en-GB"/>
              </w:rPr>
            </w:pPr>
            <w:r>
              <w:rPr>
                <w:lang w:val="en-GB"/>
              </w:rPr>
              <w:t>$ million</w:t>
            </w:r>
          </w:p>
        </w:tc>
        <w:tc>
          <w:tcPr>
            <w:tcW w:w="1210" w:type="dxa"/>
            <w:tcBorders>
              <w:bottom w:val="single" w:sz="8" w:space="0" w:color="FFFFFF" w:themeColor="background1"/>
            </w:tcBorders>
            <w:shd w:val="clear" w:color="auto" w:fill="auto"/>
            <w:tcMar>
              <w:left w:w="57" w:type="dxa"/>
              <w:right w:w="57" w:type="dxa"/>
            </w:tcMar>
          </w:tcPr>
          <w:p w:rsidR="00831D96" w:rsidRDefault="00831D96" w:rsidP="00831D96">
            <w:pPr>
              <w:pStyle w:val="TableUnit"/>
              <w:rPr>
                <w:lang w:val="en-GB"/>
              </w:rPr>
            </w:pPr>
            <w:r>
              <w:rPr>
                <w:lang w:val="en-GB"/>
              </w:rPr>
              <w:t>$ million</w:t>
            </w:r>
          </w:p>
        </w:tc>
        <w:tc>
          <w:tcPr>
            <w:tcW w:w="1209" w:type="dxa"/>
            <w:tcBorders>
              <w:bottom w:val="single" w:sz="8" w:space="0" w:color="FFFFFF" w:themeColor="background1"/>
            </w:tcBorders>
            <w:shd w:val="clear" w:color="auto" w:fill="auto"/>
            <w:tcMar>
              <w:left w:w="57" w:type="dxa"/>
              <w:right w:w="57" w:type="dxa"/>
            </w:tcMar>
          </w:tcPr>
          <w:p w:rsidR="00831D96" w:rsidRDefault="00831D96" w:rsidP="00831D96">
            <w:pPr>
              <w:pStyle w:val="TableUnit"/>
              <w:rPr>
                <w:lang w:val="en-GB"/>
              </w:rPr>
            </w:pPr>
            <w:r>
              <w:rPr>
                <w:lang w:val="en-GB"/>
              </w:rPr>
              <w:t>$ million</w:t>
            </w:r>
          </w:p>
        </w:tc>
      </w:tr>
      <w:tr w:rsidR="008D1885" w:rsidTr="00D466CC">
        <w:trPr>
          <w:trHeight w:val="230"/>
        </w:trPr>
        <w:tc>
          <w:tcPr>
            <w:tcW w:w="309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8D1885" w:rsidRDefault="008D1885" w:rsidP="008D1885">
            <w:pPr>
              <w:pStyle w:val="TableDataEntries"/>
              <w:jc w:val="left"/>
              <w:rPr>
                <w:lang w:val="en-GB"/>
              </w:rPr>
            </w:pPr>
            <w:r>
              <w:rPr>
                <w:lang w:val="en-GB"/>
              </w:rPr>
              <w:t>New South Wales</w:t>
            </w:r>
          </w:p>
        </w:tc>
        <w:tc>
          <w:tcPr>
            <w:tcW w:w="121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- 14.06</w:t>
            </w:r>
          </w:p>
        </w:tc>
        <w:tc>
          <w:tcPr>
            <w:tcW w:w="12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- 0.49</w:t>
            </w:r>
          </w:p>
        </w:tc>
        <w:tc>
          <w:tcPr>
            <w:tcW w:w="121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xml:space="preserve"> 0.16</w:t>
            </w:r>
          </w:p>
        </w:tc>
        <w:tc>
          <w:tcPr>
            <w:tcW w:w="12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- 14.39</w:t>
            </w:r>
          </w:p>
        </w:tc>
      </w:tr>
      <w:tr w:rsidR="008D1885" w:rsidTr="00D466CC">
        <w:trPr>
          <w:trHeight w:val="230"/>
        </w:trPr>
        <w:tc>
          <w:tcPr>
            <w:tcW w:w="309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8D1885" w:rsidRDefault="008D1885" w:rsidP="008D1885">
            <w:pPr>
              <w:pStyle w:val="TableDataEntries"/>
              <w:jc w:val="left"/>
              <w:rPr>
                <w:lang w:val="en-GB"/>
              </w:rPr>
            </w:pPr>
            <w:r>
              <w:rPr>
                <w:lang w:val="en-GB"/>
              </w:rPr>
              <w:t>Victoria</w:t>
            </w:r>
          </w:p>
        </w:tc>
        <w:tc>
          <w:tcPr>
            <w:tcW w:w="121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- 9.19</w:t>
            </w:r>
          </w:p>
        </w:tc>
        <w:tc>
          <w:tcPr>
            <w:tcW w:w="12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- 0.42</w:t>
            </w:r>
          </w:p>
        </w:tc>
        <w:tc>
          <w:tcPr>
            <w:tcW w:w="121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xml:space="preserve"> 0.13</w:t>
            </w:r>
          </w:p>
        </w:tc>
        <w:tc>
          <w:tcPr>
            <w:tcW w:w="12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- 9.47</w:t>
            </w:r>
          </w:p>
        </w:tc>
      </w:tr>
      <w:tr w:rsidR="008D1885" w:rsidTr="00D466CC">
        <w:trPr>
          <w:trHeight w:val="230"/>
        </w:trPr>
        <w:tc>
          <w:tcPr>
            <w:tcW w:w="309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8D1885" w:rsidRDefault="008D1885" w:rsidP="008D1885">
            <w:pPr>
              <w:pStyle w:val="TableDataEntries"/>
              <w:jc w:val="left"/>
              <w:rPr>
                <w:lang w:val="en-GB"/>
              </w:rPr>
            </w:pPr>
            <w:r>
              <w:rPr>
                <w:lang w:val="en-GB"/>
              </w:rPr>
              <w:t>Queensland</w:t>
            </w:r>
          </w:p>
        </w:tc>
        <w:tc>
          <w:tcPr>
            <w:tcW w:w="121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- 5.96</w:t>
            </w:r>
          </w:p>
        </w:tc>
        <w:tc>
          <w:tcPr>
            <w:tcW w:w="12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- 0.36</w:t>
            </w:r>
          </w:p>
        </w:tc>
        <w:tc>
          <w:tcPr>
            <w:tcW w:w="121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xml:space="preserve"> 0.11</w:t>
            </w:r>
          </w:p>
        </w:tc>
        <w:tc>
          <w:tcPr>
            <w:tcW w:w="12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- 6.20</w:t>
            </w:r>
          </w:p>
        </w:tc>
      </w:tr>
      <w:tr w:rsidR="008D1885" w:rsidTr="00D466CC">
        <w:trPr>
          <w:trHeight w:val="230"/>
        </w:trPr>
        <w:tc>
          <w:tcPr>
            <w:tcW w:w="309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8D1885" w:rsidRDefault="008D1885" w:rsidP="008D1885">
            <w:pPr>
              <w:pStyle w:val="TableDataEntries"/>
              <w:jc w:val="left"/>
              <w:rPr>
                <w:lang w:val="en-GB"/>
              </w:rPr>
            </w:pPr>
            <w:r>
              <w:rPr>
                <w:lang w:val="en-GB"/>
              </w:rPr>
              <w:t>South Australia</w:t>
            </w:r>
          </w:p>
        </w:tc>
        <w:tc>
          <w:tcPr>
            <w:tcW w:w="121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- 2.69</w:t>
            </w:r>
          </w:p>
        </w:tc>
        <w:tc>
          <w:tcPr>
            <w:tcW w:w="12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- 0.10</w:t>
            </w:r>
          </w:p>
        </w:tc>
        <w:tc>
          <w:tcPr>
            <w:tcW w:w="121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xml:space="preserve"> 0.02</w:t>
            </w:r>
          </w:p>
        </w:tc>
        <w:tc>
          <w:tcPr>
            <w:tcW w:w="12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- 2.76</w:t>
            </w:r>
          </w:p>
        </w:tc>
      </w:tr>
      <w:tr w:rsidR="008D1885" w:rsidTr="00D466CC">
        <w:trPr>
          <w:trHeight w:val="230"/>
        </w:trPr>
        <w:tc>
          <w:tcPr>
            <w:tcW w:w="309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8D1885" w:rsidRDefault="008D1885" w:rsidP="008D1885">
            <w:pPr>
              <w:pStyle w:val="TableDataEntries"/>
              <w:jc w:val="left"/>
              <w:rPr>
                <w:lang w:val="en-GB"/>
              </w:rPr>
            </w:pPr>
            <w:r>
              <w:rPr>
                <w:lang w:val="en-GB"/>
              </w:rPr>
              <w:t>Western Australia</w:t>
            </w:r>
          </w:p>
        </w:tc>
        <w:tc>
          <w:tcPr>
            <w:tcW w:w="121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- 5.94</w:t>
            </w:r>
          </w:p>
        </w:tc>
        <w:tc>
          <w:tcPr>
            <w:tcW w:w="12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- 0.22</w:t>
            </w:r>
          </w:p>
        </w:tc>
        <w:tc>
          <w:tcPr>
            <w:tcW w:w="121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xml:space="preserve"> 0.06</w:t>
            </w:r>
          </w:p>
        </w:tc>
        <w:tc>
          <w:tcPr>
            <w:tcW w:w="12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- 6.10</w:t>
            </w:r>
          </w:p>
        </w:tc>
      </w:tr>
      <w:tr w:rsidR="008D1885" w:rsidTr="00D466CC">
        <w:trPr>
          <w:trHeight w:val="230"/>
        </w:trPr>
        <w:tc>
          <w:tcPr>
            <w:tcW w:w="309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8D1885" w:rsidRDefault="008D1885" w:rsidP="008D1885">
            <w:pPr>
              <w:pStyle w:val="TableDataEntries"/>
              <w:jc w:val="left"/>
              <w:rPr>
                <w:lang w:val="en-GB"/>
              </w:rPr>
            </w:pPr>
            <w:r>
              <w:rPr>
                <w:lang w:val="en-GB"/>
              </w:rPr>
              <w:t>Tasmania</w:t>
            </w:r>
          </w:p>
        </w:tc>
        <w:tc>
          <w:tcPr>
            <w:tcW w:w="121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- 0.70</w:t>
            </w:r>
          </w:p>
        </w:tc>
        <w:tc>
          <w:tcPr>
            <w:tcW w:w="12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- 0.03</w:t>
            </w:r>
          </w:p>
        </w:tc>
        <w:tc>
          <w:tcPr>
            <w:tcW w:w="121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xml:space="preserve"> 0.00</w:t>
            </w:r>
          </w:p>
        </w:tc>
        <w:tc>
          <w:tcPr>
            <w:tcW w:w="12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- 0.73</w:t>
            </w:r>
          </w:p>
        </w:tc>
      </w:tr>
      <w:tr w:rsidR="008D1885" w:rsidTr="00D466CC">
        <w:trPr>
          <w:trHeight w:val="230"/>
        </w:trPr>
        <w:tc>
          <w:tcPr>
            <w:tcW w:w="309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8D1885" w:rsidRDefault="008D1885" w:rsidP="008D1885">
            <w:pPr>
              <w:pStyle w:val="TableDataEntries"/>
              <w:jc w:val="left"/>
              <w:rPr>
                <w:lang w:val="en-GB"/>
              </w:rPr>
            </w:pPr>
            <w:r>
              <w:rPr>
                <w:lang w:val="en-GB"/>
              </w:rPr>
              <w:t>Australian Capital Territory</w:t>
            </w:r>
          </w:p>
        </w:tc>
        <w:tc>
          <w:tcPr>
            <w:tcW w:w="121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- 0.92</w:t>
            </w:r>
          </w:p>
        </w:tc>
        <w:tc>
          <w:tcPr>
            <w:tcW w:w="12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- 0.05</w:t>
            </w:r>
          </w:p>
        </w:tc>
        <w:tc>
          <w:tcPr>
            <w:tcW w:w="121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xml:space="preserve"> 0.03</w:t>
            </w:r>
          </w:p>
        </w:tc>
        <w:tc>
          <w:tcPr>
            <w:tcW w:w="12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- 0.94</w:t>
            </w:r>
          </w:p>
        </w:tc>
      </w:tr>
      <w:tr w:rsidR="008D1885" w:rsidTr="00D466CC">
        <w:trPr>
          <w:trHeight w:val="230"/>
        </w:trPr>
        <w:tc>
          <w:tcPr>
            <w:tcW w:w="309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8D1885" w:rsidRDefault="008D1885" w:rsidP="008D1885">
            <w:pPr>
              <w:pStyle w:val="TableDataEntries"/>
              <w:jc w:val="left"/>
              <w:rPr>
                <w:lang w:val="en-GB"/>
              </w:rPr>
            </w:pPr>
            <w:r>
              <w:rPr>
                <w:lang w:val="en-GB"/>
              </w:rPr>
              <w:t>Northern Territory</w:t>
            </w:r>
          </w:p>
        </w:tc>
        <w:tc>
          <w:tcPr>
            <w:tcW w:w="121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- 0.10</w:t>
            </w:r>
          </w:p>
        </w:tc>
        <w:tc>
          <w:tcPr>
            <w:tcW w:w="12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- 0.02</w:t>
            </w:r>
          </w:p>
        </w:tc>
        <w:tc>
          <w:tcPr>
            <w:tcW w:w="121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xml:space="preserve"> 0.00</w:t>
            </w:r>
          </w:p>
        </w:tc>
        <w:tc>
          <w:tcPr>
            <w:tcW w:w="12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8D1885" w:rsidRDefault="008D1885" w:rsidP="008D1885">
            <w:pPr>
              <w:pStyle w:val="TableDataEntries"/>
            </w:pPr>
            <w:r w:rsidRPr="008D1885">
              <w:t>- 0.11</w:t>
            </w:r>
          </w:p>
        </w:tc>
      </w:tr>
      <w:tr w:rsidR="008D1885" w:rsidRPr="00143A66" w:rsidTr="00D466CC">
        <w:trPr>
          <w:trHeight w:val="230"/>
        </w:trPr>
        <w:tc>
          <w:tcPr>
            <w:tcW w:w="3099"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rsidR="008D1885" w:rsidRPr="00143A66" w:rsidRDefault="008D1885" w:rsidP="008D1885">
            <w:pPr>
              <w:pStyle w:val="TableDataEntries"/>
              <w:jc w:val="left"/>
              <w:rPr>
                <w:rFonts w:ascii="Franklin Gothic Demi" w:hAnsi="Franklin Gothic Demi"/>
                <w:lang w:val="en-GB"/>
              </w:rPr>
            </w:pPr>
            <w:r w:rsidRPr="00143A66">
              <w:rPr>
                <w:rFonts w:ascii="Franklin Gothic Demi" w:hAnsi="Franklin Gothic Demi"/>
                <w:lang w:val="en-GB"/>
              </w:rPr>
              <w:t>Total</w:t>
            </w:r>
          </w:p>
        </w:tc>
        <w:tc>
          <w:tcPr>
            <w:tcW w:w="1210"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8D1885" w:rsidRPr="00143A66" w:rsidRDefault="008D1885" w:rsidP="008D1885">
            <w:pPr>
              <w:pStyle w:val="TableDataEntries"/>
              <w:rPr>
                <w:rFonts w:ascii="Franklin Gothic Demi" w:hAnsi="Franklin Gothic Demi"/>
              </w:rPr>
            </w:pPr>
            <w:r w:rsidRPr="00143A66">
              <w:rPr>
                <w:rFonts w:ascii="Franklin Gothic Demi" w:hAnsi="Franklin Gothic Demi"/>
              </w:rPr>
              <w:t>- 39.54</w:t>
            </w:r>
          </w:p>
        </w:tc>
        <w:tc>
          <w:tcPr>
            <w:tcW w:w="1209"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8D1885" w:rsidRPr="00143A66" w:rsidRDefault="008D1885" w:rsidP="008D1885">
            <w:pPr>
              <w:pStyle w:val="TableDataEntries"/>
              <w:rPr>
                <w:rFonts w:ascii="Franklin Gothic Demi" w:hAnsi="Franklin Gothic Demi"/>
              </w:rPr>
            </w:pPr>
            <w:r w:rsidRPr="00143A66">
              <w:rPr>
                <w:rFonts w:ascii="Franklin Gothic Demi" w:hAnsi="Franklin Gothic Demi"/>
              </w:rPr>
              <w:t>- 1.67</w:t>
            </w:r>
          </w:p>
        </w:tc>
        <w:tc>
          <w:tcPr>
            <w:tcW w:w="1210"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8D1885" w:rsidRPr="00143A66" w:rsidRDefault="008D1885" w:rsidP="008D1885">
            <w:pPr>
              <w:pStyle w:val="TableDataEntries"/>
              <w:rPr>
                <w:rFonts w:ascii="Franklin Gothic Demi" w:hAnsi="Franklin Gothic Demi"/>
              </w:rPr>
            </w:pPr>
            <w:r w:rsidRPr="00143A66">
              <w:rPr>
                <w:rFonts w:ascii="Franklin Gothic Demi" w:hAnsi="Franklin Gothic Demi"/>
              </w:rPr>
              <w:t xml:space="preserve"> 0.52</w:t>
            </w:r>
          </w:p>
        </w:tc>
        <w:tc>
          <w:tcPr>
            <w:tcW w:w="1209"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8D1885" w:rsidRPr="00143A66" w:rsidRDefault="008D1885" w:rsidP="008D1885">
            <w:pPr>
              <w:pStyle w:val="TableDataEntries"/>
              <w:rPr>
                <w:rFonts w:ascii="Franklin Gothic Demi" w:hAnsi="Franklin Gothic Demi"/>
              </w:rPr>
            </w:pPr>
            <w:r w:rsidRPr="00143A66">
              <w:rPr>
                <w:rFonts w:ascii="Franklin Gothic Demi" w:hAnsi="Franklin Gothic Demi"/>
              </w:rPr>
              <w:t>- 40.69</w:t>
            </w:r>
          </w:p>
        </w:tc>
      </w:tr>
    </w:tbl>
    <w:p w:rsidR="00831D96" w:rsidRDefault="00831D96" w:rsidP="00831D96">
      <w:pPr>
        <w:pStyle w:val="Note"/>
      </w:pPr>
      <w:r w:rsidRPr="007D1B4F">
        <w:rPr>
          <w:i/>
        </w:rPr>
        <w:t>Note:</w:t>
      </w:r>
      <w:r w:rsidRPr="00E879B8">
        <w:t xml:space="preserve"> </w:t>
      </w:r>
      <w:r w:rsidR="00EB5798">
        <w:t>Estimates are averaged over the ten year regulatory period (undiscounted).</w:t>
      </w:r>
    </w:p>
    <w:p w:rsidR="00831D96" w:rsidRDefault="00831D96" w:rsidP="00831D96">
      <w:pPr>
        <w:pStyle w:val="Source"/>
      </w:pPr>
      <w:r>
        <w:rPr>
          <w:i/>
        </w:rPr>
        <w:t>Source</w:t>
      </w:r>
      <w:r w:rsidRPr="00E4232C">
        <w:rPr>
          <w:i/>
        </w:rPr>
        <w:t>:</w:t>
      </w:r>
      <w:r>
        <w:t xml:space="preserve"> </w:t>
      </w:r>
      <w:r w:rsidR="00EB5798">
        <w:t>CIE estimates.</w:t>
      </w:r>
    </w:p>
    <w:p w:rsidR="00612FD3" w:rsidRPr="001F6F0E" w:rsidRDefault="00612FD3" w:rsidP="00612FD3">
      <w:pPr>
        <w:pStyle w:val="Heading2"/>
        <w:numPr>
          <w:ilvl w:val="1"/>
          <w:numId w:val="5"/>
        </w:numPr>
      </w:pPr>
      <w:bookmarkStart w:id="4183" w:name="_Toc499847008"/>
      <w:bookmarkStart w:id="4184" w:name="_Toc505120604"/>
      <w:bookmarkStart w:id="4185" w:name="_Toc507523760"/>
      <w:bookmarkStart w:id="4186" w:name="_Toc509220795"/>
      <w:bookmarkStart w:id="4187" w:name="_Toc529869860"/>
      <w:bookmarkStart w:id="4188" w:name="_Toc530748578"/>
      <w:r w:rsidRPr="001F6F0E">
        <w:t>Sensitivity analysis</w:t>
      </w:r>
      <w:bookmarkEnd w:id="4183"/>
      <w:bookmarkEnd w:id="4184"/>
      <w:bookmarkEnd w:id="4185"/>
      <w:bookmarkEnd w:id="4186"/>
      <w:bookmarkEnd w:id="4187"/>
      <w:bookmarkEnd w:id="4188"/>
    </w:p>
    <w:p w:rsidR="00612FD3" w:rsidRPr="001F6F0E" w:rsidRDefault="00906478" w:rsidP="00612FD3">
      <w:pPr>
        <w:pStyle w:val="BodyText"/>
      </w:pPr>
      <w:r w:rsidRPr="001F6F0E">
        <w:t xml:space="preserve">Some studies have suggested that modelling failures can make the energy efficiency gap appear much larger than it is in reality (see appendix A for details). It is therefore crucial to test the robustness of the findings to alternative input </w:t>
      </w:r>
      <w:r w:rsidR="00612FD3" w:rsidRPr="001F6F0E">
        <w:t xml:space="preserve">assumptions. </w:t>
      </w:r>
    </w:p>
    <w:p w:rsidR="00612FD3" w:rsidRPr="001F6F0E" w:rsidRDefault="00612FD3" w:rsidP="00612FD3">
      <w:pPr>
        <w:pStyle w:val="Heading3"/>
        <w:numPr>
          <w:ilvl w:val="2"/>
          <w:numId w:val="5"/>
        </w:numPr>
      </w:pPr>
      <w:r w:rsidRPr="001F6F0E">
        <w:t>Compliance costs</w:t>
      </w:r>
    </w:p>
    <w:p w:rsidR="00906478" w:rsidRPr="001F6F0E" w:rsidRDefault="00906478" w:rsidP="00906478">
      <w:pPr>
        <w:pStyle w:val="BodyText"/>
      </w:pPr>
      <w:r w:rsidRPr="001F6F0E">
        <w:t xml:space="preserve">A key finding from the </w:t>
      </w:r>
      <w:r w:rsidR="003F28DD">
        <w:t>EA</w:t>
      </w:r>
      <w:r w:rsidRPr="001F6F0E">
        <w:t xml:space="preserve"> modelling is that a significant </w:t>
      </w:r>
      <w:r w:rsidR="00FE583D" w:rsidRPr="001F6F0E">
        <w:t>improvement in energy performance can be achieve</w:t>
      </w:r>
      <w:r w:rsidR="00900525">
        <w:t>d</w:t>
      </w:r>
      <w:r w:rsidR="00FE583D" w:rsidRPr="001F6F0E">
        <w:t xml:space="preserve"> at a relatively modest additional cost across most building types and </w:t>
      </w:r>
      <w:r w:rsidR="00E31EE8">
        <w:t>Climate Zone</w:t>
      </w:r>
      <w:r w:rsidR="00FE583D" w:rsidRPr="001F6F0E">
        <w:t>s.</w:t>
      </w:r>
    </w:p>
    <w:p w:rsidR="00FE583D" w:rsidRPr="001F6F0E" w:rsidRDefault="00FE583D" w:rsidP="002B3C0A">
      <w:pPr>
        <w:pStyle w:val="Heading4"/>
      </w:pPr>
      <w:r w:rsidRPr="001F6F0E">
        <w:t>Alternative insulation cost assumptions</w:t>
      </w:r>
    </w:p>
    <w:p w:rsidR="001423D2" w:rsidRPr="001F6F0E" w:rsidRDefault="003F28DD" w:rsidP="00906478">
      <w:pPr>
        <w:pStyle w:val="BodyText"/>
      </w:pPr>
      <w:r>
        <w:t>EA</w:t>
      </w:r>
      <w:r w:rsidR="00D06899" w:rsidRPr="001F6F0E">
        <w:t xml:space="preserve"> provided another </w:t>
      </w:r>
      <w:r w:rsidR="002C2B5A" w:rsidRPr="001F6F0E">
        <w:t>estimate of insulation cost change by assuming there is a</w:t>
      </w:r>
      <w:r w:rsidR="00537C50">
        <w:t>n</w:t>
      </w:r>
      <w:r w:rsidR="002C2B5A" w:rsidRPr="001F6F0E">
        <w:t xml:space="preserve"> upper limit</w:t>
      </w:r>
      <w:r w:rsidR="00D06899" w:rsidRPr="001F6F0E">
        <w:t xml:space="preserve"> </w:t>
      </w:r>
      <w:r w:rsidR="002C2B5A" w:rsidRPr="001F6F0E">
        <w:t>on the thickness of insulation materials. This assumption</w:t>
      </w:r>
      <w:r w:rsidR="00C545FB">
        <w:t>,</w:t>
      </w:r>
      <w:r w:rsidR="002C2B5A" w:rsidRPr="001F6F0E">
        <w:t xml:space="preserve"> in effect</w:t>
      </w:r>
      <w:r w:rsidR="00C545FB">
        <w:t>,</w:t>
      </w:r>
      <w:r w:rsidR="002C2B5A" w:rsidRPr="001F6F0E">
        <w:t xml:space="preserve"> lowers the </w:t>
      </w:r>
      <w:r w:rsidR="00537C50" w:rsidRPr="001F6F0E">
        <w:t>construction</w:t>
      </w:r>
      <w:r w:rsidR="002C2B5A" w:rsidRPr="001F6F0E">
        <w:t xml:space="preserve"> costs for NCC 2016 buildings in some cases and thus increases the incremental costs moving from NCC 2016 to NCC 2019.</w:t>
      </w:r>
    </w:p>
    <w:p w:rsidR="003C168C" w:rsidRPr="001F6F0E" w:rsidRDefault="003C168C" w:rsidP="003C168C">
      <w:pPr>
        <w:pStyle w:val="Caption"/>
      </w:pPr>
      <w:r w:rsidRPr="001F6F0E">
        <w:fldChar w:fldCharType="begin"/>
      </w:r>
      <w:r w:rsidRPr="001F6F0E">
        <w:instrText xml:space="preserve"> IF 1 = 1 "</w:instrText>
      </w:r>
      <w:r w:rsidRPr="001F6F0E">
        <w:fldChar w:fldCharType="begin"/>
      </w:r>
      <w:r w:rsidRPr="001F6F0E">
        <w:instrText xml:space="preserve"> IF </w:instrText>
      </w:r>
      <w:r w:rsidRPr="001F6F0E">
        <w:rPr>
          <w:noProof/>
        </w:rPr>
        <w:fldChar w:fldCharType="begin"/>
      </w:r>
      <w:r w:rsidRPr="001F6F0E">
        <w:rPr>
          <w:noProof/>
        </w:rPr>
        <w:instrText xml:space="preserve"> STYLEREF "Heading 6" \l \n </w:instrText>
      </w:r>
      <w:r w:rsidRPr="001F6F0E">
        <w:rPr>
          <w:noProof/>
        </w:rPr>
        <w:fldChar w:fldCharType="separate"/>
      </w:r>
      <w:r w:rsidR="00B833F1">
        <w:rPr>
          <w:noProof/>
        </w:rPr>
        <w:instrText>0</w:instrText>
      </w:r>
      <w:r w:rsidRPr="001F6F0E">
        <w:rPr>
          <w:noProof/>
        </w:rPr>
        <w:fldChar w:fldCharType="end"/>
      </w:r>
      <w:r w:rsidRPr="001F6F0E">
        <w:instrText xml:space="preserve"> = 0 "</w:instrText>
      </w:r>
      <w:r w:rsidRPr="001F6F0E">
        <w:fldChar w:fldCharType="begin"/>
      </w:r>
      <w:r w:rsidRPr="001F6F0E">
        <w:instrText xml:space="preserve"> IF </w:instrText>
      </w:r>
      <w:r w:rsidRPr="001F6F0E">
        <w:rPr>
          <w:noProof/>
        </w:rPr>
        <w:fldChar w:fldCharType="begin"/>
      </w:r>
      <w:r w:rsidRPr="001F6F0E">
        <w:rPr>
          <w:noProof/>
        </w:rPr>
        <w:instrText xml:space="preserve"> STYLEREF "Heading 1" \l \n </w:instrText>
      </w:r>
      <w:r w:rsidRPr="001F6F0E">
        <w:rPr>
          <w:noProof/>
        </w:rPr>
        <w:fldChar w:fldCharType="separate"/>
      </w:r>
      <w:r w:rsidR="00B833F1">
        <w:rPr>
          <w:noProof/>
        </w:rPr>
        <w:instrText>8</w:instrText>
      </w:r>
      <w:r w:rsidRPr="001F6F0E">
        <w:rPr>
          <w:noProof/>
        </w:rPr>
        <w:fldChar w:fldCharType="end"/>
      </w:r>
      <w:r w:rsidRPr="001F6F0E">
        <w:instrText xml:space="preserve"> = 0 "" "</w:instrText>
      </w:r>
      <w:r w:rsidRPr="001F6F0E">
        <w:rPr>
          <w:noProof/>
        </w:rPr>
        <w:fldChar w:fldCharType="begin"/>
      </w:r>
      <w:r w:rsidRPr="001F6F0E">
        <w:rPr>
          <w:noProof/>
        </w:rPr>
        <w:instrText xml:space="preserve"> STYLEREF "Heading 1" \l \n </w:instrText>
      </w:r>
      <w:r w:rsidRPr="001F6F0E">
        <w:rPr>
          <w:noProof/>
        </w:rPr>
        <w:fldChar w:fldCharType="separate"/>
      </w:r>
      <w:r w:rsidR="00B833F1">
        <w:rPr>
          <w:noProof/>
        </w:rPr>
        <w:instrText>8</w:instrText>
      </w:r>
      <w:r w:rsidRPr="001F6F0E">
        <w:rPr>
          <w:noProof/>
        </w:rPr>
        <w:fldChar w:fldCharType="end"/>
      </w:r>
      <w:r w:rsidRPr="001F6F0E">
        <w:instrText xml:space="preserve">." </w:instrText>
      </w:r>
      <w:r w:rsidRPr="001F6F0E">
        <w:fldChar w:fldCharType="separate"/>
      </w:r>
      <w:r w:rsidR="00B833F1">
        <w:rPr>
          <w:noProof/>
        </w:rPr>
        <w:instrText>8</w:instrText>
      </w:r>
      <w:r w:rsidR="00B833F1" w:rsidRPr="001F6F0E">
        <w:rPr>
          <w:noProof/>
        </w:rPr>
        <w:instrText>.</w:instrText>
      </w:r>
      <w:r w:rsidRPr="001F6F0E">
        <w:fldChar w:fldCharType="end"/>
      </w:r>
      <w:r w:rsidRPr="001F6F0E">
        <w:instrText>" "</w:instrText>
      </w:r>
      <w:r w:rsidR="001F6F43">
        <w:fldChar w:fldCharType="begin"/>
      </w:r>
      <w:r w:rsidR="001F6F43">
        <w:instrText xml:space="preserve"> STYLEREF "Heading 6" \l \n </w:instrText>
      </w:r>
      <w:r w:rsidR="001F6F43">
        <w:fldChar w:fldCharType="separate"/>
      </w:r>
      <w:r w:rsidRPr="001F6F0E">
        <w:instrText>B</w:instrText>
      </w:r>
      <w:r w:rsidR="001F6F43">
        <w:fldChar w:fldCharType="end"/>
      </w:r>
      <w:r w:rsidRPr="001F6F0E">
        <w:instrText xml:space="preserve">." </w:instrText>
      </w:r>
      <w:r w:rsidRPr="001F6F0E">
        <w:fldChar w:fldCharType="separate"/>
      </w:r>
      <w:r w:rsidR="00EA42ED">
        <w:rPr>
          <w:noProof/>
        </w:rPr>
        <w:instrText>8</w:instrText>
      </w:r>
      <w:r w:rsidR="00EA42ED" w:rsidRPr="001F6F0E">
        <w:rPr>
          <w:noProof/>
        </w:rPr>
        <w:instrText>.</w:instrText>
      </w:r>
      <w:r w:rsidRPr="001F6F0E">
        <w:fldChar w:fldCharType="end"/>
      </w:r>
      <w:r w:rsidRPr="001F6F0E">
        <w:fldChar w:fldCharType="begin"/>
      </w:r>
      <w:r w:rsidRPr="001F6F0E">
        <w:instrText xml:space="preserve"> SEQ Item \* ARABIC \s </w:instrText>
      </w:r>
      <w:r w:rsidRPr="001F6F0E">
        <w:fldChar w:fldCharType="begin"/>
      </w:r>
      <w:r w:rsidRPr="001F6F0E">
        <w:instrText xml:space="preserve"> IF </w:instrText>
      </w:r>
      <w:r w:rsidRPr="001F6F0E">
        <w:rPr>
          <w:noProof/>
        </w:rPr>
        <w:fldChar w:fldCharType="begin"/>
      </w:r>
      <w:r w:rsidRPr="001F6F0E">
        <w:rPr>
          <w:noProof/>
        </w:rPr>
        <w:instrText xml:space="preserve"> STYLEREF "Heading 6" \l \n </w:instrText>
      </w:r>
      <w:r w:rsidRPr="001F6F0E">
        <w:rPr>
          <w:noProof/>
        </w:rPr>
        <w:fldChar w:fldCharType="separate"/>
      </w:r>
      <w:r w:rsidR="00B833F1">
        <w:rPr>
          <w:noProof/>
        </w:rPr>
        <w:instrText>0</w:instrText>
      </w:r>
      <w:r w:rsidRPr="001F6F0E">
        <w:rPr>
          <w:noProof/>
        </w:rPr>
        <w:fldChar w:fldCharType="end"/>
      </w:r>
      <w:r w:rsidRPr="001F6F0E">
        <w:instrText xml:space="preserve"> = 0 "</w:instrText>
      </w:r>
      <w:r w:rsidRPr="001F6F0E">
        <w:fldChar w:fldCharType="begin"/>
      </w:r>
      <w:r w:rsidRPr="001F6F0E">
        <w:instrText xml:space="preserve"> IF </w:instrText>
      </w:r>
      <w:r w:rsidRPr="001F6F0E">
        <w:rPr>
          <w:noProof/>
        </w:rPr>
        <w:fldChar w:fldCharType="begin"/>
      </w:r>
      <w:r w:rsidRPr="001F6F0E">
        <w:rPr>
          <w:noProof/>
        </w:rPr>
        <w:instrText xml:space="preserve"> STYLEREF "Heading 1" \l \n </w:instrText>
      </w:r>
      <w:r w:rsidRPr="001F6F0E">
        <w:rPr>
          <w:noProof/>
        </w:rPr>
        <w:fldChar w:fldCharType="separate"/>
      </w:r>
      <w:r w:rsidR="00B833F1">
        <w:rPr>
          <w:noProof/>
        </w:rPr>
        <w:instrText>8</w:instrText>
      </w:r>
      <w:r w:rsidRPr="001F6F0E">
        <w:rPr>
          <w:noProof/>
        </w:rPr>
        <w:fldChar w:fldCharType="end"/>
      </w:r>
      <w:r w:rsidRPr="001F6F0E">
        <w:instrText xml:space="preserve"> = 0 "" "1" </w:instrText>
      </w:r>
      <w:r w:rsidRPr="001F6F0E">
        <w:fldChar w:fldCharType="separate"/>
      </w:r>
      <w:r w:rsidR="00EA42ED" w:rsidRPr="001F6F0E">
        <w:rPr>
          <w:noProof/>
        </w:rPr>
        <w:instrText>1</w:instrText>
      </w:r>
      <w:r w:rsidRPr="001F6F0E">
        <w:fldChar w:fldCharType="end"/>
      </w:r>
      <w:r w:rsidRPr="001F6F0E">
        <w:instrText xml:space="preserve">" "6" </w:instrText>
      </w:r>
      <w:r w:rsidRPr="001F6F0E">
        <w:fldChar w:fldCharType="separate"/>
      </w:r>
      <w:r w:rsidR="00EA42ED" w:rsidRPr="001F6F0E">
        <w:rPr>
          <w:noProof/>
        </w:rPr>
        <w:instrText>1</w:instrText>
      </w:r>
      <w:r w:rsidRPr="001F6F0E">
        <w:fldChar w:fldCharType="end"/>
      </w:r>
      <w:r w:rsidRPr="001F6F0E">
        <w:instrText xml:space="preserve"> </w:instrText>
      </w:r>
      <w:r w:rsidRPr="001F6F0E">
        <w:fldChar w:fldCharType="separate"/>
      </w:r>
      <w:r w:rsidR="00B833F1">
        <w:rPr>
          <w:noProof/>
        </w:rPr>
        <w:instrText>20</w:instrText>
      </w:r>
      <w:r w:rsidRPr="001F6F0E">
        <w:fldChar w:fldCharType="end"/>
      </w:r>
      <w:r w:rsidRPr="001F6F0E">
        <w:instrText xml:space="preserve">" "" </w:instrText>
      </w:r>
      <w:r w:rsidRPr="001F6F0E">
        <w:fldChar w:fldCharType="separate"/>
      </w:r>
      <w:bookmarkStart w:id="4189" w:name="_Caption4632"/>
      <w:bookmarkStart w:id="4190" w:name="_Caption9398"/>
      <w:bookmarkStart w:id="4191" w:name="_Caption1322"/>
      <w:bookmarkStart w:id="4192" w:name="_Caption3302"/>
      <w:bookmarkStart w:id="4193" w:name="_Caption5197"/>
      <w:bookmarkStart w:id="4194" w:name="_Caption3082"/>
      <w:bookmarkStart w:id="4195" w:name="_Caption3060"/>
      <w:bookmarkStart w:id="4196" w:name="_Caption0224"/>
      <w:bookmarkStart w:id="4197" w:name="_Caption9121"/>
      <w:bookmarkStart w:id="4198" w:name="_Caption1479"/>
      <w:bookmarkStart w:id="4199" w:name="_Caption1011"/>
      <w:bookmarkStart w:id="4200" w:name="_Caption6680"/>
      <w:bookmarkStart w:id="4201" w:name="_Caption7423"/>
      <w:bookmarkStart w:id="4202" w:name="_Caption9866"/>
      <w:bookmarkStart w:id="4203" w:name="_Caption0692"/>
      <w:bookmarkStart w:id="4204" w:name="_Caption6383"/>
      <w:bookmarkStart w:id="4205" w:name="_Caption4843"/>
      <w:bookmarkStart w:id="4206" w:name="_Caption8585"/>
      <w:bookmarkStart w:id="4207" w:name="_Toc529869959"/>
      <w:bookmarkStart w:id="4208" w:name="_Toc530748455"/>
      <w:r w:rsidR="00EA42ED">
        <w:rPr>
          <w:noProof/>
        </w:rPr>
        <w:t>8</w:t>
      </w:r>
      <w:r w:rsidR="00EA42ED" w:rsidRPr="001F6F0E">
        <w:rPr>
          <w:noProof/>
        </w:rPr>
        <w:t>.</w:t>
      </w:r>
      <w:r w:rsidR="00EA42ED">
        <w:rPr>
          <w:noProof/>
        </w:rPr>
        <w:t>20</w:t>
      </w:r>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r w:rsidRPr="001F6F0E">
        <w:fldChar w:fldCharType="end"/>
      </w:r>
      <w:r w:rsidRPr="001F6F0E">
        <w:tab/>
        <w:t>Net benefits under alternative insulation cost scenario</w:t>
      </w:r>
      <w:bookmarkEnd w:id="4207"/>
      <w:bookmarkEnd w:id="4208"/>
    </w:p>
    <w:tbl>
      <w:tblPr>
        <w:tblW w:w="7940" w:type="dxa"/>
        <w:tblLayout w:type="fixed"/>
        <w:tblLook w:val="0000" w:firstRow="0" w:lastRow="0" w:firstColumn="0" w:lastColumn="0" w:noHBand="0" w:noVBand="0"/>
        <w:tblCaption w:val="Table 8.20: Net benefits under alternative insulation cost scenario"/>
        <w:tblDescription w:val="This table shows the net benefits using an alternative insulation cost. The net benefits range from $1.1 billion to $2.8 billion."/>
      </w:tblPr>
      <w:tblGrid>
        <w:gridCol w:w="1559"/>
        <w:gridCol w:w="709"/>
        <w:gridCol w:w="709"/>
        <w:gridCol w:w="709"/>
        <w:gridCol w:w="709"/>
        <w:gridCol w:w="709"/>
        <w:gridCol w:w="709"/>
        <w:gridCol w:w="709"/>
        <w:gridCol w:w="709"/>
        <w:gridCol w:w="709"/>
      </w:tblGrid>
      <w:tr w:rsidR="003C168C" w:rsidRPr="001F6F0E" w:rsidTr="004E29E3">
        <w:trPr>
          <w:trHeight w:val="461"/>
          <w:tblHeader/>
        </w:trPr>
        <w:tc>
          <w:tcPr>
            <w:tcW w:w="1559" w:type="dxa"/>
            <w:tcBorders>
              <w:bottom w:val="single" w:sz="8" w:space="0" w:color="FFFFFF" w:themeColor="background1"/>
            </w:tcBorders>
            <w:shd w:val="clear" w:color="auto" w:fill="6F6652"/>
            <w:tcMar>
              <w:left w:w="57" w:type="dxa"/>
              <w:right w:w="57" w:type="dxa"/>
            </w:tcMar>
          </w:tcPr>
          <w:p w:rsidR="003C168C" w:rsidRPr="001F6F0E" w:rsidRDefault="003C168C" w:rsidP="003C168C">
            <w:pPr>
              <w:pStyle w:val="TableDataColumnHeading"/>
              <w:jc w:val="left"/>
              <w:rPr>
                <w:lang w:val="en-GB"/>
              </w:rPr>
            </w:pPr>
          </w:p>
        </w:tc>
        <w:tc>
          <w:tcPr>
            <w:tcW w:w="709" w:type="dxa"/>
            <w:tcBorders>
              <w:bottom w:val="single" w:sz="8" w:space="0" w:color="FFFFFF" w:themeColor="background1"/>
            </w:tcBorders>
            <w:shd w:val="clear" w:color="auto" w:fill="6F6652"/>
            <w:tcMar>
              <w:left w:w="57" w:type="dxa"/>
              <w:right w:w="57" w:type="dxa"/>
            </w:tcMar>
          </w:tcPr>
          <w:p w:rsidR="003C168C" w:rsidRPr="001F6F0E" w:rsidRDefault="003C168C" w:rsidP="003C168C">
            <w:pPr>
              <w:pStyle w:val="TableDataColumnHeading"/>
              <w:rPr>
                <w:lang w:val="en-GB"/>
              </w:rPr>
            </w:pPr>
            <w:r w:rsidRPr="001F6F0E">
              <w:rPr>
                <w:lang w:val="en-GB"/>
              </w:rPr>
              <w:t>NSW</w:t>
            </w:r>
          </w:p>
        </w:tc>
        <w:tc>
          <w:tcPr>
            <w:tcW w:w="709" w:type="dxa"/>
            <w:tcBorders>
              <w:bottom w:val="single" w:sz="8" w:space="0" w:color="FFFFFF" w:themeColor="background1"/>
            </w:tcBorders>
            <w:shd w:val="clear" w:color="auto" w:fill="6F6652"/>
            <w:tcMar>
              <w:left w:w="57" w:type="dxa"/>
              <w:right w:w="57" w:type="dxa"/>
            </w:tcMar>
          </w:tcPr>
          <w:p w:rsidR="003C168C" w:rsidRPr="001F6F0E" w:rsidRDefault="003C168C" w:rsidP="003C168C">
            <w:pPr>
              <w:pStyle w:val="TableDataColumnHeading"/>
              <w:rPr>
                <w:lang w:val="en-GB"/>
              </w:rPr>
            </w:pPr>
            <w:r w:rsidRPr="001F6F0E">
              <w:rPr>
                <w:lang w:val="en-GB"/>
              </w:rPr>
              <w:t>Vic</w:t>
            </w:r>
          </w:p>
        </w:tc>
        <w:tc>
          <w:tcPr>
            <w:tcW w:w="709" w:type="dxa"/>
            <w:tcBorders>
              <w:bottom w:val="single" w:sz="8" w:space="0" w:color="FFFFFF" w:themeColor="background1"/>
            </w:tcBorders>
            <w:shd w:val="clear" w:color="auto" w:fill="6F6652"/>
            <w:tcMar>
              <w:left w:w="57" w:type="dxa"/>
              <w:right w:w="57" w:type="dxa"/>
            </w:tcMar>
          </w:tcPr>
          <w:p w:rsidR="003C168C" w:rsidRPr="001F6F0E" w:rsidRDefault="003C168C" w:rsidP="003C168C">
            <w:pPr>
              <w:pStyle w:val="TableDataColumnHeading"/>
              <w:rPr>
                <w:lang w:val="en-GB"/>
              </w:rPr>
            </w:pPr>
            <w:r w:rsidRPr="001F6F0E">
              <w:rPr>
                <w:lang w:val="en-GB"/>
              </w:rPr>
              <w:t>Qld</w:t>
            </w:r>
          </w:p>
        </w:tc>
        <w:tc>
          <w:tcPr>
            <w:tcW w:w="709" w:type="dxa"/>
            <w:tcBorders>
              <w:bottom w:val="single" w:sz="8" w:space="0" w:color="FFFFFF" w:themeColor="background1"/>
            </w:tcBorders>
            <w:shd w:val="clear" w:color="auto" w:fill="6F6652"/>
            <w:tcMar>
              <w:left w:w="57" w:type="dxa"/>
              <w:right w:w="57" w:type="dxa"/>
            </w:tcMar>
          </w:tcPr>
          <w:p w:rsidR="003C168C" w:rsidRPr="001F6F0E" w:rsidRDefault="003C168C" w:rsidP="003C168C">
            <w:pPr>
              <w:pStyle w:val="TableDataColumnHeading"/>
              <w:rPr>
                <w:lang w:val="en-GB"/>
              </w:rPr>
            </w:pPr>
            <w:r w:rsidRPr="001F6F0E">
              <w:rPr>
                <w:lang w:val="en-GB"/>
              </w:rPr>
              <w:t>SA</w:t>
            </w:r>
          </w:p>
        </w:tc>
        <w:tc>
          <w:tcPr>
            <w:tcW w:w="709" w:type="dxa"/>
            <w:tcBorders>
              <w:bottom w:val="single" w:sz="8" w:space="0" w:color="FFFFFF" w:themeColor="background1"/>
            </w:tcBorders>
            <w:shd w:val="clear" w:color="auto" w:fill="6F6652"/>
            <w:tcMar>
              <w:left w:w="57" w:type="dxa"/>
              <w:right w:w="57" w:type="dxa"/>
            </w:tcMar>
          </w:tcPr>
          <w:p w:rsidR="003C168C" w:rsidRPr="001F6F0E" w:rsidRDefault="003C168C" w:rsidP="003C168C">
            <w:pPr>
              <w:pStyle w:val="TableDataColumnHeading"/>
              <w:rPr>
                <w:lang w:val="en-GB"/>
              </w:rPr>
            </w:pPr>
            <w:r w:rsidRPr="001F6F0E">
              <w:rPr>
                <w:lang w:val="en-GB"/>
              </w:rPr>
              <w:t>WA</w:t>
            </w:r>
          </w:p>
        </w:tc>
        <w:tc>
          <w:tcPr>
            <w:tcW w:w="709" w:type="dxa"/>
            <w:tcBorders>
              <w:bottom w:val="single" w:sz="8" w:space="0" w:color="FFFFFF" w:themeColor="background1"/>
            </w:tcBorders>
            <w:shd w:val="clear" w:color="auto" w:fill="6F6652"/>
            <w:tcMar>
              <w:left w:w="57" w:type="dxa"/>
              <w:right w:w="57" w:type="dxa"/>
            </w:tcMar>
          </w:tcPr>
          <w:p w:rsidR="003C168C" w:rsidRPr="001F6F0E" w:rsidRDefault="003C168C" w:rsidP="003C168C">
            <w:pPr>
              <w:pStyle w:val="TableDataColumnHeading"/>
              <w:rPr>
                <w:lang w:val="en-GB"/>
              </w:rPr>
            </w:pPr>
            <w:r w:rsidRPr="001F6F0E">
              <w:rPr>
                <w:lang w:val="en-GB"/>
              </w:rPr>
              <w:t>Tas</w:t>
            </w:r>
          </w:p>
        </w:tc>
        <w:tc>
          <w:tcPr>
            <w:tcW w:w="709" w:type="dxa"/>
            <w:tcBorders>
              <w:bottom w:val="single" w:sz="8" w:space="0" w:color="FFFFFF" w:themeColor="background1"/>
            </w:tcBorders>
            <w:shd w:val="clear" w:color="auto" w:fill="6F6652"/>
            <w:tcMar>
              <w:left w:w="57" w:type="dxa"/>
              <w:right w:w="57" w:type="dxa"/>
            </w:tcMar>
          </w:tcPr>
          <w:p w:rsidR="003C168C" w:rsidRPr="001F6F0E" w:rsidRDefault="003C168C" w:rsidP="003C168C">
            <w:pPr>
              <w:pStyle w:val="TableDataColumnHeading"/>
              <w:rPr>
                <w:lang w:val="en-GB"/>
              </w:rPr>
            </w:pPr>
            <w:r w:rsidRPr="001F6F0E">
              <w:rPr>
                <w:lang w:val="en-GB"/>
              </w:rPr>
              <w:t>ACT</w:t>
            </w:r>
          </w:p>
        </w:tc>
        <w:tc>
          <w:tcPr>
            <w:tcW w:w="709" w:type="dxa"/>
            <w:tcBorders>
              <w:bottom w:val="single" w:sz="8" w:space="0" w:color="FFFFFF" w:themeColor="background1"/>
            </w:tcBorders>
            <w:shd w:val="clear" w:color="auto" w:fill="6F6652"/>
            <w:tcMar>
              <w:left w:w="57" w:type="dxa"/>
              <w:right w:w="57" w:type="dxa"/>
            </w:tcMar>
          </w:tcPr>
          <w:p w:rsidR="003C168C" w:rsidRPr="001F6F0E" w:rsidRDefault="003C168C" w:rsidP="003C168C">
            <w:pPr>
              <w:pStyle w:val="TableDataColumnHeading"/>
              <w:rPr>
                <w:lang w:val="en-GB"/>
              </w:rPr>
            </w:pPr>
            <w:r w:rsidRPr="001F6F0E">
              <w:rPr>
                <w:lang w:val="en-GB"/>
              </w:rPr>
              <w:t>NT</w:t>
            </w:r>
          </w:p>
        </w:tc>
        <w:tc>
          <w:tcPr>
            <w:tcW w:w="709" w:type="dxa"/>
            <w:tcBorders>
              <w:bottom w:val="single" w:sz="8" w:space="0" w:color="FFFFFF" w:themeColor="background1"/>
            </w:tcBorders>
            <w:shd w:val="clear" w:color="auto" w:fill="6F6652"/>
            <w:tcMar>
              <w:left w:w="57" w:type="dxa"/>
              <w:right w:w="57" w:type="dxa"/>
            </w:tcMar>
          </w:tcPr>
          <w:p w:rsidR="003C168C" w:rsidRPr="001F6F0E" w:rsidRDefault="003C168C" w:rsidP="003C168C">
            <w:pPr>
              <w:pStyle w:val="TableDataColumnHeading"/>
              <w:rPr>
                <w:lang w:val="en-GB"/>
              </w:rPr>
            </w:pPr>
            <w:r w:rsidRPr="001F6F0E">
              <w:rPr>
                <w:lang w:val="en-GB"/>
              </w:rPr>
              <w:t>Total</w:t>
            </w:r>
          </w:p>
        </w:tc>
      </w:tr>
      <w:tr w:rsidR="003C168C" w:rsidRPr="001F6F0E" w:rsidTr="003C168C">
        <w:trPr>
          <w:trHeight w:val="230"/>
        </w:trPr>
        <w:tc>
          <w:tcPr>
            <w:tcW w:w="7940" w:type="dxa"/>
            <w:gridSpan w:val="10"/>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3C168C" w:rsidRPr="001F6F0E" w:rsidRDefault="003C168C" w:rsidP="003C168C">
            <w:pPr>
              <w:pStyle w:val="TableHeading1"/>
              <w:rPr>
                <w:lang w:val="en-GB"/>
              </w:rPr>
            </w:pPr>
            <w:r w:rsidRPr="001F6F0E">
              <w:rPr>
                <w:lang w:val="en-GB"/>
              </w:rPr>
              <w:t>NPV of net benefits ($ million)</w:t>
            </w:r>
          </w:p>
        </w:tc>
      </w:tr>
      <w:tr w:rsidR="008D1885" w:rsidRPr="001F6F0E" w:rsidTr="003C168C">
        <w:trPr>
          <w:trHeight w:val="230"/>
        </w:trPr>
        <w:tc>
          <w:tcPr>
            <w:tcW w:w="155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8D1885" w:rsidRPr="001F6F0E" w:rsidRDefault="008D1885" w:rsidP="008D1885">
            <w:pPr>
              <w:pStyle w:val="TableDataEntries"/>
              <w:jc w:val="left"/>
              <w:rPr>
                <w:lang w:val="en-GB"/>
              </w:rPr>
            </w:pPr>
            <w:r w:rsidRPr="001F6F0E">
              <w:rPr>
                <w:lang w:val="en-GB"/>
              </w:rPr>
              <w:t>Low scenario</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9E0D4E" w:rsidRDefault="008D1885" w:rsidP="009E0D4E">
            <w:pPr>
              <w:pStyle w:val="TableDataEntries"/>
            </w:pPr>
            <w:r w:rsidRPr="009E0D4E">
              <w:t xml:space="preserve"> 266.9</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9E0D4E" w:rsidRDefault="008D1885" w:rsidP="009E0D4E">
            <w:pPr>
              <w:pStyle w:val="TableDataEntries"/>
            </w:pPr>
            <w:r w:rsidRPr="009E0D4E">
              <w:t xml:space="preserve"> 271.6</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9E0D4E" w:rsidRDefault="008D1885" w:rsidP="009E0D4E">
            <w:pPr>
              <w:pStyle w:val="TableDataEntries"/>
            </w:pPr>
            <w:r w:rsidRPr="009E0D4E">
              <w:t xml:space="preserve"> 331.8</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9E0D4E" w:rsidRDefault="008D1885" w:rsidP="009E0D4E">
            <w:pPr>
              <w:pStyle w:val="TableDataEntries"/>
            </w:pPr>
            <w:r w:rsidRPr="009E0D4E">
              <w:t xml:space="preserve"> 52.7</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9E0D4E" w:rsidRDefault="008D1885" w:rsidP="009E0D4E">
            <w:pPr>
              <w:pStyle w:val="TableDataEntries"/>
            </w:pPr>
            <w:r w:rsidRPr="009E0D4E">
              <w:t xml:space="preserve"> 142.0</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9E0D4E" w:rsidRDefault="008D1885" w:rsidP="009E0D4E">
            <w:pPr>
              <w:pStyle w:val="TableDataEntries"/>
            </w:pPr>
            <w:r w:rsidRPr="009E0D4E">
              <w:t xml:space="preserve"> 3.6</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9E0D4E" w:rsidRDefault="008D1885" w:rsidP="009E0D4E">
            <w:pPr>
              <w:pStyle w:val="TableDataEntries"/>
            </w:pPr>
            <w:r w:rsidRPr="009E0D4E">
              <w:t xml:space="preserve"> 12.2</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9E0D4E" w:rsidRDefault="008D1885" w:rsidP="009E0D4E">
            <w:pPr>
              <w:pStyle w:val="TableDataEntries"/>
            </w:pPr>
            <w:r w:rsidRPr="009E0D4E">
              <w:t xml:space="preserve"> 26.0</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8D1885" w:rsidRPr="009E0D4E" w:rsidRDefault="008D1885" w:rsidP="009E0D4E">
            <w:pPr>
              <w:pStyle w:val="TableDataEntries"/>
            </w:pPr>
            <w:r w:rsidRPr="009E0D4E">
              <w:t>1 106.8</w:t>
            </w:r>
          </w:p>
        </w:tc>
      </w:tr>
      <w:tr w:rsidR="009E0D4E" w:rsidRPr="001F6F0E" w:rsidTr="003C168C">
        <w:trPr>
          <w:trHeight w:val="230"/>
        </w:trPr>
        <w:tc>
          <w:tcPr>
            <w:tcW w:w="155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9E0D4E" w:rsidRPr="001F6F0E" w:rsidRDefault="009E0D4E" w:rsidP="009E0D4E">
            <w:pPr>
              <w:pStyle w:val="TableDataEntries"/>
              <w:jc w:val="left"/>
              <w:rPr>
                <w:lang w:val="en-GB"/>
              </w:rPr>
            </w:pPr>
            <w:r w:rsidRPr="001F6F0E">
              <w:rPr>
                <w:lang w:val="en-GB"/>
              </w:rPr>
              <w:t>Medium scenario</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492.1</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473.0</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551.7</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98.6</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256.2</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10.4</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23.9</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40.6</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1 946.6</w:t>
            </w:r>
          </w:p>
        </w:tc>
      </w:tr>
      <w:tr w:rsidR="009E0D4E" w:rsidRPr="001F6F0E" w:rsidTr="003C168C">
        <w:trPr>
          <w:trHeight w:val="230"/>
        </w:trPr>
        <w:tc>
          <w:tcPr>
            <w:tcW w:w="155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9E0D4E" w:rsidRPr="001F6F0E" w:rsidRDefault="009E0D4E" w:rsidP="009E0D4E">
            <w:pPr>
              <w:pStyle w:val="TableDataEntries"/>
              <w:jc w:val="left"/>
              <w:rPr>
                <w:lang w:val="en-GB"/>
              </w:rPr>
            </w:pPr>
            <w:r w:rsidRPr="001F6F0E">
              <w:rPr>
                <w:lang w:val="en-GB"/>
              </w:rPr>
              <w:t>High scenario</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717.4</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674.5</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771.6</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144.5</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370.3</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17.2</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35.7</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55.2</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2 786.5</w:t>
            </w:r>
          </w:p>
        </w:tc>
      </w:tr>
      <w:tr w:rsidR="003C168C" w:rsidRPr="001F6F0E" w:rsidTr="003C168C">
        <w:trPr>
          <w:trHeight w:val="230"/>
        </w:trPr>
        <w:tc>
          <w:tcPr>
            <w:tcW w:w="7940" w:type="dxa"/>
            <w:gridSpan w:val="10"/>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3C168C" w:rsidRPr="00BF2EA1" w:rsidRDefault="003C168C" w:rsidP="00BF2EA1">
            <w:pPr>
              <w:pStyle w:val="TableHeading1"/>
            </w:pPr>
            <w:r w:rsidRPr="00BF2EA1">
              <w:t>Benefit-cost ratio</w:t>
            </w:r>
          </w:p>
        </w:tc>
      </w:tr>
      <w:tr w:rsidR="009E0D4E" w:rsidRPr="001F6F0E" w:rsidTr="003C168C">
        <w:trPr>
          <w:trHeight w:val="230"/>
        </w:trPr>
        <w:tc>
          <w:tcPr>
            <w:tcW w:w="155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9E0D4E" w:rsidRPr="001F6F0E" w:rsidRDefault="009E0D4E" w:rsidP="009E0D4E">
            <w:pPr>
              <w:pStyle w:val="TableDataEntries"/>
              <w:jc w:val="left"/>
              <w:rPr>
                <w:lang w:val="en-GB"/>
              </w:rPr>
            </w:pPr>
            <w:r w:rsidRPr="001F6F0E">
              <w:rPr>
                <w:lang w:val="en-GB"/>
              </w:rPr>
              <w:t>Low scenario</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2.4</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3.1</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4.0</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2.3</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2.6</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1.4</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2.1</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9.2</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2.9</w:t>
            </w:r>
          </w:p>
        </w:tc>
      </w:tr>
      <w:tr w:rsidR="009E0D4E" w:rsidRPr="001F6F0E" w:rsidTr="003C168C">
        <w:trPr>
          <w:trHeight w:val="230"/>
        </w:trPr>
        <w:tc>
          <w:tcPr>
            <w:tcW w:w="155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9E0D4E" w:rsidRPr="001F6F0E" w:rsidRDefault="009E0D4E" w:rsidP="009E0D4E">
            <w:pPr>
              <w:pStyle w:val="TableDataEntries"/>
              <w:jc w:val="left"/>
              <w:rPr>
                <w:lang w:val="en-GB"/>
              </w:rPr>
            </w:pPr>
            <w:r w:rsidRPr="001F6F0E">
              <w:rPr>
                <w:lang w:val="en-GB"/>
              </w:rPr>
              <w:t>Medium scenario</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3.7</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4.6</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6.1</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3.5</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4.0</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2.0</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3.1</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13.8</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4.4</w:t>
            </w:r>
          </w:p>
        </w:tc>
      </w:tr>
      <w:tr w:rsidR="009E0D4E" w:rsidRPr="001F6F0E" w:rsidTr="003C168C">
        <w:trPr>
          <w:trHeight w:val="230"/>
        </w:trPr>
        <w:tc>
          <w:tcPr>
            <w:tcW w:w="1559" w:type="dxa"/>
            <w:tcBorders>
              <w:top w:val="single" w:sz="8" w:space="0" w:color="FFFFFF" w:themeColor="background1"/>
              <w:bottom w:val="single" w:sz="6" w:space="0" w:color="6F6652"/>
            </w:tcBorders>
            <w:shd w:val="clear" w:color="auto" w:fill="E9E8E5" w:themeFill="background2"/>
            <w:tcMar>
              <w:left w:w="57" w:type="dxa"/>
              <w:right w:w="57" w:type="dxa"/>
            </w:tcMar>
          </w:tcPr>
          <w:p w:rsidR="009E0D4E" w:rsidRPr="001F6F0E" w:rsidRDefault="009E0D4E" w:rsidP="009E0D4E">
            <w:pPr>
              <w:pStyle w:val="TableDataEntries"/>
              <w:jc w:val="left"/>
              <w:rPr>
                <w:lang w:val="en-GB"/>
              </w:rPr>
            </w:pPr>
            <w:r w:rsidRPr="001F6F0E">
              <w:rPr>
                <w:lang w:val="en-GB"/>
              </w:rPr>
              <w:t>High scenario</w:t>
            </w:r>
          </w:p>
        </w:tc>
        <w:tc>
          <w:tcPr>
            <w:tcW w:w="709"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4.9</w:t>
            </w:r>
          </w:p>
        </w:tc>
        <w:tc>
          <w:tcPr>
            <w:tcW w:w="709"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6.1</w:t>
            </w:r>
          </w:p>
        </w:tc>
        <w:tc>
          <w:tcPr>
            <w:tcW w:w="709"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8.1</w:t>
            </w:r>
          </w:p>
        </w:tc>
        <w:tc>
          <w:tcPr>
            <w:tcW w:w="709"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4.7</w:t>
            </w:r>
          </w:p>
        </w:tc>
        <w:tc>
          <w:tcPr>
            <w:tcW w:w="709"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5.3</w:t>
            </w:r>
          </w:p>
        </w:tc>
        <w:tc>
          <w:tcPr>
            <w:tcW w:w="709"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2.7</w:t>
            </w:r>
          </w:p>
        </w:tc>
        <w:tc>
          <w:tcPr>
            <w:tcW w:w="709"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4.1</w:t>
            </w:r>
          </w:p>
        </w:tc>
        <w:tc>
          <w:tcPr>
            <w:tcW w:w="709"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18.4</w:t>
            </w:r>
          </w:p>
        </w:tc>
        <w:tc>
          <w:tcPr>
            <w:tcW w:w="709"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5.8</w:t>
            </w:r>
          </w:p>
        </w:tc>
      </w:tr>
    </w:tbl>
    <w:p w:rsidR="00CA6CF4" w:rsidRPr="00E968E3" w:rsidRDefault="00CA6CF4" w:rsidP="00CA6CF4">
      <w:pPr>
        <w:pStyle w:val="Note"/>
      </w:pPr>
      <w:r w:rsidRPr="00E968E3">
        <w:rPr>
          <w:i/>
        </w:rPr>
        <w:t>Note:</w:t>
      </w:r>
      <w:r w:rsidRPr="00E968E3">
        <w:t xml:space="preserve"> </w:t>
      </w:r>
      <w:r>
        <w:rPr>
          <w:lang w:bidi="fa-IR"/>
        </w:rPr>
        <w:t xml:space="preserve">Net impacts include the private benefits and costs to building owners/tenants and the global benefits from reduced GHG emissions. </w:t>
      </w:r>
      <w:r w:rsidRPr="00E968E3">
        <w:t>Costs and benefits estimated over the 40 year life of commercial building construction over a ten year regulatory period, using a discount rate of 7 per cent.</w:t>
      </w:r>
    </w:p>
    <w:p w:rsidR="003C168C" w:rsidRPr="001F6F0E" w:rsidRDefault="003C168C" w:rsidP="003C168C">
      <w:pPr>
        <w:pStyle w:val="Source"/>
      </w:pPr>
      <w:r w:rsidRPr="001F6F0E">
        <w:rPr>
          <w:i/>
        </w:rPr>
        <w:t>Source:</w:t>
      </w:r>
      <w:r w:rsidRPr="001F6F0E">
        <w:t xml:space="preserve"> CIE estimates based on </w:t>
      </w:r>
      <w:r w:rsidR="003F28DD">
        <w:t>EA</w:t>
      </w:r>
      <w:r w:rsidRPr="001F6F0E">
        <w:t xml:space="preserve"> modelling</w:t>
      </w:r>
    </w:p>
    <w:p w:rsidR="00FE583D" w:rsidRDefault="003E627B" w:rsidP="00906478">
      <w:pPr>
        <w:pStyle w:val="BodyText"/>
        <w:rPr>
          <w:highlight w:val="yellow"/>
        </w:rPr>
      </w:pPr>
      <w:r w:rsidRPr="001F6F0E">
        <w:t>This change in insulation construction costs does not affect the CBA results very much – the proposed changes still generate positive net benefits for all cases which fall only slightly.</w:t>
      </w:r>
    </w:p>
    <w:p w:rsidR="00FE583D" w:rsidRPr="002B3C0A" w:rsidRDefault="00FE583D" w:rsidP="002B3C0A">
      <w:pPr>
        <w:pStyle w:val="Heading4"/>
      </w:pPr>
      <w:r w:rsidRPr="002B3C0A">
        <w:t>Break</w:t>
      </w:r>
      <w:r w:rsidRPr="002B3C0A">
        <w:noBreakHyphen/>
        <w:t>even analysis</w:t>
      </w:r>
    </w:p>
    <w:p w:rsidR="007229DE" w:rsidRPr="002B3C0A" w:rsidRDefault="007229DE" w:rsidP="00612FD3">
      <w:pPr>
        <w:pStyle w:val="BodyText"/>
      </w:pPr>
      <w:r w:rsidRPr="002B3C0A">
        <w:t xml:space="preserve">As outlined in appendix A, there is some evidence that CBAs of energy efficiency measures frequently understate costs. </w:t>
      </w:r>
    </w:p>
    <w:p w:rsidR="00612FD3" w:rsidRPr="002B3C0A" w:rsidRDefault="00612FD3" w:rsidP="00612FD3">
      <w:pPr>
        <w:pStyle w:val="BodyText"/>
      </w:pPr>
      <w:r w:rsidRPr="002B3C0A">
        <w:t>Table </w:t>
      </w:r>
      <w:r w:rsidRPr="002B3C0A">
        <w:rPr>
          <w:noProof/>
        </w:rPr>
        <w:fldChar w:fldCharType="begin"/>
      </w:r>
      <w:r w:rsidRPr="002B3C0A">
        <w:rPr>
          <w:noProof/>
        </w:rPr>
        <w:instrText xml:space="preserve"> REF _Caption1684  \* MERGEFORMAT </w:instrText>
      </w:r>
      <w:r w:rsidRPr="002B3C0A">
        <w:rPr>
          <w:noProof/>
        </w:rPr>
        <w:fldChar w:fldCharType="separate"/>
      </w:r>
      <w:r w:rsidR="006B79B8">
        <w:rPr>
          <w:noProof/>
        </w:rPr>
        <w:t>8</w:t>
      </w:r>
      <w:r w:rsidR="006B79B8" w:rsidRPr="002B3C0A">
        <w:rPr>
          <w:noProof/>
        </w:rPr>
        <w:t>.</w:t>
      </w:r>
      <w:r w:rsidR="006B79B8">
        <w:rPr>
          <w:noProof/>
        </w:rPr>
        <w:t>21</w:t>
      </w:r>
      <w:r w:rsidRPr="002B3C0A">
        <w:rPr>
          <w:noProof/>
        </w:rPr>
        <w:fldChar w:fldCharType="end"/>
      </w:r>
      <w:r w:rsidRPr="002B3C0A">
        <w:t xml:space="preserve"> shows break</w:t>
      </w:r>
      <w:r w:rsidRPr="002B3C0A">
        <w:noBreakHyphen/>
        <w:t>even additional construction costs for the low, medium and high realisation scenarios. It uses the simplifying assumption that the additional construction costs apply uniformly across all building types. The break</w:t>
      </w:r>
      <w:r w:rsidRPr="002B3C0A">
        <w:noBreakHyphen/>
        <w:t>even construction costs indicate the additional construction cost that would need to be incurred to achieve compliance with the proposed changes (relative to the baseline) for a net benefit of zero (or a BCR of 1).</w:t>
      </w:r>
    </w:p>
    <w:p w:rsidR="00612FD3" w:rsidRPr="002B3C0A" w:rsidRDefault="00612FD3" w:rsidP="00612FD3">
      <w:pPr>
        <w:pStyle w:val="ListBullet"/>
        <w:numPr>
          <w:ilvl w:val="0"/>
          <w:numId w:val="36"/>
        </w:numPr>
      </w:pPr>
      <w:r w:rsidRPr="002B3C0A">
        <w:t>If actual additional construction costs turn out to be higher than the break</w:t>
      </w:r>
      <w:r w:rsidRPr="002B3C0A">
        <w:noBreakHyphen/>
        <w:t>even point, proposed changes to the NCC would deliver a net cost.</w:t>
      </w:r>
    </w:p>
    <w:p w:rsidR="00612FD3" w:rsidRPr="002B3C0A" w:rsidRDefault="00612FD3" w:rsidP="00612FD3">
      <w:pPr>
        <w:pStyle w:val="ListBullet"/>
        <w:numPr>
          <w:ilvl w:val="0"/>
          <w:numId w:val="36"/>
        </w:numPr>
      </w:pPr>
      <w:r w:rsidRPr="002B3C0A">
        <w:t>On the other hand, if actual additional construction costs turn out to be lower than the break</w:t>
      </w:r>
      <w:r w:rsidRPr="002B3C0A">
        <w:noBreakHyphen/>
        <w:t xml:space="preserve">even point (as suggested by </w:t>
      </w:r>
      <w:r w:rsidR="003F28DD">
        <w:t>EA</w:t>
      </w:r>
      <w:r w:rsidRPr="002B3C0A">
        <w:t xml:space="preserve"> modelling), the proposed changes to the NCC would deliver a net benefit.</w:t>
      </w:r>
    </w:p>
    <w:p w:rsidR="00612FD3" w:rsidRPr="002B3C0A" w:rsidRDefault="00612FD3" w:rsidP="00612FD3">
      <w:pPr>
        <w:pStyle w:val="BodyText"/>
        <w:rPr>
          <w:lang w:eastAsia="en-US"/>
        </w:rPr>
      </w:pPr>
      <w:r w:rsidRPr="002B3C0A">
        <w:t>The break</w:t>
      </w:r>
      <w:r w:rsidRPr="002B3C0A">
        <w:noBreakHyphen/>
        <w:t>even analysis suggests that if the proposed changes to NCC increased construction costs by $32 per m</w:t>
      </w:r>
      <w:r w:rsidRPr="002B3C0A">
        <w:rPr>
          <w:vertAlign w:val="superscript"/>
        </w:rPr>
        <w:t>2</w:t>
      </w:r>
      <w:r w:rsidRPr="002B3C0A">
        <w:t xml:space="preserve"> across all building types, there would be a net cost under the low realisation scenario. This appears to be well within a plausible range suggested by other studies such as pitt&amp;sherry (2016).</w:t>
      </w:r>
    </w:p>
    <w:p w:rsidR="00143A66" w:rsidRDefault="00143A66" w:rsidP="00612FD3">
      <w:pPr>
        <w:pStyle w:val="Caption"/>
        <w:spacing w:before="240"/>
      </w:pPr>
      <w:r>
        <w:br w:type="page"/>
      </w:r>
    </w:p>
    <w:p w:rsidR="00612FD3" w:rsidRPr="002B3C0A" w:rsidRDefault="00612FD3" w:rsidP="00612FD3">
      <w:pPr>
        <w:pStyle w:val="Caption"/>
        <w:spacing w:before="240"/>
      </w:pPr>
      <w:r w:rsidRPr="002B3C0A">
        <w:fldChar w:fldCharType="begin"/>
      </w:r>
      <w:r w:rsidRPr="002B3C0A">
        <w:instrText xml:space="preserve"> IF 1 = 1 "</w:instrText>
      </w:r>
      <w:r w:rsidRPr="002B3C0A">
        <w:fldChar w:fldCharType="begin"/>
      </w:r>
      <w:r w:rsidRPr="002B3C0A">
        <w:instrText xml:space="preserve"> IF </w:instrText>
      </w:r>
      <w:r w:rsidRPr="002B3C0A">
        <w:rPr>
          <w:noProof/>
        </w:rPr>
        <w:fldChar w:fldCharType="begin"/>
      </w:r>
      <w:r w:rsidRPr="002B3C0A">
        <w:rPr>
          <w:noProof/>
        </w:rPr>
        <w:instrText xml:space="preserve"> STYLEREF "Heading 6" \l \n </w:instrText>
      </w:r>
      <w:r w:rsidRPr="002B3C0A">
        <w:rPr>
          <w:noProof/>
        </w:rPr>
        <w:fldChar w:fldCharType="separate"/>
      </w:r>
      <w:r w:rsidR="00B833F1">
        <w:rPr>
          <w:noProof/>
        </w:rPr>
        <w:instrText>0</w:instrText>
      </w:r>
      <w:r w:rsidRPr="002B3C0A">
        <w:rPr>
          <w:noProof/>
        </w:rPr>
        <w:fldChar w:fldCharType="end"/>
      </w:r>
      <w:r w:rsidRPr="002B3C0A">
        <w:instrText xml:space="preserve"> = 0 "</w:instrText>
      </w:r>
      <w:r w:rsidRPr="002B3C0A">
        <w:fldChar w:fldCharType="begin"/>
      </w:r>
      <w:r w:rsidRPr="002B3C0A">
        <w:instrText xml:space="preserve"> IF </w:instrText>
      </w:r>
      <w:r w:rsidRPr="002B3C0A">
        <w:rPr>
          <w:noProof/>
        </w:rPr>
        <w:fldChar w:fldCharType="begin"/>
      </w:r>
      <w:r w:rsidRPr="002B3C0A">
        <w:rPr>
          <w:noProof/>
        </w:rPr>
        <w:instrText xml:space="preserve"> STYLEREF "Heading 1" \l \n </w:instrText>
      </w:r>
      <w:r w:rsidRPr="002B3C0A">
        <w:rPr>
          <w:noProof/>
        </w:rPr>
        <w:fldChar w:fldCharType="separate"/>
      </w:r>
      <w:r w:rsidR="00B833F1">
        <w:rPr>
          <w:noProof/>
        </w:rPr>
        <w:instrText>8</w:instrText>
      </w:r>
      <w:r w:rsidRPr="002B3C0A">
        <w:rPr>
          <w:noProof/>
        </w:rPr>
        <w:fldChar w:fldCharType="end"/>
      </w:r>
      <w:r w:rsidRPr="002B3C0A">
        <w:instrText xml:space="preserve"> = 0 "" "</w:instrText>
      </w:r>
      <w:r w:rsidRPr="002B3C0A">
        <w:rPr>
          <w:noProof/>
        </w:rPr>
        <w:fldChar w:fldCharType="begin"/>
      </w:r>
      <w:r w:rsidRPr="002B3C0A">
        <w:rPr>
          <w:noProof/>
        </w:rPr>
        <w:instrText xml:space="preserve"> STYLEREF "Heading 1" \l \n </w:instrText>
      </w:r>
      <w:r w:rsidRPr="002B3C0A">
        <w:rPr>
          <w:noProof/>
        </w:rPr>
        <w:fldChar w:fldCharType="separate"/>
      </w:r>
      <w:r w:rsidR="00B833F1">
        <w:rPr>
          <w:noProof/>
        </w:rPr>
        <w:instrText>8</w:instrText>
      </w:r>
      <w:r w:rsidRPr="002B3C0A">
        <w:rPr>
          <w:noProof/>
        </w:rPr>
        <w:fldChar w:fldCharType="end"/>
      </w:r>
      <w:r w:rsidRPr="002B3C0A">
        <w:instrText xml:space="preserve">." </w:instrText>
      </w:r>
      <w:r w:rsidRPr="002B3C0A">
        <w:fldChar w:fldCharType="separate"/>
      </w:r>
      <w:r w:rsidR="00B833F1">
        <w:rPr>
          <w:noProof/>
        </w:rPr>
        <w:instrText>8</w:instrText>
      </w:r>
      <w:r w:rsidR="00B833F1" w:rsidRPr="002B3C0A">
        <w:rPr>
          <w:noProof/>
        </w:rPr>
        <w:instrText>.</w:instrText>
      </w:r>
      <w:r w:rsidRPr="002B3C0A">
        <w:fldChar w:fldCharType="end"/>
      </w:r>
      <w:r w:rsidRPr="002B3C0A">
        <w:instrText>" "</w:instrText>
      </w:r>
      <w:r w:rsidR="001F6F43">
        <w:fldChar w:fldCharType="begin"/>
      </w:r>
      <w:r w:rsidR="001F6F43">
        <w:instrText xml:space="preserve"> STYLEREF "Heading 6" \l \n </w:instrText>
      </w:r>
      <w:r w:rsidR="001F6F43">
        <w:fldChar w:fldCharType="separate"/>
      </w:r>
      <w:r w:rsidRPr="002B3C0A">
        <w:instrText>B</w:instrText>
      </w:r>
      <w:r w:rsidR="001F6F43">
        <w:fldChar w:fldCharType="end"/>
      </w:r>
      <w:r w:rsidRPr="002B3C0A">
        <w:instrText xml:space="preserve">." </w:instrText>
      </w:r>
      <w:r w:rsidRPr="002B3C0A">
        <w:fldChar w:fldCharType="separate"/>
      </w:r>
      <w:r w:rsidR="00EA42ED">
        <w:rPr>
          <w:noProof/>
        </w:rPr>
        <w:instrText>8</w:instrText>
      </w:r>
      <w:r w:rsidR="00EA42ED" w:rsidRPr="002B3C0A">
        <w:rPr>
          <w:noProof/>
        </w:rPr>
        <w:instrText>.</w:instrText>
      </w:r>
      <w:r w:rsidRPr="002B3C0A">
        <w:fldChar w:fldCharType="end"/>
      </w:r>
      <w:r w:rsidRPr="002B3C0A">
        <w:fldChar w:fldCharType="begin"/>
      </w:r>
      <w:r w:rsidRPr="002B3C0A">
        <w:instrText xml:space="preserve"> SEQ Item \* ARABIC \s </w:instrText>
      </w:r>
      <w:r w:rsidRPr="002B3C0A">
        <w:fldChar w:fldCharType="begin"/>
      </w:r>
      <w:r w:rsidRPr="002B3C0A">
        <w:instrText xml:space="preserve"> IF </w:instrText>
      </w:r>
      <w:r w:rsidRPr="002B3C0A">
        <w:rPr>
          <w:noProof/>
        </w:rPr>
        <w:fldChar w:fldCharType="begin"/>
      </w:r>
      <w:r w:rsidRPr="002B3C0A">
        <w:rPr>
          <w:noProof/>
        </w:rPr>
        <w:instrText xml:space="preserve"> STYLEREF "Heading 6" \l \n </w:instrText>
      </w:r>
      <w:r w:rsidRPr="002B3C0A">
        <w:rPr>
          <w:noProof/>
        </w:rPr>
        <w:fldChar w:fldCharType="separate"/>
      </w:r>
      <w:r w:rsidR="00B833F1">
        <w:rPr>
          <w:noProof/>
        </w:rPr>
        <w:instrText>0</w:instrText>
      </w:r>
      <w:r w:rsidRPr="002B3C0A">
        <w:rPr>
          <w:noProof/>
        </w:rPr>
        <w:fldChar w:fldCharType="end"/>
      </w:r>
      <w:r w:rsidRPr="002B3C0A">
        <w:instrText xml:space="preserve"> = 0 "</w:instrText>
      </w:r>
      <w:r w:rsidRPr="002B3C0A">
        <w:fldChar w:fldCharType="begin"/>
      </w:r>
      <w:r w:rsidRPr="002B3C0A">
        <w:instrText xml:space="preserve"> IF </w:instrText>
      </w:r>
      <w:r w:rsidRPr="002B3C0A">
        <w:rPr>
          <w:noProof/>
        </w:rPr>
        <w:fldChar w:fldCharType="begin"/>
      </w:r>
      <w:r w:rsidRPr="002B3C0A">
        <w:rPr>
          <w:noProof/>
        </w:rPr>
        <w:instrText xml:space="preserve"> STYLEREF "Heading 1" \l \n </w:instrText>
      </w:r>
      <w:r w:rsidRPr="002B3C0A">
        <w:rPr>
          <w:noProof/>
        </w:rPr>
        <w:fldChar w:fldCharType="separate"/>
      </w:r>
      <w:r w:rsidR="00B833F1">
        <w:rPr>
          <w:noProof/>
        </w:rPr>
        <w:instrText>8</w:instrText>
      </w:r>
      <w:r w:rsidRPr="002B3C0A">
        <w:rPr>
          <w:noProof/>
        </w:rPr>
        <w:fldChar w:fldCharType="end"/>
      </w:r>
      <w:r w:rsidRPr="002B3C0A">
        <w:instrText xml:space="preserve"> = 0 "" "1" </w:instrText>
      </w:r>
      <w:r w:rsidRPr="002B3C0A">
        <w:fldChar w:fldCharType="separate"/>
      </w:r>
      <w:r w:rsidR="00EA42ED" w:rsidRPr="002B3C0A">
        <w:rPr>
          <w:noProof/>
        </w:rPr>
        <w:instrText>1</w:instrText>
      </w:r>
      <w:r w:rsidRPr="002B3C0A">
        <w:fldChar w:fldCharType="end"/>
      </w:r>
      <w:r w:rsidRPr="002B3C0A">
        <w:instrText xml:space="preserve">" "6" </w:instrText>
      </w:r>
      <w:r w:rsidRPr="002B3C0A">
        <w:fldChar w:fldCharType="separate"/>
      </w:r>
      <w:r w:rsidR="00EA42ED" w:rsidRPr="002B3C0A">
        <w:rPr>
          <w:noProof/>
        </w:rPr>
        <w:instrText>1</w:instrText>
      </w:r>
      <w:r w:rsidRPr="002B3C0A">
        <w:fldChar w:fldCharType="end"/>
      </w:r>
      <w:r w:rsidRPr="002B3C0A">
        <w:instrText xml:space="preserve"> </w:instrText>
      </w:r>
      <w:r w:rsidRPr="002B3C0A">
        <w:fldChar w:fldCharType="separate"/>
      </w:r>
      <w:r w:rsidR="00B833F1">
        <w:rPr>
          <w:noProof/>
        </w:rPr>
        <w:instrText>21</w:instrText>
      </w:r>
      <w:r w:rsidRPr="002B3C0A">
        <w:fldChar w:fldCharType="end"/>
      </w:r>
      <w:r w:rsidRPr="002B3C0A">
        <w:instrText xml:space="preserve">" "" </w:instrText>
      </w:r>
      <w:r w:rsidRPr="002B3C0A">
        <w:fldChar w:fldCharType="separate"/>
      </w:r>
      <w:bookmarkStart w:id="4209" w:name="_Caption8974"/>
      <w:bookmarkStart w:id="4210" w:name="_Caption1678"/>
      <w:bookmarkStart w:id="4211" w:name="_Caption2641"/>
      <w:bookmarkStart w:id="4212" w:name="_Caption3544"/>
      <w:bookmarkStart w:id="4213" w:name="_Caption8939"/>
      <w:bookmarkStart w:id="4214" w:name="_Caption7473"/>
      <w:bookmarkStart w:id="4215" w:name="_Caption8182"/>
      <w:bookmarkStart w:id="4216" w:name="_Caption8007"/>
      <w:bookmarkStart w:id="4217" w:name="_Caption1187"/>
      <w:bookmarkStart w:id="4218" w:name="_Caption2593"/>
      <w:bookmarkStart w:id="4219" w:name="_Caption6516"/>
      <w:bookmarkStart w:id="4220" w:name="_Caption4549"/>
      <w:bookmarkStart w:id="4221" w:name="_Caption5122"/>
      <w:bookmarkStart w:id="4222" w:name="_Caption1655"/>
      <w:bookmarkStart w:id="4223" w:name="_Caption9661"/>
      <w:bookmarkStart w:id="4224" w:name="_Caption3615"/>
      <w:bookmarkStart w:id="4225" w:name="_Caption9381"/>
      <w:bookmarkStart w:id="4226" w:name="_Caption8196"/>
      <w:bookmarkStart w:id="4227" w:name="_Caption8046"/>
      <w:bookmarkStart w:id="4228" w:name="_Caption6423"/>
      <w:bookmarkStart w:id="4229" w:name="_Caption7124"/>
      <w:bookmarkStart w:id="4230" w:name="_Caption8421"/>
      <w:bookmarkStart w:id="4231" w:name="_Caption5641"/>
      <w:bookmarkStart w:id="4232" w:name="_Caption6941"/>
      <w:bookmarkStart w:id="4233" w:name="_Caption2285"/>
      <w:bookmarkStart w:id="4234" w:name="_Caption7183"/>
      <w:bookmarkStart w:id="4235" w:name="_Caption0031"/>
      <w:bookmarkStart w:id="4236" w:name="_Caption2948"/>
      <w:bookmarkStart w:id="4237" w:name="_Caption2897"/>
      <w:bookmarkStart w:id="4238" w:name="_Caption6911"/>
      <w:bookmarkStart w:id="4239" w:name="_Caption7160"/>
      <w:bookmarkStart w:id="4240" w:name="_Caption5588"/>
      <w:bookmarkStart w:id="4241" w:name="_Caption6106"/>
      <w:bookmarkStart w:id="4242" w:name="_Caption8596"/>
      <w:bookmarkStart w:id="4243" w:name="_Caption8359"/>
      <w:bookmarkStart w:id="4244" w:name="_Caption1684"/>
      <w:bookmarkStart w:id="4245" w:name="_Caption2212"/>
      <w:bookmarkStart w:id="4246" w:name="_Caption7583"/>
      <w:bookmarkStart w:id="4247" w:name="_Caption1935"/>
      <w:bookmarkStart w:id="4248" w:name="_Caption7471"/>
      <w:bookmarkStart w:id="4249" w:name="_Caption7004"/>
      <w:bookmarkStart w:id="4250" w:name="_Caption5783"/>
      <w:bookmarkStart w:id="4251" w:name="_Caption3058"/>
      <w:bookmarkStart w:id="4252" w:name="_Caption7927"/>
      <w:bookmarkStart w:id="4253" w:name="_Caption0787"/>
      <w:bookmarkStart w:id="4254" w:name="_Caption3702"/>
      <w:bookmarkStart w:id="4255" w:name="_Caption6800"/>
      <w:bookmarkStart w:id="4256" w:name="_Caption6918"/>
      <w:bookmarkStart w:id="4257" w:name="_Caption1865"/>
      <w:bookmarkStart w:id="4258" w:name="_Caption9640"/>
      <w:bookmarkStart w:id="4259" w:name="_Caption5728"/>
      <w:bookmarkStart w:id="4260" w:name="_Caption0028"/>
      <w:bookmarkStart w:id="4261" w:name="_Caption3569"/>
      <w:bookmarkStart w:id="4262" w:name="_Caption7077"/>
      <w:bookmarkStart w:id="4263" w:name="_Caption3445"/>
      <w:bookmarkStart w:id="4264" w:name="_Caption3301"/>
      <w:bookmarkStart w:id="4265" w:name="_Caption2620"/>
      <w:bookmarkStart w:id="4266" w:name="_Caption9152"/>
      <w:bookmarkStart w:id="4267" w:name="_Caption6253"/>
      <w:bookmarkStart w:id="4268" w:name="_Caption1896"/>
      <w:bookmarkStart w:id="4269" w:name="_Caption1375"/>
      <w:bookmarkStart w:id="4270" w:name="_Caption9822"/>
      <w:bookmarkStart w:id="4271" w:name="_Caption8205"/>
      <w:bookmarkStart w:id="4272" w:name="_Caption5473"/>
      <w:bookmarkStart w:id="4273" w:name="_Caption5093"/>
      <w:bookmarkStart w:id="4274" w:name="_Caption9499"/>
      <w:bookmarkStart w:id="4275" w:name="_Caption7089"/>
      <w:bookmarkStart w:id="4276" w:name="_Caption3289"/>
      <w:bookmarkStart w:id="4277" w:name="_Caption2434"/>
      <w:bookmarkStart w:id="4278" w:name="_Caption2806"/>
      <w:bookmarkStart w:id="4279" w:name="_Toc509220868"/>
      <w:bookmarkStart w:id="4280" w:name="_Toc529869960"/>
      <w:bookmarkStart w:id="4281" w:name="_Toc530748456"/>
      <w:r w:rsidR="00EA42ED">
        <w:rPr>
          <w:noProof/>
        </w:rPr>
        <w:t>8</w:t>
      </w:r>
      <w:r w:rsidR="00EA42ED" w:rsidRPr="002B3C0A">
        <w:rPr>
          <w:noProof/>
        </w:rPr>
        <w:t>.</w:t>
      </w:r>
      <w:r w:rsidR="00EA42ED">
        <w:rPr>
          <w:noProof/>
        </w:rPr>
        <w:t>21</w:t>
      </w:r>
      <w:bookmarkStart w:id="4282" w:name="_Toc507523819"/>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r w:rsidRPr="002B3C0A">
        <w:fldChar w:fldCharType="end"/>
      </w:r>
      <w:r w:rsidRPr="002B3C0A">
        <w:tab/>
        <w:t>Break-even addition</w:t>
      </w:r>
      <w:r w:rsidR="001423D2" w:rsidRPr="002B3C0A">
        <w:t>al</w:t>
      </w:r>
      <w:r w:rsidRPr="002B3C0A">
        <w:t xml:space="preserve"> construction cost</w:t>
      </w:r>
      <w:bookmarkEnd w:id="4279"/>
      <w:bookmarkEnd w:id="4280"/>
      <w:bookmarkEnd w:id="4281"/>
      <w:bookmarkEnd w:id="4282"/>
    </w:p>
    <w:tbl>
      <w:tblPr>
        <w:tblW w:w="7937" w:type="dxa"/>
        <w:tblLayout w:type="fixed"/>
        <w:tblLook w:val="0000" w:firstRow="0" w:lastRow="0" w:firstColumn="0" w:lastColumn="0" w:noHBand="0" w:noVBand="0"/>
        <w:tblCaption w:val="Table 8.21: Break-even additional construction cost"/>
        <w:tblDescription w:val="This table shows the break even  ammount for construction cost. The break-even ammount ranges from $32.31 to $65.04. "/>
      </w:tblPr>
      <w:tblGrid>
        <w:gridCol w:w="3968"/>
        <w:gridCol w:w="3969"/>
      </w:tblGrid>
      <w:tr w:rsidR="00612FD3" w:rsidRPr="007229DE" w:rsidTr="00301B6D">
        <w:tc>
          <w:tcPr>
            <w:tcW w:w="3968" w:type="dxa"/>
            <w:shd w:val="clear" w:color="auto" w:fill="6F6652"/>
            <w:tcMar>
              <w:left w:w="57" w:type="dxa"/>
              <w:right w:w="57" w:type="dxa"/>
            </w:tcMar>
          </w:tcPr>
          <w:p w:rsidR="00612FD3" w:rsidRPr="002B3C0A" w:rsidRDefault="00612FD3" w:rsidP="00301B6D">
            <w:pPr>
              <w:pStyle w:val="TableDataColumnHeading"/>
              <w:jc w:val="left"/>
            </w:pPr>
          </w:p>
        </w:tc>
        <w:tc>
          <w:tcPr>
            <w:tcW w:w="3969" w:type="dxa"/>
            <w:shd w:val="clear" w:color="auto" w:fill="6F6652"/>
            <w:tcMar>
              <w:left w:w="57" w:type="dxa"/>
              <w:right w:w="57" w:type="dxa"/>
            </w:tcMar>
          </w:tcPr>
          <w:p w:rsidR="00612FD3" w:rsidRPr="002B3C0A" w:rsidRDefault="00612FD3" w:rsidP="00301B6D">
            <w:pPr>
              <w:pStyle w:val="TableDataColumnHeading"/>
            </w:pPr>
            <w:r w:rsidRPr="002B3C0A">
              <w:t>Break-even construction cost</w:t>
            </w:r>
          </w:p>
        </w:tc>
      </w:tr>
      <w:tr w:rsidR="00612FD3" w:rsidRPr="007229DE" w:rsidTr="00301B6D">
        <w:tc>
          <w:tcPr>
            <w:tcW w:w="3968" w:type="dxa"/>
            <w:tcBorders>
              <w:bottom w:val="single" w:sz="8" w:space="0" w:color="FFFFFF" w:themeColor="background1"/>
            </w:tcBorders>
            <w:shd w:val="clear" w:color="auto" w:fill="auto"/>
            <w:tcMar>
              <w:left w:w="57" w:type="dxa"/>
              <w:right w:w="57" w:type="dxa"/>
            </w:tcMar>
          </w:tcPr>
          <w:p w:rsidR="00612FD3" w:rsidRPr="002B3C0A" w:rsidRDefault="00612FD3" w:rsidP="00301B6D">
            <w:pPr>
              <w:pStyle w:val="TableUnit"/>
              <w:jc w:val="left"/>
            </w:pPr>
          </w:p>
        </w:tc>
        <w:tc>
          <w:tcPr>
            <w:tcW w:w="3969" w:type="dxa"/>
            <w:tcBorders>
              <w:bottom w:val="single" w:sz="8" w:space="0" w:color="FFFFFF" w:themeColor="background1"/>
            </w:tcBorders>
            <w:shd w:val="clear" w:color="auto" w:fill="auto"/>
            <w:tcMar>
              <w:left w:w="57" w:type="dxa"/>
              <w:right w:w="57" w:type="dxa"/>
            </w:tcMar>
          </w:tcPr>
          <w:p w:rsidR="00612FD3" w:rsidRPr="002B3C0A" w:rsidRDefault="00612FD3" w:rsidP="00301B6D">
            <w:pPr>
              <w:pStyle w:val="TableUnit"/>
            </w:pPr>
            <w:r w:rsidRPr="002B3C0A">
              <w:t>$ per m</w:t>
            </w:r>
            <w:r w:rsidRPr="002B3C0A">
              <w:rPr>
                <w:vertAlign w:val="superscript"/>
              </w:rPr>
              <w:t>2</w:t>
            </w:r>
          </w:p>
        </w:tc>
      </w:tr>
      <w:tr w:rsidR="00612FD3" w:rsidRPr="007229DE" w:rsidTr="00301B6D">
        <w:tc>
          <w:tcPr>
            <w:tcW w:w="396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Pr="002B3C0A" w:rsidRDefault="00612FD3" w:rsidP="00301B6D">
            <w:pPr>
              <w:pStyle w:val="TableDataEntries"/>
              <w:jc w:val="left"/>
            </w:pPr>
            <w:r w:rsidRPr="002B3C0A">
              <w:t>Low scenario</w:t>
            </w:r>
          </w:p>
        </w:tc>
        <w:tc>
          <w:tcPr>
            <w:tcW w:w="396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Pr="002B3C0A" w:rsidRDefault="007229DE" w:rsidP="00301B6D">
            <w:pPr>
              <w:pStyle w:val="TableDataEntries"/>
            </w:pPr>
            <w:r>
              <w:t>32.</w:t>
            </w:r>
            <w:r w:rsidR="00BF2EA1">
              <w:t>4</w:t>
            </w:r>
            <w:r>
              <w:t>1</w:t>
            </w:r>
          </w:p>
        </w:tc>
      </w:tr>
      <w:tr w:rsidR="00612FD3" w:rsidRPr="007229DE" w:rsidTr="00301B6D">
        <w:tc>
          <w:tcPr>
            <w:tcW w:w="396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Pr="002B3C0A" w:rsidRDefault="00612FD3" w:rsidP="00301B6D">
            <w:pPr>
              <w:pStyle w:val="TableDataEntries"/>
              <w:jc w:val="left"/>
            </w:pPr>
            <w:r w:rsidRPr="002B3C0A">
              <w:t>Medium scenario</w:t>
            </w:r>
          </w:p>
        </w:tc>
        <w:tc>
          <w:tcPr>
            <w:tcW w:w="396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Pr="002B3C0A" w:rsidRDefault="00BF2EA1" w:rsidP="00301B6D">
            <w:pPr>
              <w:pStyle w:val="TableDataEntries"/>
            </w:pPr>
            <w:r>
              <w:t>48.72</w:t>
            </w:r>
          </w:p>
        </w:tc>
      </w:tr>
      <w:tr w:rsidR="00612FD3" w:rsidRPr="007229DE" w:rsidTr="00301B6D">
        <w:tc>
          <w:tcPr>
            <w:tcW w:w="3968" w:type="dxa"/>
            <w:tcBorders>
              <w:top w:val="single" w:sz="8" w:space="0" w:color="FFFFFF" w:themeColor="background1"/>
              <w:bottom w:val="single" w:sz="6" w:space="0" w:color="6F6652"/>
            </w:tcBorders>
            <w:shd w:val="clear" w:color="auto" w:fill="E9E8E5" w:themeFill="background2"/>
            <w:tcMar>
              <w:left w:w="57" w:type="dxa"/>
              <w:right w:w="57" w:type="dxa"/>
            </w:tcMar>
          </w:tcPr>
          <w:p w:rsidR="00612FD3" w:rsidRPr="002B3C0A" w:rsidRDefault="00612FD3" w:rsidP="00301B6D">
            <w:pPr>
              <w:pStyle w:val="TableDataEntries"/>
              <w:jc w:val="left"/>
            </w:pPr>
            <w:r w:rsidRPr="002B3C0A">
              <w:t>High scenario</w:t>
            </w:r>
          </w:p>
        </w:tc>
        <w:tc>
          <w:tcPr>
            <w:tcW w:w="3969" w:type="dxa"/>
            <w:tcBorders>
              <w:top w:val="single" w:sz="8" w:space="0" w:color="FFFFFF" w:themeColor="background1"/>
              <w:bottom w:val="single" w:sz="6" w:space="0" w:color="6F6652"/>
            </w:tcBorders>
            <w:shd w:val="clear" w:color="auto" w:fill="E9E8E5" w:themeFill="background2"/>
            <w:tcMar>
              <w:left w:w="57" w:type="dxa"/>
              <w:right w:w="57" w:type="dxa"/>
            </w:tcMar>
          </w:tcPr>
          <w:p w:rsidR="00612FD3" w:rsidRPr="002B3C0A" w:rsidRDefault="007229DE" w:rsidP="00301B6D">
            <w:pPr>
              <w:pStyle w:val="TableDataEntries"/>
            </w:pPr>
            <w:r>
              <w:t>65.</w:t>
            </w:r>
            <w:r w:rsidR="00BF2EA1">
              <w:t>04</w:t>
            </w:r>
          </w:p>
        </w:tc>
      </w:tr>
    </w:tbl>
    <w:p w:rsidR="00CA6CF4" w:rsidRPr="00E968E3" w:rsidRDefault="00CA6CF4" w:rsidP="00CA6CF4">
      <w:pPr>
        <w:pStyle w:val="Note"/>
      </w:pPr>
      <w:r w:rsidRPr="00E968E3">
        <w:rPr>
          <w:i/>
        </w:rPr>
        <w:t>Note:</w:t>
      </w:r>
      <w:r w:rsidRPr="00E968E3">
        <w:t xml:space="preserve"> </w:t>
      </w:r>
      <w:r>
        <w:rPr>
          <w:lang w:bidi="fa-IR"/>
        </w:rPr>
        <w:t xml:space="preserve">Net impacts include the private benefits and costs to building owners/tenants and the global benefits from reduced GHG emissions. </w:t>
      </w:r>
      <w:r w:rsidRPr="00E968E3">
        <w:t>Costs and benefits estimated over the 40 year life of commercial building construction over a ten year regulatory period, using a discount rate of 7 per cent.</w:t>
      </w:r>
    </w:p>
    <w:p w:rsidR="00612FD3" w:rsidRPr="002B3C0A" w:rsidRDefault="00612FD3" w:rsidP="00612FD3">
      <w:pPr>
        <w:pStyle w:val="Source"/>
      </w:pPr>
      <w:r w:rsidRPr="002B3C0A">
        <w:rPr>
          <w:i/>
        </w:rPr>
        <w:t>Source:</w:t>
      </w:r>
      <w:r w:rsidRPr="002B3C0A">
        <w:t xml:space="preserve"> CIE estimates.</w:t>
      </w:r>
    </w:p>
    <w:p w:rsidR="00612FD3" w:rsidRPr="009826DE" w:rsidRDefault="00612FD3" w:rsidP="00612FD3">
      <w:pPr>
        <w:pStyle w:val="Heading3"/>
        <w:numPr>
          <w:ilvl w:val="2"/>
          <w:numId w:val="5"/>
        </w:numPr>
        <w:spacing w:before="360"/>
        <w:rPr>
          <w:lang w:eastAsia="en-US"/>
        </w:rPr>
      </w:pPr>
      <w:r w:rsidRPr="009826DE">
        <w:rPr>
          <w:lang w:eastAsia="en-US"/>
        </w:rPr>
        <w:t>Energy prices</w:t>
      </w:r>
    </w:p>
    <w:p w:rsidR="00612FD3" w:rsidRPr="009826DE" w:rsidRDefault="00612FD3" w:rsidP="00612FD3">
      <w:pPr>
        <w:pStyle w:val="BodyText"/>
        <w:rPr>
          <w:lang w:eastAsia="en-US"/>
        </w:rPr>
      </w:pPr>
      <w:r w:rsidRPr="009826DE">
        <w:rPr>
          <w:lang w:eastAsia="en-US"/>
        </w:rPr>
        <w:t xml:space="preserve">Another key uncertainty relates to energy prices. Although future energy price assumptions are based on credible projections, any forecasts have significant uncertainty. To test the sensitivity to </w:t>
      </w:r>
      <w:r w:rsidR="00513E5F">
        <w:rPr>
          <w:lang w:eastAsia="en-US"/>
        </w:rPr>
        <w:t>electricity</w:t>
      </w:r>
      <w:r w:rsidR="00513E5F" w:rsidRPr="009826DE">
        <w:rPr>
          <w:lang w:eastAsia="en-US"/>
        </w:rPr>
        <w:t xml:space="preserve"> </w:t>
      </w:r>
      <w:r w:rsidRPr="009826DE">
        <w:rPr>
          <w:lang w:eastAsia="en-US"/>
        </w:rPr>
        <w:t>prices</w:t>
      </w:r>
      <w:r w:rsidR="00513E5F">
        <w:rPr>
          <w:lang w:eastAsia="en-US"/>
        </w:rPr>
        <w:t xml:space="preserve"> (the results will be particularly sensitive to electricity prices)</w:t>
      </w:r>
      <w:r w:rsidRPr="009826DE">
        <w:rPr>
          <w:lang w:eastAsia="en-US"/>
        </w:rPr>
        <w:t>, we use:</w:t>
      </w:r>
    </w:p>
    <w:p w:rsidR="00612FD3" w:rsidRPr="009826DE" w:rsidRDefault="003F28DD" w:rsidP="00612FD3">
      <w:pPr>
        <w:pStyle w:val="ListBullet"/>
        <w:numPr>
          <w:ilvl w:val="0"/>
          <w:numId w:val="36"/>
        </w:numPr>
        <w:rPr>
          <w:lang w:eastAsia="en-US"/>
        </w:rPr>
      </w:pPr>
      <w:r>
        <w:rPr>
          <w:lang w:eastAsia="en-US"/>
        </w:rPr>
        <w:t>EA</w:t>
      </w:r>
      <w:r w:rsidR="00612FD3" w:rsidRPr="009826DE">
        <w:rPr>
          <w:lang w:eastAsia="en-US"/>
        </w:rPr>
        <w:t>’s large user series as the low alternative assumption; and</w:t>
      </w:r>
    </w:p>
    <w:p w:rsidR="00612FD3" w:rsidRPr="009826DE" w:rsidRDefault="003F28DD" w:rsidP="00612FD3">
      <w:pPr>
        <w:pStyle w:val="ListBullet"/>
        <w:numPr>
          <w:ilvl w:val="0"/>
          <w:numId w:val="36"/>
        </w:numPr>
        <w:rPr>
          <w:lang w:eastAsia="en-US"/>
        </w:rPr>
      </w:pPr>
      <w:r>
        <w:rPr>
          <w:lang w:eastAsia="en-US"/>
        </w:rPr>
        <w:t>EA</w:t>
      </w:r>
      <w:r w:rsidR="00612FD3" w:rsidRPr="009826DE">
        <w:rPr>
          <w:lang w:eastAsia="en-US"/>
        </w:rPr>
        <w:t>’s small user series as the high alternative assumption (see appendix H).</w:t>
      </w:r>
    </w:p>
    <w:p w:rsidR="00612FD3" w:rsidRPr="009826DE" w:rsidRDefault="00612FD3" w:rsidP="00612FD3">
      <w:pPr>
        <w:pStyle w:val="BodyText"/>
        <w:rPr>
          <w:lang w:eastAsia="en-US"/>
        </w:rPr>
      </w:pPr>
      <w:r w:rsidRPr="009826DE">
        <w:rPr>
          <w:lang w:eastAsia="en-US"/>
        </w:rPr>
        <w:t>In general, the prices series are not sufficiently different to make a significant impact on the overall results (table </w:t>
      </w:r>
      <w:r w:rsidRPr="009826DE">
        <w:rPr>
          <w:lang w:eastAsia="en-US"/>
        </w:rPr>
        <w:fldChar w:fldCharType="begin"/>
      </w:r>
      <w:r w:rsidRPr="009826DE">
        <w:rPr>
          <w:lang w:eastAsia="en-US"/>
        </w:rPr>
        <w:instrText xml:space="preserve"> REF _Caption7714  \* MERGEFORMAT </w:instrText>
      </w:r>
      <w:r w:rsidRPr="009826DE">
        <w:rPr>
          <w:lang w:eastAsia="en-US"/>
        </w:rPr>
        <w:fldChar w:fldCharType="separate"/>
      </w:r>
      <w:r w:rsidR="006B79B8">
        <w:rPr>
          <w:noProof/>
        </w:rPr>
        <w:t>8</w:t>
      </w:r>
      <w:r w:rsidR="006B79B8" w:rsidRPr="00842EA2">
        <w:rPr>
          <w:noProof/>
        </w:rPr>
        <w:t>.</w:t>
      </w:r>
      <w:r w:rsidR="006B79B8">
        <w:rPr>
          <w:noProof/>
        </w:rPr>
        <w:t>22</w:t>
      </w:r>
      <w:r w:rsidRPr="009826DE">
        <w:rPr>
          <w:lang w:eastAsia="en-US"/>
        </w:rPr>
        <w:fldChar w:fldCharType="end"/>
      </w:r>
      <w:r w:rsidRPr="009826DE">
        <w:rPr>
          <w:lang w:eastAsia="en-US"/>
        </w:rPr>
        <w:t>).</w:t>
      </w:r>
    </w:p>
    <w:p w:rsidR="00612FD3" w:rsidRPr="009826DE" w:rsidRDefault="00612FD3" w:rsidP="00612FD3">
      <w:pPr>
        <w:pStyle w:val="Caption"/>
        <w:spacing w:before="240"/>
      </w:pPr>
      <w:r w:rsidRPr="00842EA2">
        <w:fldChar w:fldCharType="begin"/>
      </w:r>
      <w:r w:rsidRPr="00842EA2">
        <w:instrText xml:space="preserve"> IF 1 = 1 "</w:instrText>
      </w:r>
      <w:r w:rsidRPr="00842EA2">
        <w:fldChar w:fldCharType="begin"/>
      </w:r>
      <w:r w:rsidRPr="00842EA2">
        <w:instrText xml:space="preserve"> IF </w:instrText>
      </w:r>
      <w:r w:rsidRPr="00842EA2">
        <w:rPr>
          <w:noProof/>
        </w:rPr>
        <w:fldChar w:fldCharType="begin"/>
      </w:r>
      <w:r w:rsidRPr="00842EA2">
        <w:rPr>
          <w:noProof/>
        </w:rPr>
        <w:instrText xml:space="preserve"> STYLEREF "Heading 6" \l \n </w:instrText>
      </w:r>
      <w:r w:rsidRPr="00842EA2">
        <w:rPr>
          <w:noProof/>
        </w:rPr>
        <w:fldChar w:fldCharType="separate"/>
      </w:r>
      <w:r w:rsidR="00B833F1">
        <w:rPr>
          <w:noProof/>
        </w:rPr>
        <w:instrText>0</w:instrText>
      </w:r>
      <w:r w:rsidRPr="00842EA2">
        <w:rPr>
          <w:noProof/>
        </w:rPr>
        <w:fldChar w:fldCharType="end"/>
      </w:r>
      <w:r w:rsidRPr="00842EA2">
        <w:instrText xml:space="preserve"> = 0 "</w:instrText>
      </w:r>
      <w:r w:rsidRPr="00842EA2">
        <w:fldChar w:fldCharType="begin"/>
      </w:r>
      <w:r w:rsidRPr="00842EA2">
        <w:instrText xml:space="preserve"> IF </w:instrText>
      </w:r>
      <w:r w:rsidRPr="00842EA2">
        <w:rPr>
          <w:noProof/>
        </w:rPr>
        <w:fldChar w:fldCharType="begin"/>
      </w:r>
      <w:r w:rsidRPr="00842EA2">
        <w:rPr>
          <w:noProof/>
        </w:rPr>
        <w:instrText xml:space="preserve"> STYLEREF "Heading 1" \l \n </w:instrText>
      </w:r>
      <w:r w:rsidRPr="00842EA2">
        <w:rPr>
          <w:noProof/>
        </w:rPr>
        <w:fldChar w:fldCharType="separate"/>
      </w:r>
      <w:r w:rsidR="00B833F1">
        <w:rPr>
          <w:noProof/>
        </w:rPr>
        <w:instrText>8</w:instrText>
      </w:r>
      <w:r w:rsidRPr="00842EA2">
        <w:rPr>
          <w:noProof/>
        </w:rPr>
        <w:fldChar w:fldCharType="end"/>
      </w:r>
      <w:r w:rsidRPr="00842EA2">
        <w:instrText xml:space="preserve"> = 0 "" "</w:instrText>
      </w:r>
      <w:r w:rsidRPr="00842EA2">
        <w:rPr>
          <w:noProof/>
        </w:rPr>
        <w:fldChar w:fldCharType="begin"/>
      </w:r>
      <w:r w:rsidRPr="00842EA2">
        <w:rPr>
          <w:noProof/>
        </w:rPr>
        <w:instrText xml:space="preserve"> STYLEREF "Heading 1" \l \n </w:instrText>
      </w:r>
      <w:r w:rsidRPr="00842EA2">
        <w:rPr>
          <w:noProof/>
        </w:rPr>
        <w:fldChar w:fldCharType="separate"/>
      </w:r>
      <w:r w:rsidR="00B833F1">
        <w:rPr>
          <w:noProof/>
        </w:rPr>
        <w:instrText>8</w:instrText>
      </w:r>
      <w:r w:rsidRPr="00842EA2">
        <w:rPr>
          <w:noProof/>
        </w:rPr>
        <w:fldChar w:fldCharType="end"/>
      </w:r>
      <w:r w:rsidRPr="00842EA2">
        <w:instrText xml:space="preserve">." </w:instrText>
      </w:r>
      <w:r w:rsidRPr="00842EA2">
        <w:fldChar w:fldCharType="separate"/>
      </w:r>
      <w:r w:rsidR="00B833F1">
        <w:rPr>
          <w:noProof/>
        </w:rPr>
        <w:instrText>8</w:instrText>
      </w:r>
      <w:r w:rsidR="00B833F1" w:rsidRPr="00842EA2">
        <w:rPr>
          <w:noProof/>
        </w:rPr>
        <w:instrText>.</w:instrText>
      </w:r>
      <w:r w:rsidRPr="00842EA2">
        <w:fldChar w:fldCharType="end"/>
      </w:r>
      <w:r w:rsidRPr="00842EA2">
        <w:instrText>" "</w:instrText>
      </w:r>
      <w:r w:rsidR="001F6F43">
        <w:fldChar w:fldCharType="begin"/>
      </w:r>
      <w:r w:rsidR="001F6F43">
        <w:instrText xml:space="preserve"> STYLEREF "Heading 6" \l \n </w:instrText>
      </w:r>
      <w:r w:rsidR="001F6F43">
        <w:fldChar w:fldCharType="separate"/>
      </w:r>
      <w:r w:rsidRPr="00842EA2">
        <w:instrText>B</w:instrText>
      </w:r>
      <w:r w:rsidR="001F6F43">
        <w:fldChar w:fldCharType="end"/>
      </w:r>
      <w:r w:rsidRPr="00842EA2">
        <w:instrText xml:space="preserve">." </w:instrText>
      </w:r>
      <w:r w:rsidRPr="00842EA2">
        <w:fldChar w:fldCharType="separate"/>
      </w:r>
      <w:r w:rsidR="00EA42ED">
        <w:rPr>
          <w:noProof/>
        </w:rPr>
        <w:instrText>8</w:instrText>
      </w:r>
      <w:r w:rsidR="00EA42ED" w:rsidRPr="00842EA2">
        <w:rPr>
          <w:noProof/>
        </w:rPr>
        <w:instrText>.</w:instrText>
      </w:r>
      <w:r w:rsidRPr="00842EA2">
        <w:fldChar w:fldCharType="end"/>
      </w:r>
      <w:r w:rsidRPr="00842EA2">
        <w:fldChar w:fldCharType="begin"/>
      </w:r>
      <w:r w:rsidRPr="00842EA2">
        <w:instrText xml:space="preserve"> SEQ Item \* ARABIC \s </w:instrText>
      </w:r>
      <w:r w:rsidRPr="00842EA2">
        <w:fldChar w:fldCharType="begin"/>
      </w:r>
      <w:r w:rsidRPr="00842EA2">
        <w:instrText xml:space="preserve"> IF </w:instrText>
      </w:r>
      <w:r w:rsidRPr="00842EA2">
        <w:rPr>
          <w:noProof/>
        </w:rPr>
        <w:fldChar w:fldCharType="begin"/>
      </w:r>
      <w:r w:rsidRPr="00842EA2">
        <w:rPr>
          <w:noProof/>
        </w:rPr>
        <w:instrText xml:space="preserve"> STYLEREF "Heading 6" \l \n </w:instrText>
      </w:r>
      <w:r w:rsidRPr="00842EA2">
        <w:rPr>
          <w:noProof/>
        </w:rPr>
        <w:fldChar w:fldCharType="separate"/>
      </w:r>
      <w:r w:rsidR="00B833F1">
        <w:rPr>
          <w:noProof/>
        </w:rPr>
        <w:instrText>0</w:instrText>
      </w:r>
      <w:r w:rsidRPr="00842EA2">
        <w:rPr>
          <w:noProof/>
        </w:rPr>
        <w:fldChar w:fldCharType="end"/>
      </w:r>
      <w:r w:rsidRPr="00842EA2">
        <w:instrText xml:space="preserve"> = 0 "</w:instrText>
      </w:r>
      <w:r w:rsidRPr="00842EA2">
        <w:fldChar w:fldCharType="begin"/>
      </w:r>
      <w:r w:rsidRPr="00842EA2">
        <w:instrText xml:space="preserve"> IF </w:instrText>
      </w:r>
      <w:r w:rsidRPr="00842EA2">
        <w:rPr>
          <w:noProof/>
        </w:rPr>
        <w:fldChar w:fldCharType="begin"/>
      </w:r>
      <w:r w:rsidRPr="00842EA2">
        <w:rPr>
          <w:noProof/>
        </w:rPr>
        <w:instrText xml:space="preserve"> STYLEREF "Heading 1" \l \n </w:instrText>
      </w:r>
      <w:r w:rsidRPr="00842EA2">
        <w:rPr>
          <w:noProof/>
        </w:rPr>
        <w:fldChar w:fldCharType="separate"/>
      </w:r>
      <w:r w:rsidR="00B833F1">
        <w:rPr>
          <w:noProof/>
        </w:rPr>
        <w:instrText>8</w:instrText>
      </w:r>
      <w:r w:rsidRPr="00842EA2">
        <w:rPr>
          <w:noProof/>
        </w:rPr>
        <w:fldChar w:fldCharType="end"/>
      </w:r>
      <w:r w:rsidRPr="00842EA2">
        <w:instrText xml:space="preserve"> = 0 "" "1" </w:instrText>
      </w:r>
      <w:r w:rsidRPr="00842EA2">
        <w:fldChar w:fldCharType="separate"/>
      </w:r>
      <w:r w:rsidR="00EA42ED" w:rsidRPr="00842EA2">
        <w:rPr>
          <w:noProof/>
        </w:rPr>
        <w:instrText>1</w:instrText>
      </w:r>
      <w:r w:rsidRPr="00842EA2">
        <w:fldChar w:fldCharType="end"/>
      </w:r>
      <w:r w:rsidRPr="00842EA2">
        <w:instrText xml:space="preserve">" "6" </w:instrText>
      </w:r>
      <w:r w:rsidRPr="00842EA2">
        <w:fldChar w:fldCharType="separate"/>
      </w:r>
      <w:r w:rsidR="00EA42ED" w:rsidRPr="00842EA2">
        <w:rPr>
          <w:noProof/>
        </w:rPr>
        <w:instrText>1</w:instrText>
      </w:r>
      <w:r w:rsidRPr="00842EA2">
        <w:fldChar w:fldCharType="end"/>
      </w:r>
      <w:r w:rsidRPr="00842EA2">
        <w:instrText xml:space="preserve"> </w:instrText>
      </w:r>
      <w:r w:rsidRPr="00842EA2">
        <w:fldChar w:fldCharType="separate"/>
      </w:r>
      <w:r w:rsidR="00B833F1">
        <w:rPr>
          <w:noProof/>
        </w:rPr>
        <w:instrText>22</w:instrText>
      </w:r>
      <w:r w:rsidRPr="00842EA2">
        <w:fldChar w:fldCharType="end"/>
      </w:r>
      <w:r w:rsidRPr="00842EA2">
        <w:instrText xml:space="preserve">" "" </w:instrText>
      </w:r>
      <w:r w:rsidRPr="00842EA2">
        <w:fldChar w:fldCharType="separate"/>
      </w:r>
      <w:bookmarkStart w:id="4283" w:name="_Caption2219"/>
      <w:bookmarkStart w:id="4284" w:name="_Caption2636"/>
      <w:bookmarkStart w:id="4285" w:name="_Caption6341"/>
      <w:bookmarkStart w:id="4286" w:name="_Caption7606"/>
      <w:bookmarkStart w:id="4287" w:name="_Caption5602"/>
      <w:bookmarkStart w:id="4288" w:name="_Caption6021"/>
      <w:bookmarkStart w:id="4289" w:name="_Caption6528"/>
      <w:bookmarkStart w:id="4290" w:name="_Caption0103"/>
      <w:bookmarkStart w:id="4291" w:name="_Caption0786"/>
      <w:bookmarkStart w:id="4292" w:name="_Caption8428"/>
      <w:bookmarkStart w:id="4293" w:name="_Caption1776"/>
      <w:bookmarkStart w:id="4294" w:name="_Caption8932"/>
      <w:bookmarkStart w:id="4295" w:name="_Caption6043"/>
      <w:bookmarkStart w:id="4296" w:name="_Caption8716"/>
      <w:bookmarkStart w:id="4297" w:name="_Caption1944"/>
      <w:bookmarkStart w:id="4298" w:name="_Caption2801"/>
      <w:bookmarkStart w:id="4299" w:name="_Caption4519"/>
      <w:bookmarkStart w:id="4300" w:name="_Caption4218"/>
      <w:bookmarkStart w:id="4301" w:name="_Caption4963"/>
      <w:bookmarkStart w:id="4302" w:name="_Caption0629"/>
      <w:bookmarkStart w:id="4303" w:name="_Caption3905"/>
      <w:bookmarkStart w:id="4304" w:name="_Caption4082"/>
      <w:bookmarkStart w:id="4305" w:name="_Caption9247"/>
      <w:bookmarkStart w:id="4306" w:name="_Caption1693"/>
      <w:bookmarkStart w:id="4307" w:name="_Caption6969"/>
      <w:bookmarkStart w:id="4308" w:name="_Caption1135"/>
      <w:bookmarkStart w:id="4309" w:name="_Caption3636"/>
      <w:bookmarkStart w:id="4310" w:name="_Caption1934"/>
      <w:bookmarkStart w:id="4311" w:name="_Caption9773"/>
      <w:bookmarkStart w:id="4312" w:name="_Caption1198"/>
      <w:bookmarkStart w:id="4313" w:name="_Caption3168"/>
      <w:bookmarkStart w:id="4314" w:name="_Caption6309"/>
      <w:bookmarkStart w:id="4315" w:name="_Caption8777"/>
      <w:bookmarkStart w:id="4316" w:name="_Caption1683"/>
      <w:bookmarkStart w:id="4317" w:name="_Caption5678"/>
      <w:bookmarkStart w:id="4318" w:name="_Caption5917"/>
      <w:bookmarkStart w:id="4319" w:name="_Caption0476"/>
      <w:bookmarkStart w:id="4320" w:name="_Caption1569"/>
      <w:bookmarkStart w:id="4321" w:name="_Caption4019"/>
      <w:bookmarkStart w:id="4322" w:name="_Caption4000"/>
      <w:bookmarkStart w:id="4323" w:name="_Caption7714"/>
      <w:bookmarkStart w:id="4324" w:name="_Caption7354"/>
      <w:bookmarkStart w:id="4325" w:name="_Caption1007"/>
      <w:bookmarkStart w:id="4326" w:name="_Caption8756"/>
      <w:bookmarkStart w:id="4327" w:name="_Caption7998"/>
      <w:bookmarkStart w:id="4328" w:name="_Caption4132"/>
      <w:bookmarkStart w:id="4329" w:name="_Caption4228"/>
      <w:bookmarkStart w:id="4330" w:name="_Caption3981"/>
      <w:bookmarkStart w:id="4331" w:name="_Caption2531"/>
      <w:bookmarkStart w:id="4332" w:name="_Caption1247"/>
      <w:bookmarkStart w:id="4333" w:name="_Caption6811"/>
      <w:bookmarkStart w:id="4334" w:name="_Caption9213"/>
      <w:bookmarkStart w:id="4335" w:name="_Caption4138"/>
      <w:bookmarkStart w:id="4336" w:name="_Caption6301"/>
      <w:bookmarkStart w:id="4337" w:name="_Caption7776"/>
      <w:bookmarkStart w:id="4338" w:name="_Caption5825"/>
      <w:bookmarkStart w:id="4339" w:name="_Caption2518"/>
      <w:bookmarkStart w:id="4340" w:name="_Caption1796"/>
      <w:bookmarkStart w:id="4341" w:name="_Caption7972"/>
      <w:bookmarkStart w:id="4342" w:name="_Caption5515"/>
      <w:bookmarkStart w:id="4343" w:name="_Caption8614"/>
      <w:bookmarkStart w:id="4344" w:name="_Caption5653"/>
      <w:bookmarkStart w:id="4345" w:name="_Caption5703"/>
      <w:bookmarkStart w:id="4346" w:name="_Caption3471"/>
      <w:bookmarkStart w:id="4347" w:name="_Caption6753"/>
      <w:bookmarkStart w:id="4348" w:name="_Caption9817"/>
      <w:bookmarkStart w:id="4349" w:name="_Caption7738"/>
      <w:bookmarkStart w:id="4350" w:name="_Caption5932"/>
      <w:bookmarkStart w:id="4351" w:name="_Caption9454"/>
      <w:bookmarkStart w:id="4352" w:name="_Caption5582"/>
      <w:bookmarkStart w:id="4353" w:name="_Caption9581"/>
      <w:bookmarkStart w:id="4354" w:name="_Caption1530"/>
      <w:bookmarkStart w:id="4355" w:name="_Caption2442"/>
      <w:bookmarkStart w:id="4356" w:name="_Caption5907"/>
      <w:bookmarkStart w:id="4357" w:name="_Caption9057"/>
      <w:bookmarkStart w:id="4358" w:name="_Caption7199"/>
      <w:bookmarkStart w:id="4359" w:name="_Caption3481"/>
      <w:bookmarkStart w:id="4360" w:name="_Caption6279"/>
      <w:bookmarkStart w:id="4361" w:name="_Caption5693"/>
      <w:bookmarkStart w:id="4362" w:name="_Toc507523820"/>
      <w:bookmarkStart w:id="4363" w:name="_Toc509220869"/>
      <w:bookmarkStart w:id="4364" w:name="_Toc529869961"/>
      <w:bookmarkStart w:id="4365" w:name="_Toc530748457"/>
      <w:r w:rsidR="00EA42ED">
        <w:rPr>
          <w:noProof/>
        </w:rPr>
        <w:t>8</w:t>
      </w:r>
      <w:r w:rsidR="00EA42ED" w:rsidRPr="00842EA2">
        <w:rPr>
          <w:noProof/>
        </w:rPr>
        <w:t>.</w:t>
      </w:r>
      <w:r w:rsidR="00EA42ED">
        <w:rPr>
          <w:noProof/>
        </w:rPr>
        <w:t>22</w:t>
      </w:r>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r w:rsidRPr="00842EA2">
        <w:fldChar w:fldCharType="end"/>
      </w:r>
      <w:r w:rsidRPr="00842EA2">
        <w:tab/>
        <w:t>Net benefit/costs under various energy price estimates</w:t>
      </w:r>
      <w:bookmarkEnd w:id="4362"/>
      <w:bookmarkEnd w:id="4363"/>
      <w:bookmarkEnd w:id="4364"/>
      <w:bookmarkEnd w:id="4365"/>
    </w:p>
    <w:tbl>
      <w:tblPr>
        <w:tblW w:w="7940" w:type="dxa"/>
        <w:tblLayout w:type="fixed"/>
        <w:tblLook w:val="0000" w:firstRow="0" w:lastRow="0" w:firstColumn="0" w:lastColumn="0" w:noHBand="0" w:noVBand="0"/>
        <w:tblCaption w:val="Table 8.22: Net benefit/costs under various energy price estimates"/>
        <w:tblDescription w:val="This table shows the net present values using various energy price estiamtes. "/>
      </w:tblPr>
      <w:tblGrid>
        <w:gridCol w:w="1559"/>
        <w:gridCol w:w="709"/>
        <w:gridCol w:w="709"/>
        <w:gridCol w:w="709"/>
        <w:gridCol w:w="709"/>
        <w:gridCol w:w="709"/>
        <w:gridCol w:w="709"/>
        <w:gridCol w:w="709"/>
        <w:gridCol w:w="709"/>
        <w:gridCol w:w="709"/>
      </w:tblGrid>
      <w:tr w:rsidR="00612FD3" w:rsidRPr="009826DE" w:rsidTr="00301B6D">
        <w:trPr>
          <w:trHeight w:val="230"/>
          <w:tblHeader/>
        </w:trPr>
        <w:tc>
          <w:tcPr>
            <w:tcW w:w="1559" w:type="dxa"/>
            <w:shd w:val="clear" w:color="auto" w:fill="6F6652"/>
            <w:tcMar>
              <w:left w:w="57" w:type="dxa"/>
              <w:right w:w="57" w:type="dxa"/>
            </w:tcMar>
          </w:tcPr>
          <w:p w:rsidR="00612FD3" w:rsidRPr="009826DE" w:rsidRDefault="00612FD3" w:rsidP="00301B6D">
            <w:pPr>
              <w:pStyle w:val="TableDataColumnHeading"/>
              <w:jc w:val="left"/>
              <w:rPr>
                <w:lang w:val="en-GB"/>
              </w:rPr>
            </w:pPr>
          </w:p>
        </w:tc>
        <w:tc>
          <w:tcPr>
            <w:tcW w:w="709" w:type="dxa"/>
            <w:shd w:val="clear" w:color="auto" w:fill="6F6652"/>
            <w:tcMar>
              <w:left w:w="57" w:type="dxa"/>
              <w:right w:w="57" w:type="dxa"/>
            </w:tcMar>
          </w:tcPr>
          <w:p w:rsidR="00612FD3" w:rsidRPr="009826DE" w:rsidRDefault="00612FD3" w:rsidP="00301B6D">
            <w:pPr>
              <w:pStyle w:val="TableDataColumnHeading"/>
              <w:rPr>
                <w:lang w:val="en-GB"/>
              </w:rPr>
            </w:pPr>
            <w:r w:rsidRPr="009826DE">
              <w:rPr>
                <w:lang w:val="en-GB"/>
              </w:rPr>
              <w:t>NSW</w:t>
            </w:r>
          </w:p>
        </w:tc>
        <w:tc>
          <w:tcPr>
            <w:tcW w:w="709" w:type="dxa"/>
            <w:shd w:val="clear" w:color="auto" w:fill="6F6652"/>
            <w:tcMar>
              <w:left w:w="57" w:type="dxa"/>
              <w:right w:w="57" w:type="dxa"/>
            </w:tcMar>
          </w:tcPr>
          <w:p w:rsidR="00612FD3" w:rsidRPr="009826DE" w:rsidRDefault="00612FD3" w:rsidP="00301B6D">
            <w:pPr>
              <w:pStyle w:val="TableDataColumnHeading"/>
              <w:rPr>
                <w:lang w:val="en-GB"/>
              </w:rPr>
            </w:pPr>
            <w:r w:rsidRPr="009826DE">
              <w:rPr>
                <w:lang w:val="en-GB"/>
              </w:rPr>
              <w:t>Vic</w:t>
            </w:r>
          </w:p>
        </w:tc>
        <w:tc>
          <w:tcPr>
            <w:tcW w:w="709" w:type="dxa"/>
            <w:shd w:val="clear" w:color="auto" w:fill="6F6652"/>
            <w:tcMar>
              <w:left w:w="57" w:type="dxa"/>
              <w:right w:w="57" w:type="dxa"/>
            </w:tcMar>
          </w:tcPr>
          <w:p w:rsidR="00612FD3" w:rsidRPr="009826DE" w:rsidRDefault="00612FD3" w:rsidP="00301B6D">
            <w:pPr>
              <w:pStyle w:val="TableDataColumnHeading"/>
              <w:rPr>
                <w:lang w:val="en-GB"/>
              </w:rPr>
            </w:pPr>
            <w:r w:rsidRPr="009826DE">
              <w:rPr>
                <w:lang w:val="en-GB"/>
              </w:rPr>
              <w:t>Qld</w:t>
            </w:r>
          </w:p>
        </w:tc>
        <w:tc>
          <w:tcPr>
            <w:tcW w:w="709" w:type="dxa"/>
            <w:shd w:val="clear" w:color="auto" w:fill="6F6652"/>
            <w:tcMar>
              <w:left w:w="57" w:type="dxa"/>
              <w:right w:w="57" w:type="dxa"/>
            </w:tcMar>
          </w:tcPr>
          <w:p w:rsidR="00612FD3" w:rsidRPr="009826DE" w:rsidRDefault="00612FD3" w:rsidP="00301B6D">
            <w:pPr>
              <w:pStyle w:val="TableDataColumnHeading"/>
              <w:rPr>
                <w:lang w:val="en-GB"/>
              </w:rPr>
            </w:pPr>
            <w:r w:rsidRPr="009826DE">
              <w:rPr>
                <w:lang w:val="en-GB"/>
              </w:rPr>
              <w:t>SA</w:t>
            </w:r>
          </w:p>
        </w:tc>
        <w:tc>
          <w:tcPr>
            <w:tcW w:w="709" w:type="dxa"/>
            <w:shd w:val="clear" w:color="auto" w:fill="6F6652"/>
            <w:tcMar>
              <w:left w:w="57" w:type="dxa"/>
              <w:right w:w="57" w:type="dxa"/>
            </w:tcMar>
          </w:tcPr>
          <w:p w:rsidR="00612FD3" w:rsidRPr="009826DE" w:rsidRDefault="00612FD3" w:rsidP="00301B6D">
            <w:pPr>
              <w:pStyle w:val="TableDataColumnHeading"/>
              <w:rPr>
                <w:lang w:val="en-GB"/>
              </w:rPr>
            </w:pPr>
            <w:r w:rsidRPr="009826DE">
              <w:rPr>
                <w:lang w:val="en-GB"/>
              </w:rPr>
              <w:t>WA</w:t>
            </w:r>
          </w:p>
        </w:tc>
        <w:tc>
          <w:tcPr>
            <w:tcW w:w="709" w:type="dxa"/>
            <w:shd w:val="clear" w:color="auto" w:fill="6F6652"/>
            <w:tcMar>
              <w:left w:w="57" w:type="dxa"/>
              <w:right w:w="57" w:type="dxa"/>
            </w:tcMar>
          </w:tcPr>
          <w:p w:rsidR="00612FD3" w:rsidRPr="009826DE" w:rsidRDefault="00612FD3" w:rsidP="00301B6D">
            <w:pPr>
              <w:pStyle w:val="TableDataColumnHeading"/>
              <w:rPr>
                <w:lang w:val="en-GB"/>
              </w:rPr>
            </w:pPr>
            <w:r w:rsidRPr="009826DE">
              <w:rPr>
                <w:lang w:val="en-GB"/>
              </w:rPr>
              <w:t>Tas</w:t>
            </w:r>
          </w:p>
        </w:tc>
        <w:tc>
          <w:tcPr>
            <w:tcW w:w="709" w:type="dxa"/>
            <w:shd w:val="clear" w:color="auto" w:fill="6F6652"/>
            <w:tcMar>
              <w:left w:w="57" w:type="dxa"/>
              <w:right w:w="57" w:type="dxa"/>
            </w:tcMar>
          </w:tcPr>
          <w:p w:rsidR="00612FD3" w:rsidRPr="009826DE" w:rsidRDefault="00612FD3" w:rsidP="00301B6D">
            <w:pPr>
              <w:pStyle w:val="TableDataColumnHeading"/>
              <w:rPr>
                <w:lang w:val="en-GB"/>
              </w:rPr>
            </w:pPr>
            <w:r w:rsidRPr="009826DE">
              <w:rPr>
                <w:lang w:val="en-GB"/>
              </w:rPr>
              <w:t>ACT</w:t>
            </w:r>
          </w:p>
        </w:tc>
        <w:tc>
          <w:tcPr>
            <w:tcW w:w="709" w:type="dxa"/>
            <w:shd w:val="clear" w:color="auto" w:fill="6F6652"/>
            <w:tcMar>
              <w:left w:w="57" w:type="dxa"/>
              <w:right w:w="57" w:type="dxa"/>
            </w:tcMar>
          </w:tcPr>
          <w:p w:rsidR="00612FD3" w:rsidRPr="009826DE" w:rsidRDefault="00612FD3" w:rsidP="00301B6D">
            <w:pPr>
              <w:pStyle w:val="TableDataColumnHeading"/>
              <w:rPr>
                <w:lang w:val="en-GB"/>
              </w:rPr>
            </w:pPr>
            <w:r w:rsidRPr="009826DE">
              <w:rPr>
                <w:lang w:val="en-GB"/>
              </w:rPr>
              <w:t>NT</w:t>
            </w:r>
          </w:p>
        </w:tc>
        <w:tc>
          <w:tcPr>
            <w:tcW w:w="709" w:type="dxa"/>
            <w:shd w:val="clear" w:color="auto" w:fill="6F6652"/>
            <w:tcMar>
              <w:left w:w="57" w:type="dxa"/>
              <w:right w:w="57" w:type="dxa"/>
            </w:tcMar>
          </w:tcPr>
          <w:p w:rsidR="00612FD3" w:rsidRPr="009826DE" w:rsidRDefault="00612FD3" w:rsidP="00301B6D">
            <w:pPr>
              <w:pStyle w:val="TableDataColumnHeading"/>
              <w:rPr>
                <w:lang w:val="en-GB"/>
              </w:rPr>
            </w:pPr>
            <w:r w:rsidRPr="009826DE">
              <w:rPr>
                <w:lang w:val="en-GB"/>
              </w:rPr>
              <w:t>Total</w:t>
            </w:r>
          </w:p>
        </w:tc>
      </w:tr>
      <w:tr w:rsidR="00612FD3" w:rsidRPr="009826DE" w:rsidTr="00301B6D">
        <w:trPr>
          <w:trHeight w:val="230"/>
          <w:tblHeader/>
        </w:trPr>
        <w:tc>
          <w:tcPr>
            <w:tcW w:w="1559" w:type="dxa"/>
            <w:tcBorders>
              <w:bottom w:val="single" w:sz="8" w:space="0" w:color="FFFFFF" w:themeColor="background1"/>
            </w:tcBorders>
            <w:shd w:val="clear" w:color="auto" w:fill="auto"/>
            <w:tcMar>
              <w:left w:w="57" w:type="dxa"/>
              <w:right w:w="57" w:type="dxa"/>
            </w:tcMar>
          </w:tcPr>
          <w:p w:rsidR="00612FD3" w:rsidRPr="009826DE" w:rsidRDefault="00612FD3" w:rsidP="00301B6D">
            <w:pPr>
              <w:pStyle w:val="TableUnit"/>
              <w:jc w:val="left"/>
              <w:rPr>
                <w:lang w:val="en-GB"/>
              </w:rPr>
            </w:pPr>
          </w:p>
        </w:tc>
        <w:tc>
          <w:tcPr>
            <w:tcW w:w="709" w:type="dxa"/>
            <w:tcBorders>
              <w:bottom w:val="single" w:sz="8" w:space="0" w:color="FFFFFF" w:themeColor="background1"/>
            </w:tcBorders>
            <w:shd w:val="clear" w:color="auto" w:fill="auto"/>
            <w:tcMar>
              <w:left w:w="57" w:type="dxa"/>
              <w:right w:w="57" w:type="dxa"/>
            </w:tcMar>
          </w:tcPr>
          <w:p w:rsidR="00612FD3" w:rsidRPr="009826DE" w:rsidRDefault="00612FD3" w:rsidP="00301B6D">
            <w:pPr>
              <w:pStyle w:val="TableUnit"/>
              <w:rPr>
                <w:lang w:val="en-GB"/>
              </w:rPr>
            </w:pPr>
            <w:r w:rsidRPr="009826DE">
              <w:rPr>
                <w:lang w:val="en-GB"/>
              </w:rPr>
              <w:t>$ million</w:t>
            </w:r>
          </w:p>
        </w:tc>
        <w:tc>
          <w:tcPr>
            <w:tcW w:w="709" w:type="dxa"/>
            <w:tcBorders>
              <w:bottom w:val="single" w:sz="8" w:space="0" w:color="FFFFFF" w:themeColor="background1"/>
            </w:tcBorders>
            <w:shd w:val="clear" w:color="auto" w:fill="auto"/>
            <w:tcMar>
              <w:left w:w="57" w:type="dxa"/>
              <w:right w:w="57" w:type="dxa"/>
            </w:tcMar>
          </w:tcPr>
          <w:p w:rsidR="00612FD3" w:rsidRPr="009826DE" w:rsidRDefault="00612FD3" w:rsidP="00301B6D">
            <w:pPr>
              <w:pStyle w:val="TableUnit"/>
              <w:rPr>
                <w:lang w:val="en-GB"/>
              </w:rPr>
            </w:pPr>
            <w:r w:rsidRPr="009826DE">
              <w:rPr>
                <w:lang w:val="en-GB"/>
              </w:rPr>
              <w:t>$ million</w:t>
            </w:r>
          </w:p>
        </w:tc>
        <w:tc>
          <w:tcPr>
            <w:tcW w:w="709" w:type="dxa"/>
            <w:tcBorders>
              <w:bottom w:val="single" w:sz="8" w:space="0" w:color="FFFFFF" w:themeColor="background1"/>
            </w:tcBorders>
            <w:shd w:val="clear" w:color="auto" w:fill="auto"/>
            <w:tcMar>
              <w:left w:w="57" w:type="dxa"/>
              <w:right w:w="57" w:type="dxa"/>
            </w:tcMar>
          </w:tcPr>
          <w:p w:rsidR="00612FD3" w:rsidRPr="009826DE" w:rsidRDefault="00612FD3" w:rsidP="00301B6D">
            <w:pPr>
              <w:pStyle w:val="TableUnit"/>
              <w:rPr>
                <w:lang w:val="en-GB"/>
              </w:rPr>
            </w:pPr>
            <w:r w:rsidRPr="009826DE">
              <w:rPr>
                <w:lang w:val="en-GB"/>
              </w:rPr>
              <w:t>$ million</w:t>
            </w:r>
          </w:p>
        </w:tc>
        <w:tc>
          <w:tcPr>
            <w:tcW w:w="709" w:type="dxa"/>
            <w:tcBorders>
              <w:bottom w:val="single" w:sz="8" w:space="0" w:color="FFFFFF" w:themeColor="background1"/>
            </w:tcBorders>
            <w:shd w:val="clear" w:color="auto" w:fill="auto"/>
            <w:tcMar>
              <w:left w:w="57" w:type="dxa"/>
              <w:right w:w="57" w:type="dxa"/>
            </w:tcMar>
          </w:tcPr>
          <w:p w:rsidR="00612FD3" w:rsidRPr="009826DE" w:rsidRDefault="00612FD3" w:rsidP="00301B6D">
            <w:pPr>
              <w:pStyle w:val="TableUnit"/>
              <w:rPr>
                <w:lang w:val="en-GB"/>
              </w:rPr>
            </w:pPr>
            <w:r w:rsidRPr="009826DE">
              <w:rPr>
                <w:lang w:val="en-GB"/>
              </w:rPr>
              <w:t>$ million</w:t>
            </w:r>
          </w:p>
        </w:tc>
        <w:tc>
          <w:tcPr>
            <w:tcW w:w="709" w:type="dxa"/>
            <w:tcBorders>
              <w:bottom w:val="single" w:sz="8" w:space="0" w:color="FFFFFF" w:themeColor="background1"/>
            </w:tcBorders>
            <w:shd w:val="clear" w:color="auto" w:fill="auto"/>
            <w:tcMar>
              <w:left w:w="57" w:type="dxa"/>
              <w:right w:w="57" w:type="dxa"/>
            </w:tcMar>
          </w:tcPr>
          <w:p w:rsidR="00612FD3" w:rsidRPr="009826DE" w:rsidRDefault="00612FD3" w:rsidP="00301B6D">
            <w:pPr>
              <w:pStyle w:val="TableUnit"/>
              <w:rPr>
                <w:lang w:val="en-GB"/>
              </w:rPr>
            </w:pPr>
            <w:r w:rsidRPr="009826DE">
              <w:rPr>
                <w:lang w:val="en-GB"/>
              </w:rPr>
              <w:t>$ million</w:t>
            </w:r>
          </w:p>
        </w:tc>
        <w:tc>
          <w:tcPr>
            <w:tcW w:w="709" w:type="dxa"/>
            <w:tcBorders>
              <w:bottom w:val="single" w:sz="8" w:space="0" w:color="FFFFFF" w:themeColor="background1"/>
            </w:tcBorders>
            <w:shd w:val="clear" w:color="auto" w:fill="auto"/>
            <w:tcMar>
              <w:left w:w="57" w:type="dxa"/>
              <w:right w:w="57" w:type="dxa"/>
            </w:tcMar>
          </w:tcPr>
          <w:p w:rsidR="00612FD3" w:rsidRPr="009826DE" w:rsidRDefault="00612FD3" w:rsidP="00301B6D">
            <w:pPr>
              <w:pStyle w:val="TableUnit"/>
              <w:rPr>
                <w:lang w:val="en-GB"/>
              </w:rPr>
            </w:pPr>
            <w:r w:rsidRPr="009826DE">
              <w:rPr>
                <w:lang w:val="en-GB"/>
              </w:rPr>
              <w:t>$ million</w:t>
            </w:r>
          </w:p>
        </w:tc>
        <w:tc>
          <w:tcPr>
            <w:tcW w:w="709" w:type="dxa"/>
            <w:tcBorders>
              <w:bottom w:val="single" w:sz="8" w:space="0" w:color="FFFFFF" w:themeColor="background1"/>
            </w:tcBorders>
            <w:shd w:val="clear" w:color="auto" w:fill="auto"/>
            <w:tcMar>
              <w:left w:w="57" w:type="dxa"/>
              <w:right w:w="57" w:type="dxa"/>
            </w:tcMar>
          </w:tcPr>
          <w:p w:rsidR="00612FD3" w:rsidRPr="009826DE" w:rsidRDefault="00612FD3" w:rsidP="00301B6D">
            <w:pPr>
              <w:pStyle w:val="TableUnit"/>
              <w:rPr>
                <w:lang w:val="en-GB"/>
              </w:rPr>
            </w:pPr>
            <w:r w:rsidRPr="009826DE">
              <w:rPr>
                <w:lang w:val="en-GB"/>
              </w:rPr>
              <w:t>$ million</w:t>
            </w:r>
          </w:p>
        </w:tc>
        <w:tc>
          <w:tcPr>
            <w:tcW w:w="709" w:type="dxa"/>
            <w:tcBorders>
              <w:bottom w:val="single" w:sz="8" w:space="0" w:color="FFFFFF" w:themeColor="background1"/>
            </w:tcBorders>
            <w:shd w:val="clear" w:color="auto" w:fill="auto"/>
            <w:tcMar>
              <w:left w:w="57" w:type="dxa"/>
              <w:right w:w="57" w:type="dxa"/>
            </w:tcMar>
          </w:tcPr>
          <w:p w:rsidR="00612FD3" w:rsidRPr="009826DE" w:rsidRDefault="00612FD3" w:rsidP="00301B6D">
            <w:pPr>
              <w:pStyle w:val="TableUnit"/>
              <w:rPr>
                <w:lang w:val="en-GB"/>
              </w:rPr>
            </w:pPr>
            <w:r w:rsidRPr="009826DE">
              <w:rPr>
                <w:lang w:val="en-GB"/>
              </w:rPr>
              <w:t>$ million</w:t>
            </w:r>
          </w:p>
        </w:tc>
        <w:tc>
          <w:tcPr>
            <w:tcW w:w="709" w:type="dxa"/>
            <w:tcBorders>
              <w:bottom w:val="single" w:sz="8" w:space="0" w:color="FFFFFF" w:themeColor="background1"/>
            </w:tcBorders>
            <w:shd w:val="clear" w:color="auto" w:fill="auto"/>
            <w:tcMar>
              <w:left w:w="57" w:type="dxa"/>
              <w:right w:w="57" w:type="dxa"/>
            </w:tcMar>
          </w:tcPr>
          <w:p w:rsidR="00612FD3" w:rsidRPr="009826DE" w:rsidRDefault="00612FD3" w:rsidP="00301B6D">
            <w:pPr>
              <w:pStyle w:val="TableUnit"/>
              <w:rPr>
                <w:lang w:val="en-GB"/>
              </w:rPr>
            </w:pPr>
            <w:r w:rsidRPr="009826DE">
              <w:rPr>
                <w:lang w:val="en-GB"/>
              </w:rPr>
              <w:t>$ million</w:t>
            </w:r>
          </w:p>
        </w:tc>
      </w:tr>
      <w:tr w:rsidR="00612FD3" w:rsidRPr="009826DE" w:rsidTr="00301B6D">
        <w:trPr>
          <w:trHeight w:val="230"/>
        </w:trPr>
        <w:tc>
          <w:tcPr>
            <w:tcW w:w="155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Pr="009826DE" w:rsidRDefault="00612FD3" w:rsidP="00301B6D">
            <w:pPr>
              <w:pStyle w:val="TableHeading1"/>
              <w:spacing w:before="80"/>
              <w:rPr>
                <w:lang w:val="en-GB"/>
              </w:rPr>
            </w:pPr>
            <w:r w:rsidRPr="009826DE">
              <w:rPr>
                <w:lang w:val="en-GB"/>
              </w:rPr>
              <w:t>Low realisation scenario</w:t>
            </w:r>
          </w:p>
        </w:tc>
        <w:tc>
          <w:tcPr>
            <w:tcW w:w="70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612FD3" w:rsidRPr="009826DE" w:rsidRDefault="00612FD3" w:rsidP="00301B6D">
            <w:pPr>
              <w:pStyle w:val="TableHeading1"/>
              <w:spacing w:before="80"/>
            </w:pPr>
          </w:p>
        </w:tc>
        <w:tc>
          <w:tcPr>
            <w:tcW w:w="70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612FD3" w:rsidRPr="009826DE" w:rsidRDefault="00612FD3" w:rsidP="00301B6D">
            <w:pPr>
              <w:pStyle w:val="TableHeading1"/>
              <w:spacing w:before="80"/>
            </w:pPr>
          </w:p>
        </w:tc>
        <w:tc>
          <w:tcPr>
            <w:tcW w:w="70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612FD3" w:rsidRPr="009826DE" w:rsidRDefault="00612FD3" w:rsidP="00301B6D">
            <w:pPr>
              <w:pStyle w:val="TableHeading1"/>
              <w:spacing w:before="80"/>
            </w:pPr>
          </w:p>
        </w:tc>
        <w:tc>
          <w:tcPr>
            <w:tcW w:w="70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612FD3" w:rsidRPr="009826DE" w:rsidRDefault="00612FD3" w:rsidP="00301B6D">
            <w:pPr>
              <w:pStyle w:val="TableHeading1"/>
              <w:spacing w:before="80"/>
            </w:pPr>
          </w:p>
        </w:tc>
        <w:tc>
          <w:tcPr>
            <w:tcW w:w="70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612FD3" w:rsidRPr="009826DE" w:rsidRDefault="00612FD3" w:rsidP="00301B6D">
            <w:pPr>
              <w:pStyle w:val="TableHeading1"/>
              <w:spacing w:before="80"/>
            </w:pPr>
          </w:p>
        </w:tc>
        <w:tc>
          <w:tcPr>
            <w:tcW w:w="70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612FD3" w:rsidRPr="009826DE" w:rsidRDefault="00612FD3" w:rsidP="00301B6D">
            <w:pPr>
              <w:pStyle w:val="TableHeading1"/>
              <w:spacing w:before="80"/>
            </w:pPr>
          </w:p>
        </w:tc>
        <w:tc>
          <w:tcPr>
            <w:tcW w:w="70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612FD3" w:rsidRPr="009826DE" w:rsidRDefault="00612FD3" w:rsidP="00301B6D">
            <w:pPr>
              <w:pStyle w:val="TableHeading1"/>
              <w:spacing w:before="80"/>
            </w:pPr>
          </w:p>
        </w:tc>
        <w:tc>
          <w:tcPr>
            <w:tcW w:w="70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612FD3" w:rsidRPr="009826DE" w:rsidRDefault="00612FD3" w:rsidP="00301B6D">
            <w:pPr>
              <w:pStyle w:val="TableHeading1"/>
              <w:spacing w:before="80"/>
            </w:pPr>
          </w:p>
        </w:tc>
        <w:tc>
          <w:tcPr>
            <w:tcW w:w="70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612FD3" w:rsidRPr="009826DE" w:rsidRDefault="00612FD3" w:rsidP="00301B6D">
            <w:pPr>
              <w:pStyle w:val="TableHeading1"/>
              <w:spacing w:before="80"/>
            </w:pPr>
          </w:p>
        </w:tc>
      </w:tr>
      <w:tr w:rsidR="009E0D4E" w:rsidRPr="009826DE" w:rsidTr="00301B6D">
        <w:trPr>
          <w:trHeight w:val="230"/>
        </w:trPr>
        <w:tc>
          <w:tcPr>
            <w:tcW w:w="155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9E0D4E" w:rsidRPr="009826DE" w:rsidRDefault="009E0D4E" w:rsidP="009E0D4E">
            <w:pPr>
              <w:pStyle w:val="TableDataEntries"/>
              <w:jc w:val="left"/>
              <w:rPr>
                <w:lang w:val="en-GB"/>
              </w:rPr>
            </w:pPr>
            <w:r w:rsidRPr="009826DE">
              <w:rPr>
                <w:lang w:val="en-GB"/>
              </w:rPr>
              <w:t>Low</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223.6</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249.4</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331.7</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48.4</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119.6</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3.5</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11.0</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24.4</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1 011.6</w:t>
            </w:r>
          </w:p>
        </w:tc>
      </w:tr>
      <w:tr w:rsidR="009E0D4E" w:rsidRPr="009826DE" w:rsidTr="00301B6D">
        <w:trPr>
          <w:trHeight w:val="230"/>
        </w:trPr>
        <w:tc>
          <w:tcPr>
            <w:tcW w:w="155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9E0D4E" w:rsidRPr="009826DE" w:rsidRDefault="009E0D4E" w:rsidP="009E0D4E">
            <w:pPr>
              <w:pStyle w:val="TableDataEntries"/>
              <w:jc w:val="left"/>
              <w:rPr>
                <w:lang w:val="en-GB"/>
              </w:rPr>
            </w:pPr>
            <w:r w:rsidRPr="009826DE">
              <w:rPr>
                <w:lang w:val="en-GB"/>
              </w:rPr>
              <w:t>High</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323.8</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305.4</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357.0</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59.9</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171.3</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4.5</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14.3</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28.9</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1 265.0</w:t>
            </w:r>
          </w:p>
        </w:tc>
      </w:tr>
      <w:tr w:rsidR="00612FD3" w:rsidRPr="009826DE" w:rsidTr="00301B6D">
        <w:trPr>
          <w:trHeight w:val="230"/>
        </w:trPr>
        <w:tc>
          <w:tcPr>
            <w:tcW w:w="155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Pr="009826DE" w:rsidRDefault="00612FD3" w:rsidP="00301B6D">
            <w:pPr>
              <w:pStyle w:val="TableHeading1"/>
              <w:spacing w:before="80"/>
              <w:rPr>
                <w:lang w:val="en-GB"/>
              </w:rPr>
            </w:pPr>
            <w:r w:rsidRPr="009826DE">
              <w:rPr>
                <w:lang w:val="en-GB"/>
              </w:rPr>
              <w:t>Medium realisation scenario</w:t>
            </w:r>
          </w:p>
        </w:tc>
        <w:tc>
          <w:tcPr>
            <w:tcW w:w="70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612FD3" w:rsidRPr="004209F6" w:rsidRDefault="00612FD3" w:rsidP="004209F6">
            <w:pPr>
              <w:pStyle w:val="TableDataEntries"/>
            </w:pPr>
          </w:p>
        </w:tc>
        <w:tc>
          <w:tcPr>
            <w:tcW w:w="70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612FD3" w:rsidRPr="004209F6" w:rsidRDefault="00612FD3" w:rsidP="004209F6">
            <w:pPr>
              <w:pStyle w:val="TableDataEntries"/>
            </w:pPr>
          </w:p>
        </w:tc>
        <w:tc>
          <w:tcPr>
            <w:tcW w:w="70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612FD3" w:rsidRPr="004209F6" w:rsidRDefault="00612FD3" w:rsidP="004209F6">
            <w:pPr>
              <w:pStyle w:val="TableDataEntries"/>
            </w:pPr>
          </w:p>
        </w:tc>
        <w:tc>
          <w:tcPr>
            <w:tcW w:w="70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612FD3" w:rsidRPr="004209F6" w:rsidRDefault="00612FD3" w:rsidP="004209F6">
            <w:pPr>
              <w:pStyle w:val="TableDataEntries"/>
            </w:pPr>
          </w:p>
        </w:tc>
        <w:tc>
          <w:tcPr>
            <w:tcW w:w="70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612FD3" w:rsidRPr="004209F6" w:rsidRDefault="00612FD3" w:rsidP="004209F6">
            <w:pPr>
              <w:pStyle w:val="TableDataEntries"/>
            </w:pPr>
          </w:p>
        </w:tc>
        <w:tc>
          <w:tcPr>
            <w:tcW w:w="70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612FD3" w:rsidRPr="004209F6" w:rsidRDefault="00612FD3" w:rsidP="004209F6">
            <w:pPr>
              <w:pStyle w:val="TableDataEntries"/>
            </w:pPr>
          </w:p>
        </w:tc>
        <w:tc>
          <w:tcPr>
            <w:tcW w:w="70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612FD3" w:rsidRPr="004209F6" w:rsidRDefault="00612FD3" w:rsidP="004209F6">
            <w:pPr>
              <w:pStyle w:val="TableDataEntries"/>
            </w:pPr>
          </w:p>
        </w:tc>
        <w:tc>
          <w:tcPr>
            <w:tcW w:w="70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612FD3" w:rsidRPr="004209F6" w:rsidRDefault="00612FD3" w:rsidP="004209F6">
            <w:pPr>
              <w:pStyle w:val="TableDataEntries"/>
            </w:pPr>
          </w:p>
        </w:tc>
        <w:tc>
          <w:tcPr>
            <w:tcW w:w="70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612FD3" w:rsidRPr="004209F6" w:rsidRDefault="00612FD3" w:rsidP="004209F6">
            <w:pPr>
              <w:pStyle w:val="TableDataEntries"/>
            </w:pPr>
          </w:p>
        </w:tc>
      </w:tr>
      <w:tr w:rsidR="009E0D4E" w:rsidRPr="009826DE" w:rsidTr="00301B6D">
        <w:trPr>
          <w:trHeight w:val="230"/>
        </w:trPr>
        <w:tc>
          <w:tcPr>
            <w:tcW w:w="155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9E0D4E" w:rsidRPr="009826DE" w:rsidRDefault="009E0D4E" w:rsidP="009E0D4E">
            <w:pPr>
              <w:pStyle w:val="TableDataEntries"/>
              <w:jc w:val="left"/>
              <w:rPr>
                <w:lang w:val="en-GB"/>
              </w:rPr>
            </w:pPr>
            <w:r w:rsidRPr="009826DE">
              <w:rPr>
                <w:lang w:val="en-GB"/>
              </w:rPr>
              <w:t>Low</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423.7</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436.9</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545.4</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91.5</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220.8</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10.1</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21.9</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37.9</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1 788.1</w:t>
            </w:r>
          </w:p>
        </w:tc>
      </w:tr>
      <w:tr w:rsidR="009E0D4E" w:rsidRPr="009826DE" w:rsidTr="00301B6D">
        <w:trPr>
          <w:trHeight w:val="230"/>
        </w:trPr>
        <w:tc>
          <w:tcPr>
            <w:tcW w:w="155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9E0D4E" w:rsidRPr="009826DE" w:rsidRDefault="009E0D4E" w:rsidP="009E0D4E">
            <w:pPr>
              <w:pStyle w:val="TableDataEntries"/>
              <w:jc w:val="left"/>
              <w:rPr>
                <w:lang w:val="en-GB"/>
              </w:rPr>
            </w:pPr>
            <w:r w:rsidRPr="009826DE">
              <w:rPr>
                <w:lang w:val="en-GB"/>
              </w:rPr>
              <w:t>High</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574.1</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520.8</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583.3</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108.6</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298.4</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11.5</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26.8</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44.6</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2 168.2</w:t>
            </w:r>
          </w:p>
        </w:tc>
      </w:tr>
      <w:tr w:rsidR="00612FD3" w:rsidRPr="009826DE" w:rsidTr="00301B6D">
        <w:trPr>
          <w:trHeight w:val="230"/>
        </w:trPr>
        <w:tc>
          <w:tcPr>
            <w:tcW w:w="155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Pr="009826DE" w:rsidRDefault="00612FD3" w:rsidP="00301B6D">
            <w:pPr>
              <w:pStyle w:val="TableHeading1"/>
              <w:spacing w:before="80"/>
              <w:rPr>
                <w:lang w:val="en-GB"/>
              </w:rPr>
            </w:pPr>
            <w:r w:rsidRPr="009826DE">
              <w:rPr>
                <w:lang w:val="en-GB"/>
              </w:rPr>
              <w:t>High realisation scenario</w:t>
            </w:r>
          </w:p>
        </w:tc>
        <w:tc>
          <w:tcPr>
            <w:tcW w:w="70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612FD3" w:rsidRPr="004209F6" w:rsidRDefault="00612FD3" w:rsidP="004209F6">
            <w:pPr>
              <w:pStyle w:val="TableDataEntries"/>
            </w:pPr>
          </w:p>
        </w:tc>
        <w:tc>
          <w:tcPr>
            <w:tcW w:w="70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612FD3" w:rsidRPr="004209F6" w:rsidRDefault="00612FD3" w:rsidP="004209F6">
            <w:pPr>
              <w:pStyle w:val="TableDataEntries"/>
            </w:pPr>
          </w:p>
        </w:tc>
        <w:tc>
          <w:tcPr>
            <w:tcW w:w="70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612FD3" w:rsidRPr="004209F6" w:rsidRDefault="00612FD3" w:rsidP="004209F6">
            <w:pPr>
              <w:pStyle w:val="TableDataEntries"/>
            </w:pPr>
          </w:p>
        </w:tc>
        <w:tc>
          <w:tcPr>
            <w:tcW w:w="70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612FD3" w:rsidRPr="004209F6" w:rsidRDefault="00612FD3" w:rsidP="004209F6">
            <w:pPr>
              <w:pStyle w:val="TableDataEntries"/>
            </w:pPr>
          </w:p>
        </w:tc>
        <w:tc>
          <w:tcPr>
            <w:tcW w:w="70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612FD3" w:rsidRPr="004209F6" w:rsidRDefault="00612FD3" w:rsidP="004209F6">
            <w:pPr>
              <w:pStyle w:val="TableDataEntries"/>
            </w:pPr>
          </w:p>
        </w:tc>
        <w:tc>
          <w:tcPr>
            <w:tcW w:w="70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612FD3" w:rsidRPr="004209F6" w:rsidRDefault="00612FD3" w:rsidP="004209F6">
            <w:pPr>
              <w:pStyle w:val="TableDataEntries"/>
            </w:pPr>
          </w:p>
        </w:tc>
        <w:tc>
          <w:tcPr>
            <w:tcW w:w="70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612FD3" w:rsidRPr="004209F6" w:rsidRDefault="00612FD3" w:rsidP="004209F6">
            <w:pPr>
              <w:pStyle w:val="TableDataEntries"/>
            </w:pPr>
          </w:p>
        </w:tc>
        <w:tc>
          <w:tcPr>
            <w:tcW w:w="70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612FD3" w:rsidRPr="004209F6" w:rsidRDefault="00612FD3" w:rsidP="004209F6">
            <w:pPr>
              <w:pStyle w:val="TableDataEntries"/>
            </w:pPr>
          </w:p>
        </w:tc>
        <w:tc>
          <w:tcPr>
            <w:tcW w:w="70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612FD3" w:rsidRPr="004209F6" w:rsidRDefault="00612FD3" w:rsidP="004209F6">
            <w:pPr>
              <w:pStyle w:val="TableDataEntries"/>
            </w:pPr>
          </w:p>
        </w:tc>
      </w:tr>
      <w:tr w:rsidR="009E0D4E" w:rsidRPr="009826DE" w:rsidTr="00301B6D">
        <w:trPr>
          <w:trHeight w:val="230"/>
        </w:trPr>
        <w:tc>
          <w:tcPr>
            <w:tcW w:w="155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9E0D4E" w:rsidRPr="009826DE" w:rsidRDefault="009E0D4E" w:rsidP="009E0D4E">
            <w:pPr>
              <w:pStyle w:val="TableDataEntries"/>
              <w:jc w:val="left"/>
              <w:rPr>
                <w:lang w:val="en-GB"/>
              </w:rPr>
            </w:pPr>
            <w:r w:rsidRPr="009826DE">
              <w:rPr>
                <w:lang w:val="en-GB"/>
              </w:rPr>
              <w:t>Low</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623.9</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624.3</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759.0</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134.5</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322.0</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16.7</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32.8</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51.3</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2 564.6</w:t>
            </w:r>
          </w:p>
        </w:tc>
      </w:tr>
      <w:tr w:rsidR="009E0D4E" w:rsidRPr="009826DE" w:rsidTr="00301B6D">
        <w:trPr>
          <w:trHeight w:val="230"/>
        </w:trPr>
        <w:tc>
          <w:tcPr>
            <w:tcW w:w="1559" w:type="dxa"/>
            <w:tcBorders>
              <w:top w:val="single" w:sz="8" w:space="0" w:color="FFFFFF" w:themeColor="background1"/>
              <w:bottom w:val="single" w:sz="6" w:space="0" w:color="6F6652"/>
            </w:tcBorders>
            <w:shd w:val="clear" w:color="auto" w:fill="E9E8E5" w:themeFill="background2"/>
            <w:tcMar>
              <w:left w:w="57" w:type="dxa"/>
              <w:right w:w="57" w:type="dxa"/>
            </w:tcMar>
          </w:tcPr>
          <w:p w:rsidR="009E0D4E" w:rsidRPr="009826DE" w:rsidRDefault="009E0D4E" w:rsidP="009E0D4E">
            <w:pPr>
              <w:pStyle w:val="TableDataEntries"/>
              <w:jc w:val="left"/>
              <w:rPr>
                <w:lang w:val="en-GB"/>
              </w:rPr>
            </w:pPr>
            <w:r w:rsidRPr="009826DE">
              <w:rPr>
                <w:lang w:val="en-GB"/>
              </w:rPr>
              <w:t>High</w:t>
            </w:r>
          </w:p>
        </w:tc>
        <w:tc>
          <w:tcPr>
            <w:tcW w:w="709"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824.4</w:t>
            </w:r>
          </w:p>
        </w:tc>
        <w:tc>
          <w:tcPr>
            <w:tcW w:w="709"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736.3</w:t>
            </w:r>
          </w:p>
        </w:tc>
        <w:tc>
          <w:tcPr>
            <w:tcW w:w="709"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809.5</w:t>
            </w:r>
          </w:p>
        </w:tc>
        <w:tc>
          <w:tcPr>
            <w:tcW w:w="709"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157.4</w:t>
            </w:r>
          </w:p>
        </w:tc>
        <w:tc>
          <w:tcPr>
            <w:tcW w:w="709"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425.5</w:t>
            </w:r>
          </w:p>
        </w:tc>
        <w:tc>
          <w:tcPr>
            <w:tcW w:w="709"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18.6</w:t>
            </w:r>
          </w:p>
        </w:tc>
        <w:tc>
          <w:tcPr>
            <w:tcW w:w="709"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39.4</w:t>
            </w:r>
          </w:p>
        </w:tc>
        <w:tc>
          <w:tcPr>
            <w:tcW w:w="709"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60.3</w:t>
            </w:r>
          </w:p>
        </w:tc>
        <w:tc>
          <w:tcPr>
            <w:tcW w:w="709"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3 071.4</w:t>
            </w:r>
          </w:p>
        </w:tc>
      </w:tr>
    </w:tbl>
    <w:p w:rsidR="00612FD3" w:rsidRPr="009826DE" w:rsidRDefault="00612FD3" w:rsidP="00612FD3">
      <w:pPr>
        <w:pStyle w:val="Note"/>
      </w:pPr>
      <w:r w:rsidRPr="009826DE">
        <w:rPr>
          <w:i/>
        </w:rPr>
        <w:t>Note:</w:t>
      </w:r>
      <w:r w:rsidRPr="009826DE">
        <w:t xml:space="preserve"> </w:t>
      </w:r>
      <w:r w:rsidR="00CA6CF4">
        <w:rPr>
          <w:lang w:bidi="fa-IR"/>
        </w:rPr>
        <w:t xml:space="preserve">Net impacts include the private benefits and costs to building owners/tenants and the global benefits from reduced GHG emissions. </w:t>
      </w:r>
      <w:r w:rsidRPr="009826DE">
        <w:t>Costs and benefits estimated over 40 year life of commercial building construction over a ten year regulatory period, using a discount rate of 7 per cent.</w:t>
      </w:r>
    </w:p>
    <w:p w:rsidR="00612FD3" w:rsidRDefault="00612FD3" w:rsidP="00612FD3">
      <w:pPr>
        <w:pStyle w:val="Source"/>
      </w:pPr>
      <w:r w:rsidRPr="009826DE">
        <w:rPr>
          <w:i/>
        </w:rPr>
        <w:t>Source:</w:t>
      </w:r>
      <w:r w:rsidRPr="009826DE">
        <w:t xml:space="preserve"> CIE estimates based on </w:t>
      </w:r>
      <w:r w:rsidR="003F28DD">
        <w:t>EA</w:t>
      </w:r>
      <w:r w:rsidRPr="009826DE">
        <w:t xml:space="preserve"> modelling.</w:t>
      </w:r>
    </w:p>
    <w:p w:rsidR="00612FD3" w:rsidRPr="00E968E3" w:rsidRDefault="00612FD3" w:rsidP="00612FD3">
      <w:pPr>
        <w:pStyle w:val="Heading3"/>
        <w:numPr>
          <w:ilvl w:val="2"/>
          <w:numId w:val="5"/>
        </w:numPr>
      </w:pPr>
      <w:r w:rsidRPr="00E968E3">
        <w:t>Social cost of carbon</w:t>
      </w:r>
    </w:p>
    <w:p w:rsidR="00612FD3" w:rsidRPr="00E968E3" w:rsidRDefault="00612FD3" w:rsidP="00612FD3">
      <w:pPr>
        <w:pStyle w:val="BodyText"/>
      </w:pPr>
      <w:r w:rsidRPr="00E968E3">
        <w:t>We also test the sensitivity of the results to alternative social cost of carbon (SCC) series. The US Government recently published four SCC series (see appendix H for details). The estimated net benefits using each of the SCC series is shown in table </w:t>
      </w:r>
      <w:r w:rsidRPr="00E968E3">
        <w:rPr>
          <w:noProof/>
        </w:rPr>
        <w:fldChar w:fldCharType="begin"/>
      </w:r>
      <w:r w:rsidRPr="00E968E3">
        <w:rPr>
          <w:noProof/>
        </w:rPr>
        <w:instrText xml:space="preserve"> REF _Caption3151  \* MERGEFORMAT </w:instrText>
      </w:r>
      <w:r w:rsidRPr="00E968E3">
        <w:rPr>
          <w:noProof/>
        </w:rPr>
        <w:fldChar w:fldCharType="separate"/>
      </w:r>
      <w:r w:rsidR="006B79B8">
        <w:rPr>
          <w:noProof/>
        </w:rPr>
        <w:t>8</w:t>
      </w:r>
      <w:r w:rsidR="006B79B8" w:rsidRPr="00513E5F">
        <w:rPr>
          <w:noProof/>
        </w:rPr>
        <w:t>.</w:t>
      </w:r>
      <w:r w:rsidR="006B79B8">
        <w:rPr>
          <w:noProof/>
        </w:rPr>
        <w:t>23</w:t>
      </w:r>
      <w:r w:rsidRPr="00E968E3">
        <w:rPr>
          <w:noProof/>
        </w:rPr>
        <w:fldChar w:fldCharType="end"/>
      </w:r>
      <w:r w:rsidRPr="00E968E3">
        <w:t>.</w:t>
      </w:r>
    </w:p>
    <w:p w:rsidR="00612FD3" w:rsidRPr="00E968E3" w:rsidRDefault="00612FD3" w:rsidP="00612FD3">
      <w:pPr>
        <w:pStyle w:val="BodyText"/>
      </w:pPr>
      <w:r w:rsidRPr="00E968E3">
        <w:t>In general, the results are relatively insensitive to the SCC series, largely because the GHG savings are a relatively small share of the overall benefits. That is, the central case CBA suggests the private benefits outweigh the private costs even without the public benefits associated with reduced GHG emissions.</w:t>
      </w:r>
    </w:p>
    <w:p w:rsidR="00612FD3" w:rsidRPr="00E968E3" w:rsidRDefault="00612FD3" w:rsidP="00612FD3">
      <w:pPr>
        <w:pStyle w:val="Caption"/>
      </w:pPr>
      <w:r w:rsidRPr="00513E5F">
        <w:fldChar w:fldCharType="begin"/>
      </w:r>
      <w:r w:rsidRPr="00513E5F">
        <w:instrText xml:space="preserve"> IF 1 = 1 "</w:instrText>
      </w:r>
      <w:r w:rsidRPr="00513E5F">
        <w:fldChar w:fldCharType="begin"/>
      </w:r>
      <w:r w:rsidRPr="00513E5F">
        <w:instrText xml:space="preserve"> IF </w:instrText>
      </w:r>
      <w:r w:rsidRPr="00513E5F">
        <w:rPr>
          <w:noProof/>
        </w:rPr>
        <w:fldChar w:fldCharType="begin"/>
      </w:r>
      <w:r w:rsidRPr="00513E5F">
        <w:rPr>
          <w:noProof/>
        </w:rPr>
        <w:instrText xml:space="preserve"> STYLEREF "Heading 6" \l \n </w:instrText>
      </w:r>
      <w:r w:rsidRPr="00513E5F">
        <w:rPr>
          <w:noProof/>
        </w:rPr>
        <w:fldChar w:fldCharType="separate"/>
      </w:r>
      <w:r w:rsidR="00B833F1">
        <w:rPr>
          <w:noProof/>
        </w:rPr>
        <w:instrText>0</w:instrText>
      </w:r>
      <w:r w:rsidRPr="00513E5F">
        <w:rPr>
          <w:noProof/>
        </w:rPr>
        <w:fldChar w:fldCharType="end"/>
      </w:r>
      <w:r w:rsidRPr="00513E5F">
        <w:instrText xml:space="preserve"> = 0 "</w:instrText>
      </w:r>
      <w:r w:rsidRPr="00513E5F">
        <w:fldChar w:fldCharType="begin"/>
      </w:r>
      <w:r w:rsidRPr="00513E5F">
        <w:instrText xml:space="preserve"> IF </w:instrText>
      </w:r>
      <w:r w:rsidRPr="00513E5F">
        <w:rPr>
          <w:noProof/>
        </w:rPr>
        <w:fldChar w:fldCharType="begin"/>
      </w:r>
      <w:r w:rsidRPr="00513E5F">
        <w:rPr>
          <w:noProof/>
        </w:rPr>
        <w:instrText xml:space="preserve"> STYLEREF "Heading 1" \l \n </w:instrText>
      </w:r>
      <w:r w:rsidRPr="00513E5F">
        <w:rPr>
          <w:noProof/>
        </w:rPr>
        <w:fldChar w:fldCharType="separate"/>
      </w:r>
      <w:r w:rsidR="00B833F1">
        <w:rPr>
          <w:noProof/>
        </w:rPr>
        <w:instrText>8</w:instrText>
      </w:r>
      <w:r w:rsidRPr="00513E5F">
        <w:rPr>
          <w:noProof/>
        </w:rPr>
        <w:fldChar w:fldCharType="end"/>
      </w:r>
      <w:r w:rsidRPr="00513E5F">
        <w:instrText xml:space="preserve"> = 0 "" "</w:instrText>
      </w:r>
      <w:r w:rsidRPr="00513E5F">
        <w:rPr>
          <w:noProof/>
        </w:rPr>
        <w:fldChar w:fldCharType="begin"/>
      </w:r>
      <w:r w:rsidRPr="00513E5F">
        <w:rPr>
          <w:noProof/>
        </w:rPr>
        <w:instrText xml:space="preserve"> STYLEREF "Heading 1" \l \n </w:instrText>
      </w:r>
      <w:r w:rsidRPr="00513E5F">
        <w:rPr>
          <w:noProof/>
        </w:rPr>
        <w:fldChar w:fldCharType="separate"/>
      </w:r>
      <w:r w:rsidR="00B833F1">
        <w:rPr>
          <w:noProof/>
        </w:rPr>
        <w:instrText>8</w:instrText>
      </w:r>
      <w:r w:rsidRPr="00513E5F">
        <w:rPr>
          <w:noProof/>
        </w:rPr>
        <w:fldChar w:fldCharType="end"/>
      </w:r>
      <w:r w:rsidRPr="00513E5F">
        <w:instrText xml:space="preserve">." </w:instrText>
      </w:r>
      <w:r w:rsidRPr="00513E5F">
        <w:fldChar w:fldCharType="separate"/>
      </w:r>
      <w:r w:rsidR="00B833F1">
        <w:rPr>
          <w:noProof/>
        </w:rPr>
        <w:instrText>8</w:instrText>
      </w:r>
      <w:r w:rsidR="00B833F1" w:rsidRPr="00513E5F">
        <w:rPr>
          <w:noProof/>
        </w:rPr>
        <w:instrText>.</w:instrText>
      </w:r>
      <w:r w:rsidRPr="00513E5F">
        <w:fldChar w:fldCharType="end"/>
      </w:r>
      <w:r w:rsidRPr="00513E5F">
        <w:instrText>" "</w:instrText>
      </w:r>
      <w:r w:rsidR="001F6F43">
        <w:fldChar w:fldCharType="begin"/>
      </w:r>
      <w:r w:rsidR="001F6F43">
        <w:instrText xml:space="preserve"> STYLEREF "Heading 6" \l \n </w:instrText>
      </w:r>
      <w:r w:rsidR="001F6F43">
        <w:fldChar w:fldCharType="separate"/>
      </w:r>
      <w:r w:rsidRPr="00513E5F">
        <w:instrText>B</w:instrText>
      </w:r>
      <w:r w:rsidR="001F6F43">
        <w:fldChar w:fldCharType="end"/>
      </w:r>
      <w:r w:rsidRPr="00513E5F">
        <w:instrText xml:space="preserve">." </w:instrText>
      </w:r>
      <w:r w:rsidRPr="00513E5F">
        <w:fldChar w:fldCharType="separate"/>
      </w:r>
      <w:r w:rsidR="00EA42ED">
        <w:rPr>
          <w:noProof/>
        </w:rPr>
        <w:instrText>8</w:instrText>
      </w:r>
      <w:r w:rsidR="00EA42ED" w:rsidRPr="00513E5F">
        <w:rPr>
          <w:noProof/>
        </w:rPr>
        <w:instrText>.</w:instrText>
      </w:r>
      <w:r w:rsidRPr="00513E5F">
        <w:fldChar w:fldCharType="end"/>
      </w:r>
      <w:r w:rsidRPr="00513E5F">
        <w:fldChar w:fldCharType="begin"/>
      </w:r>
      <w:r w:rsidRPr="00513E5F">
        <w:instrText xml:space="preserve"> SEQ Item \* ARABIC \s </w:instrText>
      </w:r>
      <w:r w:rsidRPr="00513E5F">
        <w:fldChar w:fldCharType="begin"/>
      </w:r>
      <w:r w:rsidRPr="00513E5F">
        <w:instrText xml:space="preserve"> IF </w:instrText>
      </w:r>
      <w:r w:rsidRPr="00513E5F">
        <w:rPr>
          <w:noProof/>
        </w:rPr>
        <w:fldChar w:fldCharType="begin"/>
      </w:r>
      <w:r w:rsidRPr="00513E5F">
        <w:rPr>
          <w:noProof/>
        </w:rPr>
        <w:instrText xml:space="preserve"> STYLEREF "Heading 6" \l \n </w:instrText>
      </w:r>
      <w:r w:rsidRPr="00513E5F">
        <w:rPr>
          <w:noProof/>
        </w:rPr>
        <w:fldChar w:fldCharType="separate"/>
      </w:r>
      <w:r w:rsidR="00B833F1">
        <w:rPr>
          <w:noProof/>
        </w:rPr>
        <w:instrText>0</w:instrText>
      </w:r>
      <w:r w:rsidRPr="00513E5F">
        <w:rPr>
          <w:noProof/>
        </w:rPr>
        <w:fldChar w:fldCharType="end"/>
      </w:r>
      <w:r w:rsidRPr="00513E5F">
        <w:instrText xml:space="preserve"> = 0 "</w:instrText>
      </w:r>
      <w:r w:rsidRPr="00513E5F">
        <w:fldChar w:fldCharType="begin"/>
      </w:r>
      <w:r w:rsidRPr="00513E5F">
        <w:instrText xml:space="preserve"> IF </w:instrText>
      </w:r>
      <w:r w:rsidRPr="00513E5F">
        <w:rPr>
          <w:noProof/>
        </w:rPr>
        <w:fldChar w:fldCharType="begin"/>
      </w:r>
      <w:r w:rsidRPr="00513E5F">
        <w:rPr>
          <w:noProof/>
        </w:rPr>
        <w:instrText xml:space="preserve"> STYLEREF "Heading 1" \l \n </w:instrText>
      </w:r>
      <w:r w:rsidRPr="00513E5F">
        <w:rPr>
          <w:noProof/>
        </w:rPr>
        <w:fldChar w:fldCharType="separate"/>
      </w:r>
      <w:r w:rsidR="00B833F1">
        <w:rPr>
          <w:noProof/>
        </w:rPr>
        <w:instrText>8</w:instrText>
      </w:r>
      <w:r w:rsidRPr="00513E5F">
        <w:rPr>
          <w:noProof/>
        </w:rPr>
        <w:fldChar w:fldCharType="end"/>
      </w:r>
      <w:r w:rsidRPr="00513E5F">
        <w:instrText xml:space="preserve"> = 0 "" "1" </w:instrText>
      </w:r>
      <w:r w:rsidRPr="00513E5F">
        <w:fldChar w:fldCharType="separate"/>
      </w:r>
      <w:r w:rsidR="00EA42ED" w:rsidRPr="00513E5F">
        <w:rPr>
          <w:noProof/>
        </w:rPr>
        <w:instrText>1</w:instrText>
      </w:r>
      <w:r w:rsidRPr="00513E5F">
        <w:fldChar w:fldCharType="end"/>
      </w:r>
      <w:r w:rsidRPr="00513E5F">
        <w:instrText xml:space="preserve">" "6" </w:instrText>
      </w:r>
      <w:r w:rsidRPr="00513E5F">
        <w:fldChar w:fldCharType="separate"/>
      </w:r>
      <w:r w:rsidR="00EA42ED" w:rsidRPr="00513E5F">
        <w:rPr>
          <w:noProof/>
        </w:rPr>
        <w:instrText>1</w:instrText>
      </w:r>
      <w:r w:rsidRPr="00513E5F">
        <w:fldChar w:fldCharType="end"/>
      </w:r>
      <w:r w:rsidRPr="00513E5F">
        <w:instrText xml:space="preserve"> </w:instrText>
      </w:r>
      <w:r w:rsidRPr="00513E5F">
        <w:fldChar w:fldCharType="separate"/>
      </w:r>
      <w:r w:rsidR="00B833F1">
        <w:rPr>
          <w:noProof/>
        </w:rPr>
        <w:instrText>23</w:instrText>
      </w:r>
      <w:r w:rsidRPr="00513E5F">
        <w:fldChar w:fldCharType="end"/>
      </w:r>
      <w:r w:rsidRPr="00513E5F">
        <w:instrText xml:space="preserve">" "" </w:instrText>
      </w:r>
      <w:r w:rsidRPr="00513E5F">
        <w:fldChar w:fldCharType="separate"/>
      </w:r>
      <w:bookmarkStart w:id="4366" w:name="_Caption2207"/>
      <w:bookmarkStart w:id="4367" w:name="_Caption7281"/>
      <w:bookmarkStart w:id="4368" w:name="_Caption3001"/>
      <w:bookmarkStart w:id="4369" w:name="_Caption4044"/>
      <w:bookmarkStart w:id="4370" w:name="_Caption9369"/>
      <w:bookmarkStart w:id="4371" w:name="_Caption9183"/>
      <w:bookmarkStart w:id="4372" w:name="_Caption5134"/>
      <w:bookmarkStart w:id="4373" w:name="_Caption5691"/>
      <w:bookmarkStart w:id="4374" w:name="_Caption8793"/>
      <w:bookmarkStart w:id="4375" w:name="_Caption6236"/>
      <w:bookmarkStart w:id="4376" w:name="_Caption5058"/>
      <w:bookmarkStart w:id="4377" w:name="_Caption7959"/>
      <w:bookmarkStart w:id="4378" w:name="_Caption0121"/>
      <w:bookmarkStart w:id="4379" w:name="_Caption8500"/>
      <w:bookmarkStart w:id="4380" w:name="_Caption1127"/>
      <w:bookmarkStart w:id="4381" w:name="_Caption0218"/>
      <w:bookmarkStart w:id="4382" w:name="_Caption5508"/>
      <w:bookmarkStart w:id="4383" w:name="_Caption5168"/>
      <w:bookmarkStart w:id="4384" w:name="_Caption4667"/>
      <w:bookmarkStart w:id="4385" w:name="_Caption0043"/>
      <w:bookmarkStart w:id="4386" w:name="_Caption6000"/>
      <w:bookmarkStart w:id="4387" w:name="_Caption6639"/>
      <w:bookmarkStart w:id="4388" w:name="_Caption5151"/>
      <w:bookmarkStart w:id="4389" w:name="_Caption6653"/>
      <w:bookmarkStart w:id="4390" w:name="_Caption6118"/>
      <w:bookmarkStart w:id="4391" w:name="_Caption3438"/>
      <w:bookmarkStart w:id="4392" w:name="_Caption3442"/>
      <w:bookmarkStart w:id="4393" w:name="_Caption9039"/>
      <w:bookmarkStart w:id="4394" w:name="_Caption9054"/>
      <w:bookmarkStart w:id="4395" w:name="_Caption2402"/>
      <w:bookmarkStart w:id="4396" w:name="_Caption5934"/>
      <w:bookmarkStart w:id="4397" w:name="_Caption9650"/>
      <w:bookmarkStart w:id="4398" w:name="_Caption4472"/>
      <w:bookmarkStart w:id="4399" w:name="_Caption7751"/>
      <w:bookmarkStart w:id="4400" w:name="_Caption5497"/>
      <w:bookmarkStart w:id="4401" w:name="_Caption7758"/>
      <w:bookmarkStart w:id="4402" w:name="_Caption9181"/>
      <w:bookmarkStart w:id="4403" w:name="_Caption7866"/>
      <w:bookmarkStart w:id="4404" w:name="_Caption3782"/>
      <w:bookmarkStart w:id="4405" w:name="_Caption8138"/>
      <w:bookmarkStart w:id="4406" w:name="_Caption1493"/>
      <w:bookmarkStart w:id="4407" w:name="_Caption8978"/>
      <w:bookmarkStart w:id="4408" w:name="_Caption2278"/>
      <w:bookmarkStart w:id="4409" w:name="_Caption5772"/>
      <w:bookmarkStart w:id="4410" w:name="_Caption8529"/>
      <w:bookmarkStart w:id="4411" w:name="_Caption2927"/>
      <w:bookmarkStart w:id="4412" w:name="_Caption3346"/>
      <w:bookmarkStart w:id="4413" w:name="_Caption6234"/>
      <w:bookmarkStart w:id="4414" w:name="_Caption1521"/>
      <w:bookmarkStart w:id="4415" w:name="_Caption9694"/>
      <w:bookmarkStart w:id="4416" w:name="_Caption1712"/>
      <w:bookmarkStart w:id="4417" w:name="_Caption1612"/>
      <w:bookmarkStart w:id="4418" w:name="_Caption4913"/>
      <w:bookmarkStart w:id="4419" w:name="_Caption3754"/>
      <w:bookmarkStart w:id="4420" w:name="_Caption7380"/>
      <w:bookmarkStart w:id="4421" w:name="_Caption5406"/>
      <w:bookmarkStart w:id="4422" w:name="_Caption1924"/>
      <w:bookmarkStart w:id="4423" w:name="_Caption1898"/>
      <w:bookmarkStart w:id="4424" w:name="_Caption3151"/>
      <w:bookmarkStart w:id="4425" w:name="_Caption2106"/>
      <w:bookmarkStart w:id="4426" w:name="_Caption6424"/>
      <w:bookmarkStart w:id="4427" w:name="_Caption3451"/>
      <w:bookmarkStart w:id="4428" w:name="_Caption3894"/>
      <w:bookmarkStart w:id="4429" w:name="_Caption9275"/>
      <w:bookmarkStart w:id="4430" w:name="_Caption8181"/>
      <w:bookmarkStart w:id="4431" w:name="_Caption4596"/>
      <w:bookmarkStart w:id="4432" w:name="_Caption0128"/>
      <w:bookmarkStart w:id="4433" w:name="_Caption6412"/>
      <w:bookmarkStart w:id="4434" w:name="_Caption3209"/>
      <w:bookmarkStart w:id="4435" w:name="_Caption4654"/>
      <w:bookmarkStart w:id="4436" w:name="_Caption3779"/>
      <w:bookmarkStart w:id="4437" w:name="_Caption9892"/>
      <w:bookmarkStart w:id="4438" w:name="_Caption5554"/>
      <w:bookmarkStart w:id="4439" w:name="_Caption9999"/>
      <w:bookmarkStart w:id="4440" w:name="_Caption2205"/>
      <w:bookmarkStart w:id="4441" w:name="_Caption0954"/>
      <w:bookmarkStart w:id="4442" w:name="_Caption5824"/>
      <w:bookmarkStart w:id="4443" w:name="_Caption6089"/>
      <w:bookmarkStart w:id="4444" w:name="_Caption8771"/>
      <w:bookmarkStart w:id="4445" w:name="_Caption6810"/>
      <w:bookmarkStart w:id="4446" w:name="_Caption0572"/>
      <w:bookmarkStart w:id="4447" w:name="_Caption6198"/>
      <w:bookmarkStart w:id="4448" w:name="_Caption9810"/>
      <w:bookmarkStart w:id="4449" w:name="_Caption5871"/>
      <w:bookmarkStart w:id="4450" w:name="_Caption1768"/>
      <w:bookmarkStart w:id="4451" w:name="_Caption8188"/>
      <w:bookmarkStart w:id="4452" w:name="_Caption5259"/>
      <w:bookmarkStart w:id="4453" w:name="_Caption6618"/>
      <w:bookmarkStart w:id="4454" w:name="_Caption2460"/>
      <w:bookmarkStart w:id="4455" w:name="_Caption3276"/>
      <w:bookmarkStart w:id="4456" w:name="_Caption3224"/>
      <w:bookmarkStart w:id="4457" w:name="_Caption1529"/>
      <w:bookmarkStart w:id="4458" w:name="_Caption6278"/>
      <w:bookmarkStart w:id="4459" w:name="_Caption4014"/>
      <w:bookmarkStart w:id="4460" w:name="_Caption8075"/>
      <w:bookmarkStart w:id="4461" w:name="_Caption3523"/>
      <w:bookmarkStart w:id="4462" w:name="_Caption1814"/>
      <w:bookmarkStart w:id="4463" w:name="_Caption4789"/>
      <w:bookmarkStart w:id="4464" w:name="_Caption6776"/>
      <w:bookmarkStart w:id="4465" w:name="_Caption8865"/>
      <w:bookmarkStart w:id="4466" w:name="_Caption4720"/>
      <w:bookmarkStart w:id="4467" w:name="_Caption7131"/>
      <w:bookmarkStart w:id="4468" w:name="_Caption0596"/>
      <w:bookmarkStart w:id="4469" w:name="_Caption7370"/>
      <w:bookmarkStart w:id="4470" w:name="_Caption7111"/>
      <w:bookmarkStart w:id="4471" w:name="_Caption3531"/>
      <w:bookmarkStart w:id="4472" w:name="_Toc507523821"/>
      <w:bookmarkStart w:id="4473" w:name="_Toc509220870"/>
      <w:bookmarkStart w:id="4474" w:name="_Toc529869962"/>
      <w:bookmarkStart w:id="4475" w:name="_Toc530748458"/>
      <w:r w:rsidR="00EA42ED">
        <w:rPr>
          <w:noProof/>
        </w:rPr>
        <w:t>8</w:t>
      </w:r>
      <w:r w:rsidR="00EA42ED" w:rsidRPr="00513E5F">
        <w:rPr>
          <w:noProof/>
        </w:rPr>
        <w:t>.</w:t>
      </w:r>
      <w:r w:rsidR="00EA42ED">
        <w:rPr>
          <w:noProof/>
        </w:rPr>
        <w:t>23</w:t>
      </w:r>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r w:rsidRPr="00513E5F">
        <w:fldChar w:fldCharType="end"/>
      </w:r>
      <w:r w:rsidRPr="00513E5F">
        <w:tab/>
        <w:t>Net benefit/costs under various social cost of carbon series</w:t>
      </w:r>
      <w:bookmarkEnd w:id="4472"/>
      <w:bookmarkEnd w:id="4473"/>
      <w:bookmarkEnd w:id="4474"/>
      <w:bookmarkEnd w:id="4475"/>
    </w:p>
    <w:tbl>
      <w:tblPr>
        <w:tblW w:w="7940" w:type="dxa"/>
        <w:tblLayout w:type="fixed"/>
        <w:tblLook w:val="0000" w:firstRow="0" w:lastRow="0" w:firstColumn="0" w:lastColumn="0" w:noHBand="0" w:noVBand="0"/>
        <w:tblCaption w:val="Table 8.23: Net benefit/costs under various social cost of carbon series "/>
        <w:tblDescription w:val="This table shows the net present values of the proposed changes using various social costs of carbon prices. "/>
      </w:tblPr>
      <w:tblGrid>
        <w:gridCol w:w="1559"/>
        <w:gridCol w:w="709"/>
        <w:gridCol w:w="709"/>
        <w:gridCol w:w="709"/>
        <w:gridCol w:w="709"/>
        <w:gridCol w:w="709"/>
        <w:gridCol w:w="709"/>
        <w:gridCol w:w="709"/>
        <w:gridCol w:w="709"/>
        <w:gridCol w:w="709"/>
      </w:tblGrid>
      <w:tr w:rsidR="00612FD3" w:rsidRPr="00E968E3" w:rsidTr="00301B6D">
        <w:trPr>
          <w:trHeight w:val="230"/>
          <w:tblHeader/>
        </w:trPr>
        <w:tc>
          <w:tcPr>
            <w:tcW w:w="1559" w:type="dxa"/>
            <w:shd w:val="clear" w:color="auto" w:fill="6F6652"/>
            <w:tcMar>
              <w:left w:w="57" w:type="dxa"/>
              <w:right w:w="57" w:type="dxa"/>
            </w:tcMar>
          </w:tcPr>
          <w:p w:rsidR="00612FD3" w:rsidRPr="00E968E3" w:rsidRDefault="00612FD3" w:rsidP="00301B6D">
            <w:pPr>
              <w:pStyle w:val="TableDataColumnHeading"/>
              <w:jc w:val="left"/>
              <w:rPr>
                <w:lang w:val="en-GB"/>
              </w:rPr>
            </w:pPr>
          </w:p>
        </w:tc>
        <w:tc>
          <w:tcPr>
            <w:tcW w:w="709" w:type="dxa"/>
            <w:shd w:val="clear" w:color="auto" w:fill="6F6652"/>
            <w:tcMar>
              <w:left w:w="57" w:type="dxa"/>
              <w:right w:w="57" w:type="dxa"/>
            </w:tcMar>
          </w:tcPr>
          <w:p w:rsidR="00612FD3" w:rsidRPr="00E968E3" w:rsidRDefault="00612FD3" w:rsidP="00301B6D">
            <w:pPr>
              <w:pStyle w:val="TableDataColumnHeading"/>
              <w:rPr>
                <w:lang w:val="en-GB"/>
              </w:rPr>
            </w:pPr>
            <w:r w:rsidRPr="00E968E3">
              <w:rPr>
                <w:lang w:val="en-GB"/>
              </w:rPr>
              <w:t>NSW</w:t>
            </w:r>
          </w:p>
        </w:tc>
        <w:tc>
          <w:tcPr>
            <w:tcW w:w="709" w:type="dxa"/>
            <w:shd w:val="clear" w:color="auto" w:fill="6F6652"/>
            <w:tcMar>
              <w:left w:w="57" w:type="dxa"/>
              <w:right w:w="57" w:type="dxa"/>
            </w:tcMar>
          </w:tcPr>
          <w:p w:rsidR="00612FD3" w:rsidRPr="00E968E3" w:rsidRDefault="00612FD3" w:rsidP="00301B6D">
            <w:pPr>
              <w:pStyle w:val="TableDataColumnHeading"/>
              <w:rPr>
                <w:lang w:val="en-GB"/>
              </w:rPr>
            </w:pPr>
            <w:r w:rsidRPr="00E968E3">
              <w:rPr>
                <w:lang w:val="en-GB"/>
              </w:rPr>
              <w:t>Vic</w:t>
            </w:r>
          </w:p>
        </w:tc>
        <w:tc>
          <w:tcPr>
            <w:tcW w:w="709" w:type="dxa"/>
            <w:shd w:val="clear" w:color="auto" w:fill="6F6652"/>
            <w:tcMar>
              <w:left w:w="57" w:type="dxa"/>
              <w:right w:w="57" w:type="dxa"/>
            </w:tcMar>
          </w:tcPr>
          <w:p w:rsidR="00612FD3" w:rsidRPr="00E968E3" w:rsidRDefault="00612FD3" w:rsidP="00301B6D">
            <w:pPr>
              <w:pStyle w:val="TableDataColumnHeading"/>
              <w:rPr>
                <w:lang w:val="en-GB"/>
              </w:rPr>
            </w:pPr>
            <w:r w:rsidRPr="00E968E3">
              <w:rPr>
                <w:lang w:val="en-GB"/>
              </w:rPr>
              <w:t>Qld</w:t>
            </w:r>
          </w:p>
        </w:tc>
        <w:tc>
          <w:tcPr>
            <w:tcW w:w="709" w:type="dxa"/>
            <w:shd w:val="clear" w:color="auto" w:fill="6F6652"/>
            <w:tcMar>
              <w:left w:w="57" w:type="dxa"/>
              <w:right w:w="57" w:type="dxa"/>
            </w:tcMar>
          </w:tcPr>
          <w:p w:rsidR="00612FD3" w:rsidRPr="00E968E3" w:rsidRDefault="00612FD3" w:rsidP="00301B6D">
            <w:pPr>
              <w:pStyle w:val="TableDataColumnHeading"/>
              <w:rPr>
                <w:lang w:val="en-GB"/>
              </w:rPr>
            </w:pPr>
            <w:r w:rsidRPr="00E968E3">
              <w:rPr>
                <w:lang w:val="en-GB"/>
              </w:rPr>
              <w:t>SA</w:t>
            </w:r>
          </w:p>
        </w:tc>
        <w:tc>
          <w:tcPr>
            <w:tcW w:w="709" w:type="dxa"/>
            <w:shd w:val="clear" w:color="auto" w:fill="6F6652"/>
            <w:tcMar>
              <w:left w:w="57" w:type="dxa"/>
              <w:right w:w="57" w:type="dxa"/>
            </w:tcMar>
          </w:tcPr>
          <w:p w:rsidR="00612FD3" w:rsidRPr="00E968E3" w:rsidRDefault="00612FD3" w:rsidP="00301B6D">
            <w:pPr>
              <w:pStyle w:val="TableDataColumnHeading"/>
              <w:rPr>
                <w:lang w:val="en-GB"/>
              </w:rPr>
            </w:pPr>
            <w:r w:rsidRPr="00E968E3">
              <w:rPr>
                <w:lang w:val="en-GB"/>
              </w:rPr>
              <w:t>WA</w:t>
            </w:r>
          </w:p>
        </w:tc>
        <w:tc>
          <w:tcPr>
            <w:tcW w:w="709" w:type="dxa"/>
            <w:shd w:val="clear" w:color="auto" w:fill="6F6652"/>
            <w:tcMar>
              <w:left w:w="57" w:type="dxa"/>
              <w:right w:w="57" w:type="dxa"/>
            </w:tcMar>
          </w:tcPr>
          <w:p w:rsidR="00612FD3" w:rsidRPr="00E968E3" w:rsidRDefault="00612FD3" w:rsidP="00301B6D">
            <w:pPr>
              <w:pStyle w:val="TableDataColumnHeading"/>
              <w:rPr>
                <w:lang w:val="en-GB"/>
              </w:rPr>
            </w:pPr>
            <w:r w:rsidRPr="00E968E3">
              <w:rPr>
                <w:lang w:val="en-GB"/>
              </w:rPr>
              <w:t>Tas</w:t>
            </w:r>
          </w:p>
        </w:tc>
        <w:tc>
          <w:tcPr>
            <w:tcW w:w="709" w:type="dxa"/>
            <w:shd w:val="clear" w:color="auto" w:fill="6F6652"/>
            <w:tcMar>
              <w:left w:w="57" w:type="dxa"/>
              <w:right w:w="57" w:type="dxa"/>
            </w:tcMar>
          </w:tcPr>
          <w:p w:rsidR="00612FD3" w:rsidRPr="00E968E3" w:rsidRDefault="00612FD3" w:rsidP="00301B6D">
            <w:pPr>
              <w:pStyle w:val="TableDataColumnHeading"/>
              <w:rPr>
                <w:lang w:val="en-GB"/>
              </w:rPr>
            </w:pPr>
            <w:r w:rsidRPr="00E968E3">
              <w:rPr>
                <w:lang w:val="en-GB"/>
              </w:rPr>
              <w:t>ACT</w:t>
            </w:r>
          </w:p>
        </w:tc>
        <w:tc>
          <w:tcPr>
            <w:tcW w:w="709" w:type="dxa"/>
            <w:shd w:val="clear" w:color="auto" w:fill="6F6652"/>
            <w:tcMar>
              <w:left w:w="57" w:type="dxa"/>
              <w:right w:w="57" w:type="dxa"/>
            </w:tcMar>
          </w:tcPr>
          <w:p w:rsidR="00612FD3" w:rsidRPr="00E968E3" w:rsidRDefault="00612FD3" w:rsidP="00301B6D">
            <w:pPr>
              <w:pStyle w:val="TableDataColumnHeading"/>
              <w:rPr>
                <w:lang w:val="en-GB"/>
              </w:rPr>
            </w:pPr>
            <w:r w:rsidRPr="00E968E3">
              <w:rPr>
                <w:lang w:val="en-GB"/>
              </w:rPr>
              <w:t>NT</w:t>
            </w:r>
          </w:p>
        </w:tc>
        <w:tc>
          <w:tcPr>
            <w:tcW w:w="709" w:type="dxa"/>
            <w:shd w:val="clear" w:color="auto" w:fill="6F6652"/>
            <w:tcMar>
              <w:left w:w="57" w:type="dxa"/>
              <w:right w:w="57" w:type="dxa"/>
            </w:tcMar>
          </w:tcPr>
          <w:p w:rsidR="00612FD3" w:rsidRPr="00E968E3" w:rsidRDefault="00612FD3" w:rsidP="00301B6D">
            <w:pPr>
              <w:pStyle w:val="TableDataColumnHeading"/>
              <w:rPr>
                <w:lang w:val="en-GB"/>
              </w:rPr>
            </w:pPr>
            <w:r w:rsidRPr="00E968E3">
              <w:rPr>
                <w:lang w:val="en-GB"/>
              </w:rPr>
              <w:t>Total</w:t>
            </w:r>
          </w:p>
        </w:tc>
      </w:tr>
      <w:tr w:rsidR="00612FD3" w:rsidRPr="00E968E3" w:rsidTr="00301B6D">
        <w:trPr>
          <w:trHeight w:val="230"/>
          <w:tblHeader/>
        </w:trPr>
        <w:tc>
          <w:tcPr>
            <w:tcW w:w="1559" w:type="dxa"/>
            <w:tcBorders>
              <w:bottom w:val="single" w:sz="8" w:space="0" w:color="FFFFFF" w:themeColor="background1"/>
            </w:tcBorders>
            <w:shd w:val="clear" w:color="auto" w:fill="auto"/>
            <w:tcMar>
              <w:left w:w="57" w:type="dxa"/>
              <w:right w:w="57" w:type="dxa"/>
            </w:tcMar>
          </w:tcPr>
          <w:p w:rsidR="00612FD3" w:rsidRPr="00E968E3" w:rsidRDefault="00612FD3" w:rsidP="00301B6D">
            <w:pPr>
              <w:pStyle w:val="TableUnit"/>
              <w:jc w:val="left"/>
              <w:rPr>
                <w:lang w:val="en-GB"/>
              </w:rPr>
            </w:pPr>
          </w:p>
        </w:tc>
        <w:tc>
          <w:tcPr>
            <w:tcW w:w="709" w:type="dxa"/>
            <w:tcBorders>
              <w:bottom w:val="single" w:sz="8" w:space="0" w:color="FFFFFF" w:themeColor="background1"/>
            </w:tcBorders>
            <w:shd w:val="clear" w:color="auto" w:fill="auto"/>
            <w:tcMar>
              <w:left w:w="57" w:type="dxa"/>
              <w:right w:w="57" w:type="dxa"/>
            </w:tcMar>
          </w:tcPr>
          <w:p w:rsidR="00612FD3" w:rsidRPr="00E968E3" w:rsidRDefault="00612FD3" w:rsidP="00301B6D">
            <w:pPr>
              <w:pStyle w:val="TableUnit"/>
              <w:rPr>
                <w:lang w:val="en-GB"/>
              </w:rPr>
            </w:pPr>
            <w:r w:rsidRPr="00E968E3">
              <w:rPr>
                <w:lang w:val="en-GB"/>
              </w:rPr>
              <w:t>$ million</w:t>
            </w:r>
          </w:p>
        </w:tc>
        <w:tc>
          <w:tcPr>
            <w:tcW w:w="709" w:type="dxa"/>
            <w:tcBorders>
              <w:bottom w:val="single" w:sz="8" w:space="0" w:color="FFFFFF" w:themeColor="background1"/>
            </w:tcBorders>
            <w:shd w:val="clear" w:color="auto" w:fill="auto"/>
            <w:tcMar>
              <w:left w:w="57" w:type="dxa"/>
              <w:right w:w="57" w:type="dxa"/>
            </w:tcMar>
          </w:tcPr>
          <w:p w:rsidR="00612FD3" w:rsidRPr="00E968E3" w:rsidRDefault="00612FD3" w:rsidP="00301B6D">
            <w:pPr>
              <w:pStyle w:val="TableUnit"/>
              <w:rPr>
                <w:lang w:val="en-GB"/>
              </w:rPr>
            </w:pPr>
            <w:r w:rsidRPr="00E968E3">
              <w:rPr>
                <w:lang w:val="en-GB"/>
              </w:rPr>
              <w:t>$ million</w:t>
            </w:r>
          </w:p>
        </w:tc>
        <w:tc>
          <w:tcPr>
            <w:tcW w:w="709" w:type="dxa"/>
            <w:tcBorders>
              <w:bottom w:val="single" w:sz="8" w:space="0" w:color="FFFFFF" w:themeColor="background1"/>
            </w:tcBorders>
            <w:shd w:val="clear" w:color="auto" w:fill="auto"/>
            <w:tcMar>
              <w:left w:w="57" w:type="dxa"/>
              <w:right w:w="57" w:type="dxa"/>
            </w:tcMar>
          </w:tcPr>
          <w:p w:rsidR="00612FD3" w:rsidRPr="00E968E3" w:rsidRDefault="00612FD3" w:rsidP="00301B6D">
            <w:pPr>
              <w:pStyle w:val="TableUnit"/>
              <w:rPr>
                <w:lang w:val="en-GB"/>
              </w:rPr>
            </w:pPr>
            <w:r w:rsidRPr="00E968E3">
              <w:rPr>
                <w:lang w:val="en-GB"/>
              </w:rPr>
              <w:t>$ million</w:t>
            </w:r>
          </w:p>
        </w:tc>
        <w:tc>
          <w:tcPr>
            <w:tcW w:w="709" w:type="dxa"/>
            <w:tcBorders>
              <w:bottom w:val="single" w:sz="8" w:space="0" w:color="FFFFFF" w:themeColor="background1"/>
            </w:tcBorders>
            <w:shd w:val="clear" w:color="auto" w:fill="auto"/>
            <w:tcMar>
              <w:left w:w="57" w:type="dxa"/>
              <w:right w:w="57" w:type="dxa"/>
            </w:tcMar>
          </w:tcPr>
          <w:p w:rsidR="00612FD3" w:rsidRPr="00E968E3" w:rsidRDefault="00612FD3" w:rsidP="00301B6D">
            <w:pPr>
              <w:pStyle w:val="TableUnit"/>
              <w:rPr>
                <w:lang w:val="en-GB"/>
              </w:rPr>
            </w:pPr>
            <w:r w:rsidRPr="00E968E3">
              <w:rPr>
                <w:lang w:val="en-GB"/>
              </w:rPr>
              <w:t>$ million</w:t>
            </w:r>
          </w:p>
        </w:tc>
        <w:tc>
          <w:tcPr>
            <w:tcW w:w="709" w:type="dxa"/>
            <w:tcBorders>
              <w:bottom w:val="single" w:sz="8" w:space="0" w:color="FFFFFF" w:themeColor="background1"/>
            </w:tcBorders>
            <w:shd w:val="clear" w:color="auto" w:fill="auto"/>
            <w:tcMar>
              <w:left w:w="57" w:type="dxa"/>
              <w:right w:w="57" w:type="dxa"/>
            </w:tcMar>
          </w:tcPr>
          <w:p w:rsidR="00612FD3" w:rsidRPr="00E968E3" w:rsidRDefault="00612FD3" w:rsidP="00301B6D">
            <w:pPr>
              <w:pStyle w:val="TableUnit"/>
              <w:rPr>
                <w:lang w:val="en-GB"/>
              </w:rPr>
            </w:pPr>
            <w:r w:rsidRPr="00E968E3">
              <w:rPr>
                <w:lang w:val="en-GB"/>
              </w:rPr>
              <w:t>$ million</w:t>
            </w:r>
          </w:p>
        </w:tc>
        <w:tc>
          <w:tcPr>
            <w:tcW w:w="709" w:type="dxa"/>
            <w:tcBorders>
              <w:bottom w:val="single" w:sz="8" w:space="0" w:color="FFFFFF" w:themeColor="background1"/>
            </w:tcBorders>
            <w:shd w:val="clear" w:color="auto" w:fill="auto"/>
            <w:tcMar>
              <w:left w:w="57" w:type="dxa"/>
              <w:right w:w="57" w:type="dxa"/>
            </w:tcMar>
          </w:tcPr>
          <w:p w:rsidR="00612FD3" w:rsidRPr="00E968E3" w:rsidRDefault="00612FD3" w:rsidP="00301B6D">
            <w:pPr>
              <w:pStyle w:val="TableUnit"/>
              <w:rPr>
                <w:lang w:val="en-GB"/>
              </w:rPr>
            </w:pPr>
            <w:r w:rsidRPr="00E968E3">
              <w:rPr>
                <w:lang w:val="en-GB"/>
              </w:rPr>
              <w:t>$ million</w:t>
            </w:r>
          </w:p>
        </w:tc>
        <w:tc>
          <w:tcPr>
            <w:tcW w:w="709" w:type="dxa"/>
            <w:tcBorders>
              <w:bottom w:val="single" w:sz="8" w:space="0" w:color="FFFFFF" w:themeColor="background1"/>
            </w:tcBorders>
            <w:shd w:val="clear" w:color="auto" w:fill="auto"/>
            <w:tcMar>
              <w:left w:w="57" w:type="dxa"/>
              <w:right w:w="57" w:type="dxa"/>
            </w:tcMar>
          </w:tcPr>
          <w:p w:rsidR="00612FD3" w:rsidRPr="00E968E3" w:rsidRDefault="00612FD3" w:rsidP="00301B6D">
            <w:pPr>
              <w:pStyle w:val="TableUnit"/>
              <w:rPr>
                <w:lang w:val="en-GB"/>
              </w:rPr>
            </w:pPr>
            <w:r w:rsidRPr="00E968E3">
              <w:rPr>
                <w:lang w:val="en-GB"/>
              </w:rPr>
              <w:t>$ million</w:t>
            </w:r>
          </w:p>
        </w:tc>
        <w:tc>
          <w:tcPr>
            <w:tcW w:w="709" w:type="dxa"/>
            <w:tcBorders>
              <w:bottom w:val="single" w:sz="8" w:space="0" w:color="FFFFFF" w:themeColor="background1"/>
            </w:tcBorders>
            <w:shd w:val="clear" w:color="auto" w:fill="auto"/>
            <w:tcMar>
              <w:left w:w="57" w:type="dxa"/>
              <w:right w:w="57" w:type="dxa"/>
            </w:tcMar>
          </w:tcPr>
          <w:p w:rsidR="00612FD3" w:rsidRPr="00E968E3" w:rsidRDefault="00612FD3" w:rsidP="00301B6D">
            <w:pPr>
              <w:pStyle w:val="TableUnit"/>
              <w:rPr>
                <w:lang w:val="en-GB"/>
              </w:rPr>
            </w:pPr>
            <w:r w:rsidRPr="00E968E3">
              <w:rPr>
                <w:lang w:val="en-GB"/>
              </w:rPr>
              <w:t>$ million</w:t>
            </w:r>
          </w:p>
        </w:tc>
        <w:tc>
          <w:tcPr>
            <w:tcW w:w="709" w:type="dxa"/>
            <w:tcBorders>
              <w:bottom w:val="single" w:sz="8" w:space="0" w:color="FFFFFF" w:themeColor="background1"/>
            </w:tcBorders>
            <w:shd w:val="clear" w:color="auto" w:fill="auto"/>
            <w:tcMar>
              <w:left w:w="57" w:type="dxa"/>
              <w:right w:w="57" w:type="dxa"/>
            </w:tcMar>
          </w:tcPr>
          <w:p w:rsidR="00612FD3" w:rsidRPr="00E968E3" w:rsidRDefault="00612FD3" w:rsidP="00301B6D">
            <w:pPr>
              <w:pStyle w:val="TableUnit"/>
              <w:rPr>
                <w:lang w:val="en-GB"/>
              </w:rPr>
            </w:pPr>
            <w:r w:rsidRPr="00E968E3">
              <w:rPr>
                <w:lang w:val="en-GB"/>
              </w:rPr>
              <w:t>$ million</w:t>
            </w:r>
          </w:p>
        </w:tc>
      </w:tr>
      <w:tr w:rsidR="00612FD3" w:rsidRPr="00E968E3" w:rsidTr="00301B6D">
        <w:trPr>
          <w:trHeight w:val="230"/>
        </w:trPr>
        <w:tc>
          <w:tcPr>
            <w:tcW w:w="155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Pr="00E968E3" w:rsidRDefault="00612FD3" w:rsidP="00301B6D">
            <w:pPr>
              <w:pStyle w:val="TableHeading1"/>
              <w:spacing w:before="80"/>
              <w:rPr>
                <w:lang w:val="en-GB"/>
              </w:rPr>
            </w:pPr>
            <w:r w:rsidRPr="00E968E3">
              <w:rPr>
                <w:lang w:val="en-GB"/>
              </w:rPr>
              <w:t>Low realisation scenario</w:t>
            </w:r>
          </w:p>
        </w:tc>
        <w:tc>
          <w:tcPr>
            <w:tcW w:w="70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612FD3" w:rsidRPr="00E968E3" w:rsidRDefault="00612FD3" w:rsidP="00301B6D">
            <w:pPr>
              <w:pStyle w:val="TableHeading1"/>
              <w:spacing w:before="80"/>
            </w:pPr>
          </w:p>
        </w:tc>
        <w:tc>
          <w:tcPr>
            <w:tcW w:w="70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612FD3" w:rsidRPr="00E968E3" w:rsidRDefault="00612FD3" w:rsidP="00301B6D">
            <w:pPr>
              <w:pStyle w:val="TableHeading1"/>
              <w:spacing w:before="80"/>
            </w:pPr>
          </w:p>
        </w:tc>
        <w:tc>
          <w:tcPr>
            <w:tcW w:w="70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612FD3" w:rsidRPr="00E968E3" w:rsidRDefault="00612FD3" w:rsidP="00301B6D">
            <w:pPr>
              <w:pStyle w:val="TableHeading1"/>
              <w:spacing w:before="80"/>
            </w:pPr>
          </w:p>
        </w:tc>
        <w:tc>
          <w:tcPr>
            <w:tcW w:w="70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612FD3" w:rsidRPr="00E968E3" w:rsidRDefault="00612FD3" w:rsidP="00301B6D">
            <w:pPr>
              <w:pStyle w:val="TableHeading1"/>
              <w:spacing w:before="80"/>
            </w:pPr>
          </w:p>
        </w:tc>
        <w:tc>
          <w:tcPr>
            <w:tcW w:w="70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612FD3" w:rsidRPr="00E968E3" w:rsidRDefault="00612FD3" w:rsidP="00301B6D">
            <w:pPr>
              <w:pStyle w:val="TableHeading1"/>
              <w:spacing w:before="80"/>
            </w:pPr>
          </w:p>
        </w:tc>
        <w:tc>
          <w:tcPr>
            <w:tcW w:w="70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612FD3" w:rsidRPr="00E968E3" w:rsidRDefault="00612FD3" w:rsidP="00301B6D">
            <w:pPr>
              <w:pStyle w:val="TableHeading1"/>
              <w:spacing w:before="80"/>
            </w:pPr>
          </w:p>
        </w:tc>
        <w:tc>
          <w:tcPr>
            <w:tcW w:w="70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612FD3" w:rsidRPr="00E968E3" w:rsidRDefault="00612FD3" w:rsidP="00301B6D">
            <w:pPr>
              <w:pStyle w:val="TableHeading1"/>
              <w:spacing w:before="80"/>
            </w:pPr>
          </w:p>
        </w:tc>
        <w:tc>
          <w:tcPr>
            <w:tcW w:w="70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612FD3" w:rsidRPr="00E968E3" w:rsidRDefault="00612FD3" w:rsidP="00301B6D">
            <w:pPr>
              <w:pStyle w:val="TableHeading1"/>
              <w:spacing w:before="80"/>
            </w:pPr>
          </w:p>
        </w:tc>
        <w:tc>
          <w:tcPr>
            <w:tcW w:w="70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612FD3" w:rsidRPr="00E968E3" w:rsidRDefault="00612FD3" w:rsidP="00301B6D">
            <w:pPr>
              <w:pStyle w:val="TableHeading1"/>
              <w:spacing w:before="80"/>
            </w:pPr>
          </w:p>
        </w:tc>
      </w:tr>
      <w:tr w:rsidR="009E0D4E" w:rsidRPr="00E968E3" w:rsidTr="00301B6D">
        <w:trPr>
          <w:trHeight w:val="230"/>
        </w:trPr>
        <w:tc>
          <w:tcPr>
            <w:tcW w:w="155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9E0D4E" w:rsidRPr="00E968E3" w:rsidRDefault="009E0D4E" w:rsidP="009E0D4E">
            <w:pPr>
              <w:pStyle w:val="TableDataEntries"/>
              <w:jc w:val="left"/>
              <w:rPr>
                <w:lang w:val="en-GB"/>
              </w:rPr>
            </w:pPr>
            <w:r w:rsidRPr="00E968E3">
              <w:rPr>
                <w:lang w:val="en-GB"/>
              </w:rPr>
              <w:t>Low SCC</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208.2</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209.2</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277.4</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44.6</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117.3</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2.9</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8.6</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22.9</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891.1</w:t>
            </w:r>
          </w:p>
        </w:tc>
      </w:tr>
      <w:tr w:rsidR="009E0D4E" w:rsidRPr="00E968E3" w:rsidTr="00301B6D">
        <w:trPr>
          <w:trHeight w:val="230"/>
        </w:trPr>
        <w:tc>
          <w:tcPr>
            <w:tcW w:w="155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9E0D4E" w:rsidRPr="00E968E3" w:rsidRDefault="009E0D4E" w:rsidP="009E0D4E">
            <w:pPr>
              <w:pStyle w:val="TableDataEntries"/>
              <w:jc w:val="left"/>
              <w:rPr>
                <w:lang w:val="en-GB"/>
              </w:rPr>
            </w:pPr>
            <w:r w:rsidRPr="00E968E3">
              <w:rPr>
                <w:lang w:val="en-GB"/>
              </w:rPr>
              <w:t>High SCC</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273.7</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277.4</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344.4</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54.1</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145.4</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4.0</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12.6</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26.7</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1 138.3</w:t>
            </w:r>
          </w:p>
        </w:tc>
      </w:tr>
      <w:tr w:rsidR="009E0D4E" w:rsidRPr="00E968E3" w:rsidTr="00301B6D">
        <w:trPr>
          <w:trHeight w:val="230"/>
        </w:trPr>
        <w:tc>
          <w:tcPr>
            <w:tcW w:w="155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9E0D4E" w:rsidRPr="00E968E3" w:rsidRDefault="009E0D4E" w:rsidP="009E0D4E">
            <w:pPr>
              <w:pStyle w:val="TableDataEntries"/>
              <w:jc w:val="left"/>
              <w:rPr>
                <w:lang w:val="en-GB"/>
              </w:rPr>
            </w:pPr>
            <w:r w:rsidRPr="00E968E3">
              <w:rPr>
                <w:lang w:val="en-GB"/>
              </w:rPr>
              <w:t>High impact</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472.2</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484.1</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547.3</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83.1</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230.6</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7.3</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24.9</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38.2</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1 887.7</w:t>
            </w:r>
          </w:p>
        </w:tc>
      </w:tr>
      <w:tr w:rsidR="00612FD3" w:rsidRPr="00E968E3" w:rsidTr="00301B6D">
        <w:trPr>
          <w:trHeight w:val="230"/>
        </w:trPr>
        <w:tc>
          <w:tcPr>
            <w:tcW w:w="155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Pr="00E968E3" w:rsidRDefault="00612FD3" w:rsidP="00301B6D">
            <w:pPr>
              <w:pStyle w:val="TableHeading1"/>
              <w:spacing w:before="80"/>
              <w:rPr>
                <w:lang w:val="en-GB"/>
              </w:rPr>
            </w:pPr>
            <w:r w:rsidRPr="00E968E3">
              <w:rPr>
                <w:lang w:val="en-GB"/>
              </w:rPr>
              <w:t>Medium realisation scenario</w:t>
            </w:r>
          </w:p>
        </w:tc>
        <w:tc>
          <w:tcPr>
            <w:tcW w:w="70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612FD3" w:rsidRPr="004209F6" w:rsidRDefault="00612FD3" w:rsidP="004209F6">
            <w:pPr>
              <w:pStyle w:val="TableDataEntries"/>
            </w:pPr>
          </w:p>
        </w:tc>
        <w:tc>
          <w:tcPr>
            <w:tcW w:w="70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612FD3" w:rsidRPr="004209F6" w:rsidRDefault="00612FD3" w:rsidP="004209F6">
            <w:pPr>
              <w:pStyle w:val="TableDataEntries"/>
            </w:pPr>
          </w:p>
        </w:tc>
        <w:tc>
          <w:tcPr>
            <w:tcW w:w="70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612FD3" w:rsidRPr="004209F6" w:rsidRDefault="00612FD3" w:rsidP="004209F6">
            <w:pPr>
              <w:pStyle w:val="TableDataEntries"/>
            </w:pPr>
          </w:p>
        </w:tc>
        <w:tc>
          <w:tcPr>
            <w:tcW w:w="70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612FD3" w:rsidRPr="004209F6" w:rsidRDefault="00612FD3" w:rsidP="004209F6">
            <w:pPr>
              <w:pStyle w:val="TableDataEntries"/>
            </w:pPr>
          </w:p>
        </w:tc>
        <w:tc>
          <w:tcPr>
            <w:tcW w:w="70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612FD3" w:rsidRPr="004209F6" w:rsidRDefault="00612FD3" w:rsidP="004209F6">
            <w:pPr>
              <w:pStyle w:val="TableDataEntries"/>
            </w:pPr>
          </w:p>
        </w:tc>
        <w:tc>
          <w:tcPr>
            <w:tcW w:w="70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612FD3" w:rsidRPr="004209F6" w:rsidRDefault="00612FD3" w:rsidP="004209F6">
            <w:pPr>
              <w:pStyle w:val="TableDataEntries"/>
            </w:pPr>
          </w:p>
        </w:tc>
        <w:tc>
          <w:tcPr>
            <w:tcW w:w="70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612FD3" w:rsidRPr="004209F6" w:rsidRDefault="00612FD3" w:rsidP="004209F6">
            <w:pPr>
              <w:pStyle w:val="TableDataEntries"/>
            </w:pPr>
          </w:p>
        </w:tc>
        <w:tc>
          <w:tcPr>
            <w:tcW w:w="70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612FD3" w:rsidRPr="004209F6" w:rsidRDefault="00612FD3" w:rsidP="004209F6">
            <w:pPr>
              <w:pStyle w:val="TableDataEntries"/>
            </w:pPr>
          </w:p>
        </w:tc>
        <w:tc>
          <w:tcPr>
            <w:tcW w:w="70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612FD3" w:rsidRPr="004209F6" w:rsidRDefault="00612FD3" w:rsidP="004209F6">
            <w:pPr>
              <w:pStyle w:val="TableDataEntries"/>
            </w:pPr>
          </w:p>
        </w:tc>
      </w:tr>
      <w:tr w:rsidR="009E0D4E" w:rsidRPr="00E968E3" w:rsidTr="00301B6D">
        <w:trPr>
          <w:trHeight w:val="230"/>
        </w:trPr>
        <w:tc>
          <w:tcPr>
            <w:tcW w:w="155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9E0D4E" w:rsidRPr="00E968E3" w:rsidRDefault="009E0D4E" w:rsidP="009E0D4E">
            <w:pPr>
              <w:pStyle w:val="TableDataEntries"/>
              <w:jc w:val="left"/>
              <w:rPr>
                <w:lang w:val="en-GB"/>
              </w:rPr>
            </w:pPr>
            <w:r w:rsidRPr="00E968E3">
              <w:rPr>
                <w:lang w:val="en-GB"/>
              </w:rPr>
              <w:t>Low SCC</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400.7</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376.6</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463.9</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85.7</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217.5</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9.2</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18.3</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35.5</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1 607.4</w:t>
            </w:r>
          </w:p>
        </w:tc>
      </w:tr>
      <w:tr w:rsidR="009E0D4E" w:rsidRPr="00E968E3" w:rsidTr="00301B6D">
        <w:trPr>
          <w:trHeight w:val="230"/>
        </w:trPr>
        <w:tc>
          <w:tcPr>
            <w:tcW w:w="155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9E0D4E" w:rsidRPr="00E968E3" w:rsidRDefault="009E0D4E" w:rsidP="009E0D4E">
            <w:pPr>
              <w:pStyle w:val="TableDataEntries"/>
              <w:jc w:val="left"/>
              <w:rPr>
                <w:lang w:val="en-GB"/>
              </w:rPr>
            </w:pPr>
            <w:r w:rsidRPr="00E968E3">
              <w:rPr>
                <w:lang w:val="en-GB"/>
              </w:rPr>
              <w:t>High SCC</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562.7</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545.3</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629.6</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109.3</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286.9</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11.8</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28.3</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45.0</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2 219.0</w:t>
            </w:r>
          </w:p>
        </w:tc>
      </w:tr>
      <w:tr w:rsidR="009E0D4E" w:rsidRPr="00E968E3" w:rsidTr="00301B6D">
        <w:trPr>
          <w:trHeight w:val="230"/>
        </w:trPr>
        <w:tc>
          <w:tcPr>
            <w:tcW w:w="155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9E0D4E" w:rsidRPr="00E968E3" w:rsidRDefault="009E0D4E" w:rsidP="009E0D4E">
            <w:pPr>
              <w:pStyle w:val="TableDataEntries"/>
              <w:jc w:val="left"/>
              <w:rPr>
                <w:lang w:val="en-GB"/>
              </w:rPr>
            </w:pPr>
            <w:r w:rsidRPr="00E968E3">
              <w:rPr>
                <w:lang w:val="en-GB"/>
              </w:rPr>
              <w:t>High impact</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796.7</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789.0</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868.7</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143.5</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387.4</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15.7</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42.8</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58.6</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3 102.3</w:t>
            </w:r>
          </w:p>
        </w:tc>
      </w:tr>
      <w:tr w:rsidR="00612FD3" w:rsidRPr="00E968E3" w:rsidTr="00301B6D">
        <w:trPr>
          <w:trHeight w:val="230"/>
        </w:trPr>
        <w:tc>
          <w:tcPr>
            <w:tcW w:w="155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Pr="00E968E3" w:rsidRDefault="00612FD3" w:rsidP="00301B6D">
            <w:pPr>
              <w:pStyle w:val="TableHeading1"/>
              <w:spacing w:before="80"/>
              <w:rPr>
                <w:lang w:val="en-GB"/>
              </w:rPr>
            </w:pPr>
            <w:r w:rsidRPr="00E968E3">
              <w:rPr>
                <w:lang w:val="en-GB"/>
              </w:rPr>
              <w:t>High realisation scenario</w:t>
            </w:r>
          </w:p>
        </w:tc>
        <w:tc>
          <w:tcPr>
            <w:tcW w:w="70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612FD3" w:rsidRPr="00513E5F" w:rsidRDefault="00612FD3" w:rsidP="00513E5F">
            <w:pPr>
              <w:pStyle w:val="TableDataEntries"/>
            </w:pPr>
          </w:p>
        </w:tc>
        <w:tc>
          <w:tcPr>
            <w:tcW w:w="70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612FD3" w:rsidRPr="00513E5F" w:rsidRDefault="00612FD3" w:rsidP="00513E5F">
            <w:pPr>
              <w:pStyle w:val="TableDataEntries"/>
            </w:pPr>
          </w:p>
        </w:tc>
        <w:tc>
          <w:tcPr>
            <w:tcW w:w="70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612FD3" w:rsidRPr="00513E5F" w:rsidRDefault="00612FD3" w:rsidP="00513E5F">
            <w:pPr>
              <w:pStyle w:val="TableDataEntries"/>
            </w:pPr>
          </w:p>
        </w:tc>
        <w:tc>
          <w:tcPr>
            <w:tcW w:w="70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612FD3" w:rsidRPr="00513E5F" w:rsidRDefault="00612FD3" w:rsidP="00513E5F">
            <w:pPr>
              <w:pStyle w:val="TableDataEntries"/>
            </w:pPr>
          </w:p>
        </w:tc>
        <w:tc>
          <w:tcPr>
            <w:tcW w:w="70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612FD3" w:rsidRPr="00513E5F" w:rsidRDefault="00612FD3" w:rsidP="00513E5F">
            <w:pPr>
              <w:pStyle w:val="TableDataEntries"/>
            </w:pPr>
          </w:p>
        </w:tc>
        <w:tc>
          <w:tcPr>
            <w:tcW w:w="70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612FD3" w:rsidRPr="00513E5F" w:rsidRDefault="00612FD3" w:rsidP="00513E5F">
            <w:pPr>
              <w:pStyle w:val="TableDataEntries"/>
            </w:pPr>
          </w:p>
        </w:tc>
        <w:tc>
          <w:tcPr>
            <w:tcW w:w="70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612FD3" w:rsidRPr="00513E5F" w:rsidRDefault="00612FD3" w:rsidP="00513E5F">
            <w:pPr>
              <w:pStyle w:val="TableDataEntries"/>
            </w:pPr>
          </w:p>
        </w:tc>
        <w:tc>
          <w:tcPr>
            <w:tcW w:w="70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612FD3" w:rsidRPr="00513E5F" w:rsidRDefault="00612FD3" w:rsidP="00513E5F">
            <w:pPr>
              <w:pStyle w:val="TableDataEntries"/>
            </w:pPr>
          </w:p>
        </w:tc>
        <w:tc>
          <w:tcPr>
            <w:tcW w:w="70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612FD3" w:rsidRPr="00513E5F" w:rsidRDefault="00612FD3" w:rsidP="00513E5F">
            <w:pPr>
              <w:pStyle w:val="TableDataEntries"/>
            </w:pPr>
          </w:p>
        </w:tc>
      </w:tr>
      <w:tr w:rsidR="009E0D4E" w:rsidRPr="00E968E3" w:rsidTr="00301B6D">
        <w:trPr>
          <w:trHeight w:val="230"/>
        </w:trPr>
        <w:tc>
          <w:tcPr>
            <w:tcW w:w="155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9E0D4E" w:rsidRPr="00E968E3" w:rsidRDefault="009E0D4E" w:rsidP="009E0D4E">
            <w:pPr>
              <w:pStyle w:val="TableDataEntries"/>
              <w:jc w:val="left"/>
              <w:rPr>
                <w:lang w:val="en-GB"/>
              </w:rPr>
            </w:pPr>
            <w:r w:rsidRPr="00E968E3">
              <w:rPr>
                <w:lang w:val="en-GB"/>
              </w:rPr>
              <w:t>Low SCC</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593.2</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543.9</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650.3</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126.9</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317.6</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15.5</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28.0</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48.2</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2 323.6</w:t>
            </w:r>
          </w:p>
        </w:tc>
      </w:tr>
      <w:tr w:rsidR="009E0D4E" w:rsidRPr="00E968E3" w:rsidTr="00301B6D">
        <w:trPr>
          <w:trHeight w:val="230"/>
        </w:trPr>
        <w:tc>
          <w:tcPr>
            <w:tcW w:w="155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9E0D4E" w:rsidRPr="00E968E3" w:rsidRDefault="009E0D4E" w:rsidP="009E0D4E">
            <w:pPr>
              <w:pStyle w:val="TableDataEntries"/>
              <w:jc w:val="left"/>
              <w:rPr>
                <w:lang w:val="en-GB"/>
              </w:rPr>
            </w:pPr>
            <w:r w:rsidRPr="00E968E3">
              <w:rPr>
                <w:lang w:val="en-GB"/>
              </w:rPr>
              <w:t>High SCC</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809.2</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768.9</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871.2</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158.4</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410.2</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19.0</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41.3</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60.8</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3 139.1</w:t>
            </w:r>
          </w:p>
        </w:tc>
      </w:tr>
      <w:tr w:rsidR="009E0D4E" w:rsidRPr="00E968E3" w:rsidTr="00301B6D">
        <w:trPr>
          <w:trHeight w:val="230"/>
        </w:trPr>
        <w:tc>
          <w:tcPr>
            <w:tcW w:w="1559" w:type="dxa"/>
            <w:tcBorders>
              <w:top w:val="single" w:sz="8" w:space="0" w:color="FFFFFF" w:themeColor="background1"/>
              <w:bottom w:val="single" w:sz="6" w:space="0" w:color="6F6652"/>
            </w:tcBorders>
            <w:shd w:val="clear" w:color="auto" w:fill="E9E8E5" w:themeFill="background2"/>
            <w:tcMar>
              <w:left w:w="57" w:type="dxa"/>
              <w:right w:w="57" w:type="dxa"/>
            </w:tcMar>
          </w:tcPr>
          <w:p w:rsidR="009E0D4E" w:rsidRPr="00E968E3" w:rsidRDefault="009E0D4E" w:rsidP="009E0D4E">
            <w:pPr>
              <w:pStyle w:val="TableDataEntries"/>
              <w:jc w:val="left"/>
              <w:rPr>
                <w:lang w:val="en-GB"/>
              </w:rPr>
            </w:pPr>
            <w:r w:rsidRPr="00E968E3">
              <w:rPr>
                <w:lang w:val="en-GB"/>
              </w:rPr>
              <w:t>High impact</w:t>
            </w:r>
          </w:p>
        </w:tc>
        <w:tc>
          <w:tcPr>
            <w:tcW w:w="709"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1 121.2</w:t>
            </w:r>
          </w:p>
        </w:tc>
        <w:tc>
          <w:tcPr>
            <w:tcW w:w="709"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1 093.8</w:t>
            </w:r>
          </w:p>
        </w:tc>
        <w:tc>
          <w:tcPr>
            <w:tcW w:w="709"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1 190.1</w:t>
            </w:r>
          </w:p>
        </w:tc>
        <w:tc>
          <w:tcPr>
            <w:tcW w:w="709"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203.8</w:t>
            </w:r>
          </w:p>
        </w:tc>
        <w:tc>
          <w:tcPr>
            <w:tcW w:w="709"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544.2</w:t>
            </w:r>
          </w:p>
        </w:tc>
        <w:tc>
          <w:tcPr>
            <w:tcW w:w="709"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24.2</w:t>
            </w:r>
          </w:p>
        </w:tc>
        <w:tc>
          <w:tcPr>
            <w:tcW w:w="709"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60.6</w:t>
            </w:r>
          </w:p>
        </w:tc>
        <w:tc>
          <w:tcPr>
            <w:tcW w:w="709"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79.0</w:t>
            </w:r>
          </w:p>
        </w:tc>
        <w:tc>
          <w:tcPr>
            <w:tcW w:w="709"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4 316.9</w:t>
            </w:r>
          </w:p>
        </w:tc>
      </w:tr>
    </w:tbl>
    <w:p w:rsidR="00612FD3" w:rsidRPr="00E968E3" w:rsidRDefault="00612FD3" w:rsidP="00612FD3">
      <w:pPr>
        <w:pStyle w:val="Note"/>
      </w:pPr>
      <w:r w:rsidRPr="00E968E3">
        <w:rPr>
          <w:i/>
        </w:rPr>
        <w:t>Note:</w:t>
      </w:r>
      <w:r w:rsidRPr="00E968E3">
        <w:t xml:space="preserve"> </w:t>
      </w:r>
      <w:r w:rsidR="00CA6CF4">
        <w:rPr>
          <w:lang w:bidi="fa-IR"/>
        </w:rPr>
        <w:t xml:space="preserve">Net impacts include the private benefits and costs to building owners/tenants and the global benefits from reduced GHG emissions. </w:t>
      </w:r>
      <w:r w:rsidRPr="00E968E3">
        <w:t>Costs and benefits estimated over the 40 year life of commercial building construction over a ten year regulatory period, using a discount rate of 7 per cent.</w:t>
      </w:r>
    </w:p>
    <w:p w:rsidR="00612FD3" w:rsidRPr="00E968E3" w:rsidRDefault="00612FD3" w:rsidP="00612FD3">
      <w:pPr>
        <w:pStyle w:val="Source"/>
      </w:pPr>
      <w:r w:rsidRPr="00E968E3">
        <w:rPr>
          <w:i/>
        </w:rPr>
        <w:t>Source:</w:t>
      </w:r>
      <w:r w:rsidRPr="00E968E3">
        <w:t xml:space="preserve"> CIE estimates based on </w:t>
      </w:r>
      <w:r w:rsidR="003F28DD">
        <w:t>EA</w:t>
      </w:r>
      <w:r w:rsidRPr="00E968E3">
        <w:t xml:space="preserve"> modelling.</w:t>
      </w:r>
    </w:p>
    <w:p w:rsidR="00612FD3" w:rsidRPr="00E968E3" w:rsidRDefault="00612FD3" w:rsidP="00612FD3">
      <w:pPr>
        <w:pStyle w:val="Heading3"/>
        <w:numPr>
          <w:ilvl w:val="2"/>
          <w:numId w:val="5"/>
        </w:numPr>
      </w:pPr>
      <w:r w:rsidRPr="00E968E3">
        <w:t>Discount rates</w:t>
      </w:r>
    </w:p>
    <w:p w:rsidR="00612FD3" w:rsidRPr="00E968E3" w:rsidRDefault="00612FD3" w:rsidP="00612FD3">
      <w:pPr>
        <w:pStyle w:val="BodyText"/>
      </w:pPr>
      <w:r w:rsidRPr="00E968E3">
        <w:t>As required by OBPR guidelines, we estimate the net benefits of the proposed changes to the NCC under alternative discount rates of 3 per cent and 10 per cent (table </w:t>
      </w:r>
      <w:r w:rsidRPr="00E968E3">
        <w:rPr>
          <w:noProof/>
        </w:rPr>
        <w:fldChar w:fldCharType="begin"/>
      </w:r>
      <w:r w:rsidRPr="00E968E3">
        <w:rPr>
          <w:noProof/>
        </w:rPr>
        <w:instrText xml:space="preserve"> REF _Caption3126  \* MERGEFORMAT </w:instrText>
      </w:r>
      <w:r w:rsidRPr="00E968E3">
        <w:rPr>
          <w:noProof/>
        </w:rPr>
        <w:fldChar w:fldCharType="separate"/>
      </w:r>
      <w:r w:rsidR="006B79B8">
        <w:rPr>
          <w:noProof/>
        </w:rPr>
        <w:t>8</w:t>
      </w:r>
      <w:r w:rsidR="006B79B8" w:rsidRPr="00513E5F">
        <w:rPr>
          <w:noProof/>
        </w:rPr>
        <w:t>.</w:t>
      </w:r>
      <w:r w:rsidR="006B79B8">
        <w:rPr>
          <w:noProof/>
        </w:rPr>
        <w:t>24</w:t>
      </w:r>
      <w:r w:rsidRPr="00E968E3">
        <w:rPr>
          <w:noProof/>
        </w:rPr>
        <w:fldChar w:fldCharType="end"/>
      </w:r>
      <w:r w:rsidRPr="00E968E3">
        <w:t>).</w:t>
      </w:r>
    </w:p>
    <w:p w:rsidR="00612FD3" w:rsidRPr="00E968E3" w:rsidRDefault="00612FD3" w:rsidP="00612FD3">
      <w:pPr>
        <w:pStyle w:val="BodyText"/>
      </w:pPr>
      <w:r w:rsidRPr="00E968E3">
        <w:t>The CBA results are relatively sensitive to the chosen discount rate, due to the long stream of future benefits (assumed to be 40 years for building construction and 25 years for services).</w:t>
      </w:r>
    </w:p>
    <w:p w:rsidR="00612FD3" w:rsidRPr="00E968E3" w:rsidRDefault="00612FD3" w:rsidP="00612FD3">
      <w:pPr>
        <w:pStyle w:val="ListBullet"/>
        <w:numPr>
          <w:ilvl w:val="0"/>
          <w:numId w:val="36"/>
        </w:numPr>
      </w:pPr>
      <w:r w:rsidRPr="00E968E3">
        <w:t>Lower discount rates produce higher net benefit estimates, as the benefits of future energy savings and GHG emissions are discounted to a lesser extent.</w:t>
      </w:r>
    </w:p>
    <w:p w:rsidR="00612FD3" w:rsidRPr="00E968E3" w:rsidRDefault="00612FD3" w:rsidP="00612FD3">
      <w:pPr>
        <w:pStyle w:val="ListBullet"/>
        <w:numPr>
          <w:ilvl w:val="0"/>
          <w:numId w:val="36"/>
        </w:numPr>
      </w:pPr>
      <w:r w:rsidRPr="00E968E3">
        <w:t>On the other hand, higher discount rates produce lower net benefit estimates, as the benefits of future bill savings and GHG emissions are discounted more heavily.</w:t>
      </w:r>
    </w:p>
    <w:p w:rsidR="00612FD3" w:rsidRPr="00E968E3" w:rsidRDefault="00612FD3" w:rsidP="00612FD3">
      <w:pPr>
        <w:pStyle w:val="BodyText"/>
      </w:pPr>
      <w:r w:rsidRPr="00E968E3">
        <w:t xml:space="preserve">The proposed changes are estimated to deliver a net benefit </w:t>
      </w:r>
      <w:r w:rsidR="0036025E">
        <w:t xml:space="preserve">(and a net benefit to all states and territories) </w:t>
      </w:r>
      <w:r w:rsidRPr="00E968E3">
        <w:t xml:space="preserve">under all </w:t>
      </w:r>
      <w:r w:rsidR="00513E5F">
        <w:t xml:space="preserve">discount rates (although the benefits are </w:t>
      </w:r>
      <w:r w:rsidR="00FE583D">
        <w:t>close</w:t>
      </w:r>
      <w:r w:rsidR="00513E5F">
        <w:t xml:space="preserve"> to costs for Tasmania under the low scenario when a 10 per cent discount rate is used)</w:t>
      </w:r>
      <w:r w:rsidR="00513E5F" w:rsidRPr="00E968E3">
        <w:t xml:space="preserve"> </w:t>
      </w:r>
      <w:r w:rsidRPr="00E968E3">
        <w:t>(table </w:t>
      </w:r>
      <w:r w:rsidRPr="00E968E3">
        <w:rPr>
          <w:noProof/>
        </w:rPr>
        <w:fldChar w:fldCharType="begin"/>
      </w:r>
      <w:r w:rsidRPr="00E968E3">
        <w:rPr>
          <w:noProof/>
        </w:rPr>
        <w:instrText xml:space="preserve"> REF _Caption3126  \* MERGEFORMAT </w:instrText>
      </w:r>
      <w:r w:rsidRPr="00E968E3">
        <w:rPr>
          <w:noProof/>
        </w:rPr>
        <w:fldChar w:fldCharType="separate"/>
      </w:r>
      <w:r w:rsidR="006B79B8">
        <w:rPr>
          <w:noProof/>
        </w:rPr>
        <w:t>8</w:t>
      </w:r>
      <w:r w:rsidR="006B79B8" w:rsidRPr="00513E5F">
        <w:rPr>
          <w:noProof/>
        </w:rPr>
        <w:t>.</w:t>
      </w:r>
      <w:r w:rsidR="006B79B8">
        <w:rPr>
          <w:noProof/>
        </w:rPr>
        <w:t>24</w:t>
      </w:r>
      <w:r w:rsidRPr="00E968E3">
        <w:rPr>
          <w:noProof/>
        </w:rPr>
        <w:fldChar w:fldCharType="end"/>
      </w:r>
      <w:r w:rsidRPr="00E968E3">
        <w:t>).</w:t>
      </w:r>
    </w:p>
    <w:p w:rsidR="00612FD3" w:rsidRPr="00E968E3" w:rsidRDefault="00612FD3" w:rsidP="00612FD3">
      <w:pPr>
        <w:pStyle w:val="Caption"/>
      </w:pPr>
      <w:r w:rsidRPr="00513E5F">
        <w:fldChar w:fldCharType="begin"/>
      </w:r>
      <w:r w:rsidRPr="00513E5F">
        <w:instrText xml:space="preserve"> IF 1 = 1 "</w:instrText>
      </w:r>
      <w:r w:rsidRPr="00513E5F">
        <w:fldChar w:fldCharType="begin"/>
      </w:r>
      <w:r w:rsidRPr="00513E5F">
        <w:instrText xml:space="preserve"> IF </w:instrText>
      </w:r>
      <w:r w:rsidRPr="00513E5F">
        <w:rPr>
          <w:noProof/>
        </w:rPr>
        <w:fldChar w:fldCharType="begin"/>
      </w:r>
      <w:r w:rsidRPr="00513E5F">
        <w:rPr>
          <w:noProof/>
        </w:rPr>
        <w:instrText xml:space="preserve"> STYLEREF "Heading 6" \l \n </w:instrText>
      </w:r>
      <w:r w:rsidRPr="00513E5F">
        <w:rPr>
          <w:noProof/>
        </w:rPr>
        <w:fldChar w:fldCharType="separate"/>
      </w:r>
      <w:r w:rsidR="00B833F1">
        <w:rPr>
          <w:noProof/>
        </w:rPr>
        <w:instrText>0</w:instrText>
      </w:r>
      <w:r w:rsidRPr="00513E5F">
        <w:rPr>
          <w:noProof/>
        </w:rPr>
        <w:fldChar w:fldCharType="end"/>
      </w:r>
      <w:r w:rsidRPr="00513E5F">
        <w:instrText xml:space="preserve"> = 0 "</w:instrText>
      </w:r>
      <w:r w:rsidRPr="00513E5F">
        <w:fldChar w:fldCharType="begin"/>
      </w:r>
      <w:r w:rsidRPr="00513E5F">
        <w:instrText xml:space="preserve"> IF </w:instrText>
      </w:r>
      <w:r w:rsidRPr="00513E5F">
        <w:rPr>
          <w:noProof/>
        </w:rPr>
        <w:fldChar w:fldCharType="begin"/>
      </w:r>
      <w:r w:rsidRPr="00513E5F">
        <w:rPr>
          <w:noProof/>
        </w:rPr>
        <w:instrText xml:space="preserve"> STYLEREF "Heading 1" \l \n </w:instrText>
      </w:r>
      <w:r w:rsidRPr="00513E5F">
        <w:rPr>
          <w:noProof/>
        </w:rPr>
        <w:fldChar w:fldCharType="separate"/>
      </w:r>
      <w:r w:rsidR="00B833F1">
        <w:rPr>
          <w:noProof/>
        </w:rPr>
        <w:instrText>8</w:instrText>
      </w:r>
      <w:r w:rsidRPr="00513E5F">
        <w:rPr>
          <w:noProof/>
        </w:rPr>
        <w:fldChar w:fldCharType="end"/>
      </w:r>
      <w:r w:rsidRPr="00513E5F">
        <w:instrText xml:space="preserve"> = 0 "" "</w:instrText>
      </w:r>
      <w:r w:rsidRPr="00513E5F">
        <w:rPr>
          <w:noProof/>
        </w:rPr>
        <w:fldChar w:fldCharType="begin"/>
      </w:r>
      <w:r w:rsidRPr="00513E5F">
        <w:rPr>
          <w:noProof/>
        </w:rPr>
        <w:instrText xml:space="preserve"> STYLEREF "Heading 1" \l \n </w:instrText>
      </w:r>
      <w:r w:rsidRPr="00513E5F">
        <w:rPr>
          <w:noProof/>
        </w:rPr>
        <w:fldChar w:fldCharType="separate"/>
      </w:r>
      <w:r w:rsidR="00B833F1">
        <w:rPr>
          <w:noProof/>
        </w:rPr>
        <w:instrText>8</w:instrText>
      </w:r>
      <w:r w:rsidRPr="00513E5F">
        <w:rPr>
          <w:noProof/>
        </w:rPr>
        <w:fldChar w:fldCharType="end"/>
      </w:r>
      <w:r w:rsidRPr="00513E5F">
        <w:instrText xml:space="preserve">." </w:instrText>
      </w:r>
      <w:r w:rsidRPr="00513E5F">
        <w:fldChar w:fldCharType="separate"/>
      </w:r>
      <w:r w:rsidR="00B833F1">
        <w:rPr>
          <w:noProof/>
        </w:rPr>
        <w:instrText>8</w:instrText>
      </w:r>
      <w:r w:rsidR="00B833F1" w:rsidRPr="00513E5F">
        <w:rPr>
          <w:noProof/>
        </w:rPr>
        <w:instrText>.</w:instrText>
      </w:r>
      <w:r w:rsidRPr="00513E5F">
        <w:fldChar w:fldCharType="end"/>
      </w:r>
      <w:r w:rsidRPr="00513E5F">
        <w:instrText>" "</w:instrText>
      </w:r>
      <w:r w:rsidR="001F6F43">
        <w:fldChar w:fldCharType="begin"/>
      </w:r>
      <w:r w:rsidR="001F6F43">
        <w:instrText xml:space="preserve"> STYLEREF "Heading 6" \l \n </w:instrText>
      </w:r>
      <w:r w:rsidR="001F6F43">
        <w:fldChar w:fldCharType="separate"/>
      </w:r>
      <w:r w:rsidRPr="00513E5F">
        <w:instrText>B</w:instrText>
      </w:r>
      <w:r w:rsidR="001F6F43">
        <w:fldChar w:fldCharType="end"/>
      </w:r>
      <w:r w:rsidRPr="00513E5F">
        <w:instrText xml:space="preserve">." </w:instrText>
      </w:r>
      <w:r w:rsidRPr="00513E5F">
        <w:fldChar w:fldCharType="separate"/>
      </w:r>
      <w:r w:rsidR="00EA42ED">
        <w:rPr>
          <w:noProof/>
        </w:rPr>
        <w:instrText>8</w:instrText>
      </w:r>
      <w:r w:rsidR="00EA42ED" w:rsidRPr="00513E5F">
        <w:rPr>
          <w:noProof/>
        </w:rPr>
        <w:instrText>.</w:instrText>
      </w:r>
      <w:r w:rsidRPr="00513E5F">
        <w:fldChar w:fldCharType="end"/>
      </w:r>
      <w:r w:rsidRPr="00513E5F">
        <w:fldChar w:fldCharType="begin"/>
      </w:r>
      <w:r w:rsidRPr="00513E5F">
        <w:instrText xml:space="preserve"> SEQ Item \* ARABIC \s </w:instrText>
      </w:r>
      <w:r w:rsidRPr="00513E5F">
        <w:fldChar w:fldCharType="begin"/>
      </w:r>
      <w:r w:rsidRPr="00513E5F">
        <w:instrText xml:space="preserve"> IF </w:instrText>
      </w:r>
      <w:r w:rsidRPr="00513E5F">
        <w:rPr>
          <w:noProof/>
        </w:rPr>
        <w:fldChar w:fldCharType="begin"/>
      </w:r>
      <w:r w:rsidRPr="00513E5F">
        <w:rPr>
          <w:noProof/>
        </w:rPr>
        <w:instrText xml:space="preserve"> STYLEREF "Heading 6" \l \n </w:instrText>
      </w:r>
      <w:r w:rsidRPr="00513E5F">
        <w:rPr>
          <w:noProof/>
        </w:rPr>
        <w:fldChar w:fldCharType="separate"/>
      </w:r>
      <w:r w:rsidR="00B833F1">
        <w:rPr>
          <w:noProof/>
        </w:rPr>
        <w:instrText>0</w:instrText>
      </w:r>
      <w:r w:rsidRPr="00513E5F">
        <w:rPr>
          <w:noProof/>
        </w:rPr>
        <w:fldChar w:fldCharType="end"/>
      </w:r>
      <w:r w:rsidRPr="00513E5F">
        <w:instrText xml:space="preserve"> = 0 "</w:instrText>
      </w:r>
      <w:r w:rsidRPr="00513E5F">
        <w:fldChar w:fldCharType="begin"/>
      </w:r>
      <w:r w:rsidRPr="00513E5F">
        <w:instrText xml:space="preserve"> IF </w:instrText>
      </w:r>
      <w:r w:rsidRPr="00513E5F">
        <w:rPr>
          <w:noProof/>
        </w:rPr>
        <w:fldChar w:fldCharType="begin"/>
      </w:r>
      <w:r w:rsidRPr="00513E5F">
        <w:rPr>
          <w:noProof/>
        </w:rPr>
        <w:instrText xml:space="preserve"> STYLEREF "Heading 1" \l \n </w:instrText>
      </w:r>
      <w:r w:rsidRPr="00513E5F">
        <w:rPr>
          <w:noProof/>
        </w:rPr>
        <w:fldChar w:fldCharType="separate"/>
      </w:r>
      <w:r w:rsidR="00B833F1">
        <w:rPr>
          <w:noProof/>
        </w:rPr>
        <w:instrText>8</w:instrText>
      </w:r>
      <w:r w:rsidRPr="00513E5F">
        <w:rPr>
          <w:noProof/>
        </w:rPr>
        <w:fldChar w:fldCharType="end"/>
      </w:r>
      <w:r w:rsidRPr="00513E5F">
        <w:instrText xml:space="preserve"> = 0 "" "1" </w:instrText>
      </w:r>
      <w:r w:rsidRPr="00513E5F">
        <w:fldChar w:fldCharType="separate"/>
      </w:r>
      <w:r w:rsidR="00EA42ED" w:rsidRPr="00513E5F">
        <w:rPr>
          <w:noProof/>
        </w:rPr>
        <w:instrText>1</w:instrText>
      </w:r>
      <w:r w:rsidRPr="00513E5F">
        <w:fldChar w:fldCharType="end"/>
      </w:r>
      <w:r w:rsidRPr="00513E5F">
        <w:instrText xml:space="preserve">" "6" </w:instrText>
      </w:r>
      <w:r w:rsidRPr="00513E5F">
        <w:fldChar w:fldCharType="separate"/>
      </w:r>
      <w:r w:rsidR="00EA42ED" w:rsidRPr="00513E5F">
        <w:rPr>
          <w:noProof/>
        </w:rPr>
        <w:instrText>1</w:instrText>
      </w:r>
      <w:r w:rsidRPr="00513E5F">
        <w:fldChar w:fldCharType="end"/>
      </w:r>
      <w:r w:rsidRPr="00513E5F">
        <w:instrText xml:space="preserve"> </w:instrText>
      </w:r>
      <w:r w:rsidRPr="00513E5F">
        <w:fldChar w:fldCharType="separate"/>
      </w:r>
      <w:r w:rsidR="00B833F1">
        <w:rPr>
          <w:noProof/>
        </w:rPr>
        <w:instrText>24</w:instrText>
      </w:r>
      <w:r w:rsidRPr="00513E5F">
        <w:fldChar w:fldCharType="end"/>
      </w:r>
      <w:r w:rsidRPr="00513E5F">
        <w:instrText xml:space="preserve">" "" </w:instrText>
      </w:r>
      <w:r w:rsidRPr="00513E5F">
        <w:fldChar w:fldCharType="separate"/>
      </w:r>
      <w:bookmarkStart w:id="4476" w:name="_Caption2727"/>
      <w:bookmarkStart w:id="4477" w:name="_Caption6626"/>
      <w:bookmarkStart w:id="4478" w:name="_Caption0503"/>
      <w:bookmarkStart w:id="4479" w:name="_Caption3571"/>
      <w:bookmarkStart w:id="4480" w:name="_Caption6494"/>
      <w:bookmarkStart w:id="4481" w:name="_Caption6380"/>
      <w:bookmarkStart w:id="4482" w:name="_Caption7553"/>
      <w:bookmarkStart w:id="4483" w:name="_Caption5695"/>
      <w:bookmarkStart w:id="4484" w:name="_Caption9939"/>
      <w:bookmarkStart w:id="4485" w:name="_Caption4727"/>
      <w:bookmarkStart w:id="4486" w:name="_Caption3207"/>
      <w:bookmarkStart w:id="4487" w:name="_Caption1045"/>
      <w:bookmarkStart w:id="4488" w:name="_Caption1625"/>
      <w:bookmarkStart w:id="4489" w:name="_Caption7741"/>
      <w:bookmarkStart w:id="4490" w:name="_Caption1979"/>
      <w:bookmarkStart w:id="4491" w:name="_Caption2819"/>
      <w:bookmarkStart w:id="4492" w:name="_Caption9350"/>
      <w:bookmarkStart w:id="4493" w:name="_Caption9662"/>
      <w:bookmarkStart w:id="4494" w:name="_Caption0570"/>
      <w:bookmarkStart w:id="4495" w:name="_Caption1964"/>
      <w:bookmarkStart w:id="4496" w:name="_Caption6145"/>
      <w:bookmarkStart w:id="4497" w:name="_Caption4933"/>
      <w:bookmarkStart w:id="4498" w:name="_Caption1044"/>
      <w:bookmarkStart w:id="4499" w:name="_Caption4248"/>
      <w:bookmarkStart w:id="4500" w:name="_Caption3360"/>
      <w:bookmarkStart w:id="4501" w:name="_Caption1377"/>
      <w:bookmarkStart w:id="4502" w:name="_Caption0419"/>
      <w:bookmarkStart w:id="4503" w:name="_Caption4160"/>
      <w:bookmarkStart w:id="4504" w:name="_Caption6805"/>
      <w:bookmarkStart w:id="4505" w:name="_Caption8790"/>
      <w:bookmarkStart w:id="4506" w:name="_Caption5255"/>
      <w:bookmarkStart w:id="4507" w:name="_Caption6973"/>
      <w:bookmarkStart w:id="4508" w:name="_Caption1326"/>
      <w:bookmarkStart w:id="4509" w:name="_Caption3189"/>
      <w:bookmarkStart w:id="4510" w:name="_Caption9014"/>
      <w:bookmarkStart w:id="4511" w:name="_Caption3136"/>
      <w:bookmarkStart w:id="4512" w:name="_Caption0070"/>
      <w:bookmarkStart w:id="4513" w:name="_Caption5376"/>
      <w:bookmarkStart w:id="4514" w:name="_Caption4663"/>
      <w:bookmarkStart w:id="4515" w:name="_Caption3126"/>
      <w:bookmarkStart w:id="4516" w:name="_Caption3448"/>
      <w:bookmarkStart w:id="4517" w:name="_Caption9570"/>
      <w:bookmarkStart w:id="4518" w:name="_Caption2151"/>
      <w:bookmarkStart w:id="4519" w:name="_Caption1069"/>
      <w:bookmarkStart w:id="4520" w:name="_Caption0698"/>
      <w:bookmarkStart w:id="4521" w:name="_Caption1555"/>
      <w:bookmarkStart w:id="4522" w:name="_Caption9063"/>
      <w:bookmarkStart w:id="4523" w:name="_Caption3671"/>
      <w:bookmarkStart w:id="4524" w:name="_Caption9049"/>
      <w:bookmarkStart w:id="4525" w:name="_Caption2666"/>
      <w:bookmarkStart w:id="4526" w:name="_Caption9160"/>
      <w:bookmarkStart w:id="4527" w:name="_Caption1342"/>
      <w:bookmarkStart w:id="4528" w:name="_Caption3682"/>
      <w:bookmarkStart w:id="4529" w:name="_Caption3417"/>
      <w:bookmarkStart w:id="4530" w:name="_Caption0880"/>
      <w:bookmarkStart w:id="4531" w:name="_Caption9941"/>
      <w:bookmarkStart w:id="4532" w:name="_Caption3776"/>
      <w:bookmarkStart w:id="4533" w:name="_Caption7512"/>
      <w:bookmarkStart w:id="4534" w:name="_Caption5707"/>
      <w:bookmarkStart w:id="4535" w:name="_Caption5182"/>
      <w:bookmarkStart w:id="4536" w:name="_Caption4961"/>
      <w:bookmarkStart w:id="4537" w:name="_Caption7082"/>
      <w:bookmarkStart w:id="4538" w:name="_Caption7865"/>
      <w:bookmarkStart w:id="4539" w:name="_Caption6552"/>
      <w:bookmarkStart w:id="4540" w:name="_Caption3688"/>
      <w:bookmarkStart w:id="4541" w:name="_Caption7158"/>
      <w:bookmarkStart w:id="4542" w:name="_Caption2277"/>
      <w:bookmarkStart w:id="4543" w:name="_Caption0377"/>
      <w:bookmarkStart w:id="4544" w:name="_Caption5633"/>
      <w:bookmarkStart w:id="4545" w:name="_Caption2124"/>
      <w:bookmarkStart w:id="4546" w:name="_Caption0674"/>
      <w:bookmarkStart w:id="4547" w:name="_Caption6727"/>
      <w:bookmarkStart w:id="4548" w:name="_Caption1125"/>
      <w:bookmarkStart w:id="4549" w:name="_Caption3954"/>
      <w:bookmarkStart w:id="4550" w:name="_Caption7878"/>
      <w:bookmarkStart w:id="4551" w:name="_Caption2225"/>
      <w:bookmarkStart w:id="4552" w:name="_Caption0811"/>
      <w:bookmarkStart w:id="4553" w:name="_Caption1833"/>
      <w:bookmarkStart w:id="4554" w:name="_Caption7853"/>
      <w:bookmarkStart w:id="4555" w:name="_Caption3970"/>
      <w:bookmarkStart w:id="4556" w:name="_Caption6631"/>
      <w:bookmarkStart w:id="4557" w:name="_Caption8017"/>
      <w:bookmarkStart w:id="4558" w:name="_Caption4671"/>
      <w:bookmarkStart w:id="4559" w:name="_Toc507523822"/>
      <w:bookmarkStart w:id="4560" w:name="_Toc509220871"/>
      <w:bookmarkStart w:id="4561" w:name="_Toc529869963"/>
      <w:bookmarkStart w:id="4562" w:name="_Toc530748459"/>
      <w:r w:rsidR="00EA42ED">
        <w:rPr>
          <w:noProof/>
        </w:rPr>
        <w:t>8</w:t>
      </w:r>
      <w:r w:rsidR="00EA42ED" w:rsidRPr="00513E5F">
        <w:rPr>
          <w:noProof/>
        </w:rPr>
        <w:t>.</w:t>
      </w:r>
      <w:r w:rsidR="00EA42ED">
        <w:rPr>
          <w:noProof/>
        </w:rPr>
        <w:t>24</w:t>
      </w:r>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r w:rsidRPr="00513E5F">
        <w:fldChar w:fldCharType="end"/>
      </w:r>
      <w:r w:rsidRPr="00513E5F">
        <w:tab/>
        <w:t>Net benefit/costs under various discount rates</w:t>
      </w:r>
      <w:bookmarkEnd w:id="4559"/>
      <w:bookmarkEnd w:id="4560"/>
      <w:bookmarkEnd w:id="4561"/>
      <w:bookmarkEnd w:id="4562"/>
    </w:p>
    <w:tbl>
      <w:tblPr>
        <w:tblW w:w="7940" w:type="dxa"/>
        <w:tblLayout w:type="fixed"/>
        <w:tblLook w:val="0000" w:firstRow="0" w:lastRow="0" w:firstColumn="0" w:lastColumn="0" w:noHBand="0" w:noVBand="0"/>
        <w:tblCaption w:val="Table 8.24 Net benefit/costs under various discount rates"/>
        <w:tblDescription w:val="This table shows the net present values using alternative discount rates. All scenarios tested demonstrate large net benefits. "/>
      </w:tblPr>
      <w:tblGrid>
        <w:gridCol w:w="1559"/>
        <w:gridCol w:w="709"/>
        <w:gridCol w:w="709"/>
        <w:gridCol w:w="709"/>
        <w:gridCol w:w="709"/>
        <w:gridCol w:w="709"/>
        <w:gridCol w:w="709"/>
        <w:gridCol w:w="709"/>
        <w:gridCol w:w="709"/>
        <w:gridCol w:w="709"/>
      </w:tblGrid>
      <w:tr w:rsidR="00612FD3" w:rsidRPr="00E968E3" w:rsidTr="00301B6D">
        <w:trPr>
          <w:trHeight w:val="230"/>
          <w:tblHeader/>
        </w:trPr>
        <w:tc>
          <w:tcPr>
            <w:tcW w:w="1559" w:type="dxa"/>
            <w:shd w:val="clear" w:color="auto" w:fill="6F6652"/>
            <w:tcMar>
              <w:left w:w="57" w:type="dxa"/>
              <w:right w:w="57" w:type="dxa"/>
            </w:tcMar>
          </w:tcPr>
          <w:p w:rsidR="00612FD3" w:rsidRPr="00E968E3" w:rsidRDefault="00612FD3" w:rsidP="00301B6D">
            <w:pPr>
              <w:pStyle w:val="TableDataColumnHeading"/>
              <w:jc w:val="left"/>
              <w:rPr>
                <w:lang w:val="en-GB"/>
              </w:rPr>
            </w:pPr>
          </w:p>
        </w:tc>
        <w:tc>
          <w:tcPr>
            <w:tcW w:w="709" w:type="dxa"/>
            <w:shd w:val="clear" w:color="auto" w:fill="6F6652"/>
            <w:tcMar>
              <w:left w:w="57" w:type="dxa"/>
              <w:right w:w="57" w:type="dxa"/>
            </w:tcMar>
          </w:tcPr>
          <w:p w:rsidR="00612FD3" w:rsidRPr="00E968E3" w:rsidRDefault="00612FD3" w:rsidP="00301B6D">
            <w:pPr>
              <w:pStyle w:val="TableDataColumnHeading"/>
              <w:rPr>
                <w:lang w:val="en-GB"/>
              </w:rPr>
            </w:pPr>
            <w:r w:rsidRPr="00E968E3">
              <w:rPr>
                <w:lang w:val="en-GB"/>
              </w:rPr>
              <w:t>NSW</w:t>
            </w:r>
          </w:p>
        </w:tc>
        <w:tc>
          <w:tcPr>
            <w:tcW w:w="709" w:type="dxa"/>
            <w:shd w:val="clear" w:color="auto" w:fill="6F6652"/>
            <w:tcMar>
              <w:left w:w="57" w:type="dxa"/>
              <w:right w:w="57" w:type="dxa"/>
            </w:tcMar>
          </w:tcPr>
          <w:p w:rsidR="00612FD3" w:rsidRPr="00E968E3" w:rsidRDefault="00612FD3" w:rsidP="00301B6D">
            <w:pPr>
              <w:pStyle w:val="TableDataColumnHeading"/>
              <w:rPr>
                <w:lang w:val="en-GB"/>
              </w:rPr>
            </w:pPr>
            <w:r w:rsidRPr="00E968E3">
              <w:rPr>
                <w:lang w:val="en-GB"/>
              </w:rPr>
              <w:t>Vic</w:t>
            </w:r>
          </w:p>
        </w:tc>
        <w:tc>
          <w:tcPr>
            <w:tcW w:w="709" w:type="dxa"/>
            <w:shd w:val="clear" w:color="auto" w:fill="6F6652"/>
            <w:tcMar>
              <w:left w:w="57" w:type="dxa"/>
              <w:right w:w="57" w:type="dxa"/>
            </w:tcMar>
          </w:tcPr>
          <w:p w:rsidR="00612FD3" w:rsidRPr="00E968E3" w:rsidRDefault="00612FD3" w:rsidP="00301B6D">
            <w:pPr>
              <w:pStyle w:val="TableDataColumnHeading"/>
              <w:rPr>
                <w:lang w:val="en-GB"/>
              </w:rPr>
            </w:pPr>
            <w:r w:rsidRPr="00E968E3">
              <w:rPr>
                <w:lang w:val="en-GB"/>
              </w:rPr>
              <w:t>Qld</w:t>
            </w:r>
          </w:p>
        </w:tc>
        <w:tc>
          <w:tcPr>
            <w:tcW w:w="709" w:type="dxa"/>
            <w:shd w:val="clear" w:color="auto" w:fill="6F6652"/>
            <w:tcMar>
              <w:left w:w="57" w:type="dxa"/>
              <w:right w:w="57" w:type="dxa"/>
            </w:tcMar>
          </w:tcPr>
          <w:p w:rsidR="00612FD3" w:rsidRPr="00E968E3" w:rsidRDefault="00612FD3" w:rsidP="00301B6D">
            <w:pPr>
              <w:pStyle w:val="TableDataColumnHeading"/>
              <w:rPr>
                <w:lang w:val="en-GB"/>
              </w:rPr>
            </w:pPr>
            <w:r w:rsidRPr="00E968E3">
              <w:rPr>
                <w:lang w:val="en-GB"/>
              </w:rPr>
              <w:t>SA</w:t>
            </w:r>
          </w:p>
        </w:tc>
        <w:tc>
          <w:tcPr>
            <w:tcW w:w="709" w:type="dxa"/>
            <w:shd w:val="clear" w:color="auto" w:fill="6F6652"/>
            <w:tcMar>
              <w:left w:w="57" w:type="dxa"/>
              <w:right w:w="57" w:type="dxa"/>
            </w:tcMar>
          </w:tcPr>
          <w:p w:rsidR="00612FD3" w:rsidRPr="00E968E3" w:rsidRDefault="00612FD3" w:rsidP="00301B6D">
            <w:pPr>
              <w:pStyle w:val="TableDataColumnHeading"/>
              <w:rPr>
                <w:lang w:val="en-GB"/>
              </w:rPr>
            </w:pPr>
            <w:r w:rsidRPr="00E968E3">
              <w:rPr>
                <w:lang w:val="en-GB"/>
              </w:rPr>
              <w:t>WA</w:t>
            </w:r>
          </w:p>
        </w:tc>
        <w:tc>
          <w:tcPr>
            <w:tcW w:w="709" w:type="dxa"/>
            <w:shd w:val="clear" w:color="auto" w:fill="6F6652"/>
            <w:tcMar>
              <w:left w:w="57" w:type="dxa"/>
              <w:right w:w="57" w:type="dxa"/>
            </w:tcMar>
          </w:tcPr>
          <w:p w:rsidR="00612FD3" w:rsidRPr="00E968E3" w:rsidRDefault="00612FD3" w:rsidP="00301B6D">
            <w:pPr>
              <w:pStyle w:val="TableDataColumnHeading"/>
              <w:rPr>
                <w:lang w:val="en-GB"/>
              </w:rPr>
            </w:pPr>
            <w:r w:rsidRPr="00E968E3">
              <w:rPr>
                <w:lang w:val="en-GB"/>
              </w:rPr>
              <w:t>Tas</w:t>
            </w:r>
          </w:p>
        </w:tc>
        <w:tc>
          <w:tcPr>
            <w:tcW w:w="709" w:type="dxa"/>
            <w:shd w:val="clear" w:color="auto" w:fill="6F6652"/>
            <w:tcMar>
              <w:left w:w="57" w:type="dxa"/>
              <w:right w:w="57" w:type="dxa"/>
            </w:tcMar>
          </w:tcPr>
          <w:p w:rsidR="00612FD3" w:rsidRPr="00E968E3" w:rsidRDefault="00612FD3" w:rsidP="00301B6D">
            <w:pPr>
              <w:pStyle w:val="TableDataColumnHeading"/>
              <w:rPr>
                <w:lang w:val="en-GB"/>
              </w:rPr>
            </w:pPr>
            <w:r w:rsidRPr="00E968E3">
              <w:rPr>
                <w:lang w:val="en-GB"/>
              </w:rPr>
              <w:t>ACT</w:t>
            </w:r>
          </w:p>
        </w:tc>
        <w:tc>
          <w:tcPr>
            <w:tcW w:w="709" w:type="dxa"/>
            <w:shd w:val="clear" w:color="auto" w:fill="6F6652"/>
            <w:tcMar>
              <w:left w:w="57" w:type="dxa"/>
              <w:right w:w="57" w:type="dxa"/>
            </w:tcMar>
          </w:tcPr>
          <w:p w:rsidR="00612FD3" w:rsidRPr="00E968E3" w:rsidRDefault="00612FD3" w:rsidP="00301B6D">
            <w:pPr>
              <w:pStyle w:val="TableDataColumnHeading"/>
              <w:rPr>
                <w:lang w:val="en-GB"/>
              </w:rPr>
            </w:pPr>
            <w:r w:rsidRPr="00E968E3">
              <w:rPr>
                <w:lang w:val="en-GB"/>
              </w:rPr>
              <w:t>NT</w:t>
            </w:r>
          </w:p>
        </w:tc>
        <w:tc>
          <w:tcPr>
            <w:tcW w:w="709" w:type="dxa"/>
            <w:shd w:val="clear" w:color="auto" w:fill="6F6652"/>
            <w:tcMar>
              <w:left w:w="57" w:type="dxa"/>
              <w:right w:w="57" w:type="dxa"/>
            </w:tcMar>
          </w:tcPr>
          <w:p w:rsidR="00612FD3" w:rsidRPr="00E968E3" w:rsidRDefault="00612FD3" w:rsidP="00301B6D">
            <w:pPr>
              <w:pStyle w:val="TableDataColumnHeading"/>
              <w:rPr>
                <w:lang w:val="en-GB"/>
              </w:rPr>
            </w:pPr>
            <w:r w:rsidRPr="00E968E3">
              <w:rPr>
                <w:lang w:val="en-GB"/>
              </w:rPr>
              <w:t>Total</w:t>
            </w:r>
          </w:p>
        </w:tc>
      </w:tr>
      <w:tr w:rsidR="00612FD3" w:rsidRPr="00E968E3" w:rsidTr="00301B6D">
        <w:trPr>
          <w:trHeight w:val="230"/>
          <w:tblHeader/>
        </w:trPr>
        <w:tc>
          <w:tcPr>
            <w:tcW w:w="1559" w:type="dxa"/>
            <w:tcBorders>
              <w:bottom w:val="single" w:sz="8" w:space="0" w:color="FFFFFF" w:themeColor="background1"/>
            </w:tcBorders>
            <w:shd w:val="clear" w:color="auto" w:fill="auto"/>
            <w:tcMar>
              <w:left w:w="57" w:type="dxa"/>
              <w:right w:w="57" w:type="dxa"/>
            </w:tcMar>
          </w:tcPr>
          <w:p w:rsidR="00612FD3" w:rsidRPr="00E968E3" w:rsidRDefault="00612FD3" w:rsidP="00301B6D">
            <w:pPr>
              <w:pStyle w:val="TableUnit"/>
              <w:jc w:val="left"/>
              <w:rPr>
                <w:lang w:val="en-GB"/>
              </w:rPr>
            </w:pPr>
          </w:p>
        </w:tc>
        <w:tc>
          <w:tcPr>
            <w:tcW w:w="709" w:type="dxa"/>
            <w:tcBorders>
              <w:bottom w:val="single" w:sz="8" w:space="0" w:color="FFFFFF" w:themeColor="background1"/>
            </w:tcBorders>
            <w:shd w:val="clear" w:color="auto" w:fill="auto"/>
            <w:tcMar>
              <w:left w:w="57" w:type="dxa"/>
              <w:right w:w="57" w:type="dxa"/>
            </w:tcMar>
          </w:tcPr>
          <w:p w:rsidR="00612FD3" w:rsidRPr="00E968E3" w:rsidRDefault="00612FD3" w:rsidP="00301B6D">
            <w:pPr>
              <w:pStyle w:val="TableUnit"/>
              <w:rPr>
                <w:lang w:val="en-GB"/>
              </w:rPr>
            </w:pPr>
            <w:r w:rsidRPr="00E968E3">
              <w:rPr>
                <w:lang w:val="en-GB"/>
              </w:rPr>
              <w:t>$ million</w:t>
            </w:r>
          </w:p>
        </w:tc>
        <w:tc>
          <w:tcPr>
            <w:tcW w:w="709" w:type="dxa"/>
            <w:tcBorders>
              <w:bottom w:val="single" w:sz="8" w:space="0" w:color="FFFFFF" w:themeColor="background1"/>
            </w:tcBorders>
            <w:shd w:val="clear" w:color="auto" w:fill="auto"/>
            <w:tcMar>
              <w:left w:w="57" w:type="dxa"/>
              <w:right w:w="57" w:type="dxa"/>
            </w:tcMar>
          </w:tcPr>
          <w:p w:rsidR="00612FD3" w:rsidRPr="00E968E3" w:rsidRDefault="00612FD3" w:rsidP="00301B6D">
            <w:pPr>
              <w:pStyle w:val="TableUnit"/>
              <w:rPr>
                <w:lang w:val="en-GB"/>
              </w:rPr>
            </w:pPr>
            <w:r w:rsidRPr="00E968E3">
              <w:rPr>
                <w:lang w:val="en-GB"/>
              </w:rPr>
              <w:t>$ million</w:t>
            </w:r>
          </w:p>
        </w:tc>
        <w:tc>
          <w:tcPr>
            <w:tcW w:w="709" w:type="dxa"/>
            <w:tcBorders>
              <w:bottom w:val="single" w:sz="8" w:space="0" w:color="FFFFFF" w:themeColor="background1"/>
            </w:tcBorders>
            <w:shd w:val="clear" w:color="auto" w:fill="auto"/>
            <w:tcMar>
              <w:left w:w="57" w:type="dxa"/>
              <w:right w:w="57" w:type="dxa"/>
            </w:tcMar>
          </w:tcPr>
          <w:p w:rsidR="00612FD3" w:rsidRPr="00E968E3" w:rsidRDefault="00612FD3" w:rsidP="00301B6D">
            <w:pPr>
              <w:pStyle w:val="TableUnit"/>
              <w:rPr>
                <w:lang w:val="en-GB"/>
              </w:rPr>
            </w:pPr>
            <w:r w:rsidRPr="00E968E3">
              <w:rPr>
                <w:lang w:val="en-GB"/>
              </w:rPr>
              <w:t>$ million</w:t>
            </w:r>
          </w:p>
        </w:tc>
        <w:tc>
          <w:tcPr>
            <w:tcW w:w="709" w:type="dxa"/>
            <w:tcBorders>
              <w:bottom w:val="single" w:sz="8" w:space="0" w:color="FFFFFF" w:themeColor="background1"/>
            </w:tcBorders>
            <w:shd w:val="clear" w:color="auto" w:fill="auto"/>
            <w:tcMar>
              <w:left w:w="57" w:type="dxa"/>
              <w:right w:w="57" w:type="dxa"/>
            </w:tcMar>
          </w:tcPr>
          <w:p w:rsidR="00612FD3" w:rsidRPr="00E968E3" w:rsidRDefault="00612FD3" w:rsidP="00301B6D">
            <w:pPr>
              <w:pStyle w:val="TableUnit"/>
              <w:rPr>
                <w:lang w:val="en-GB"/>
              </w:rPr>
            </w:pPr>
            <w:r w:rsidRPr="00E968E3">
              <w:rPr>
                <w:lang w:val="en-GB"/>
              </w:rPr>
              <w:t>$ million</w:t>
            </w:r>
          </w:p>
        </w:tc>
        <w:tc>
          <w:tcPr>
            <w:tcW w:w="709" w:type="dxa"/>
            <w:tcBorders>
              <w:bottom w:val="single" w:sz="8" w:space="0" w:color="FFFFFF" w:themeColor="background1"/>
            </w:tcBorders>
            <w:shd w:val="clear" w:color="auto" w:fill="auto"/>
            <w:tcMar>
              <w:left w:w="57" w:type="dxa"/>
              <w:right w:w="57" w:type="dxa"/>
            </w:tcMar>
          </w:tcPr>
          <w:p w:rsidR="00612FD3" w:rsidRPr="00E968E3" w:rsidRDefault="00612FD3" w:rsidP="00301B6D">
            <w:pPr>
              <w:pStyle w:val="TableUnit"/>
              <w:rPr>
                <w:lang w:val="en-GB"/>
              </w:rPr>
            </w:pPr>
            <w:r w:rsidRPr="00E968E3">
              <w:rPr>
                <w:lang w:val="en-GB"/>
              </w:rPr>
              <w:t>$ million</w:t>
            </w:r>
          </w:p>
        </w:tc>
        <w:tc>
          <w:tcPr>
            <w:tcW w:w="709" w:type="dxa"/>
            <w:tcBorders>
              <w:bottom w:val="single" w:sz="8" w:space="0" w:color="FFFFFF" w:themeColor="background1"/>
            </w:tcBorders>
            <w:shd w:val="clear" w:color="auto" w:fill="auto"/>
            <w:tcMar>
              <w:left w:w="57" w:type="dxa"/>
              <w:right w:w="57" w:type="dxa"/>
            </w:tcMar>
          </w:tcPr>
          <w:p w:rsidR="00612FD3" w:rsidRPr="00E968E3" w:rsidRDefault="00612FD3" w:rsidP="00301B6D">
            <w:pPr>
              <w:pStyle w:val="TableUnit"/>
              <w:rPr>
                <w:lang w:val="en-GB"/>
              </w:rPr>
            </w:pPr>
            <w:r w:rsidRPr="00E968E3">
              <w:rPr>
                <w:lang w:val="en-GB"/>
              </w:rPr>
              <w:t>$ million</w:t>
            </w:r>
          </w:p>
        </w:tc>
        <w:tc>
          <w:tcPr>
            <w:tcW w:w="709" w:type="dxa"/>
            <w:tcBorders>
              <w:bottom w:val="single" w:sz="8" w:space="0" w:color="FFFFFF" w:themeColor="background1"/>
            </w:tcBorders>
            <w:shd w:val="clear" w:color="auto" w:fill="auto"/>
            <w:tcMar>
              <w:left w:w="57" w:type="dxa"/>
              <w:right w:w="57" w:type="dxa"/>
            </w:tcMar>
          </w:tcPr>
          <w:p w:rsidR="00612FD3" w:rsidRPr="00E968E3" w:rsidRDefault="00612FD3" w:rsidP="00301B6D">
            <w:pPr>
              <w:pStyle w:val="TableUnit"/>
              <w:rPr>
                <w:lang w:val="en-GB"/>
              </w:rPr>
            </w:pPr>
            <w:r w:rsidRPr="00E968E3">
              <w:rPr>
                <w:lang w:val="en-GB"/>
              </w:rPr>
              <w:t>$ million</w:t>
            </w:r>
          </w:p>
        </w:tc>
        <w:tc>
          <w:tcPr>
            <w:tcW w:w="709" w:type="dxa"/>
            <w:tcBorders>
              <w:bottom w:val="single" w:sz="8" w:space="0" w:color="FFFFFF" w:themeColor="background1"/>
            </w:tcBorders>
            <w:shd w:val="clear" w:color="auto" w:fill="auto"/>
            <w:tcMar>
              <w:left w:w="57" w:type="dxa"/>
              <w:right w:w="57" w:type="dxa"/>
            </w:tcMar>
          </w:tcPr>
          <w:p w:rsidR="00612FD3" w:rsidRPr="00E968E3" w:rsidRDefault="00612FD3" w:rsidP="00301B6D">
            <w:pPr>
              <w:pStyle w:val="TableUnit"/>
              <w:rPr>
                <w:lang w:val="en-GB"/>
              </w:rPr>
            </w:pPr>
            <w:r w:rsidRPr="00E968E3">
              <w:rPr>
                <w:lang w:val="en-GB"/>
              </w:rPr>
              <w:t>$ million</w:t>
            </w:r>
          </w:p>
        </w:tc>
        <w:tc>
          <w:tcPr>
            <w:tcW w:w="709" w:type="dxa"/>
            <w:tcBorders>
              <w:bottom w:val="single" w:sz="8" w:space="0" w:color="FFFFFF" w:themeColor="background1"/>
            </w:tcBorders>
            <w:shd w:val="clear" w:color="auto" w:fill="auto"/>
            <w:tcMar>
              <w:left w:w="57" w:type="dxa"/>
              <w:right w:w="57" w:type="dxa"/>
            </w:tcMar>
          </w:tcPr>
          <w:p w:rsidR="00612FD3" w:rsidRPr="00E968E3" w:rsidRDefault="00612FD3" w:rsidP="00301B6D">
            <w:pPr>
              <w:pStyle w:val="TableUnit"/>
              <w:rPr>
                <w:lang w:val="en-GB"/>
              </w:rPr>
            </w:pPr>
            <w:r w:rsidRPr="00E968E3">
              <w:rPr>
                <w:lang w:val="en-GB"/>
              </w:rPr>
              <w:t>$ million</w:t>
            </w:r>
          </w:p>
        </w:tc>
      </w:tr>
      <w:tr w:rsidR="00612FD3" w:rsidRPr="00E968E3" w:rsidTr="00301B6D">
        <w:trPr>
          <w:trHeight w:val="230"/>
        </w:trPr>
        <w:tc>
          <w:tcPr>
            <w:tcW w:w="155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Pr="00E968E3" w:rsidRDefault="00612FD3" w:rsidP="00301B6D">
            <w:pPr>
              <w:pStyle w:val="TableHeading1"/>
              <w:spacing w:before="80"/>
              <w:rPr>
                <w:lang w:val="en-GB"/>
              </w:rPr>
            </w:pPr>
            <w:r w:rsidRPr="00E968E3">
              <w:rPr>
                <w:lang w:val="en-GB"/>
              </w:rPr>
              <w:t>Low realisation scenario</w:t>
            </w:r>
          </w:p>
        </w:tc>
        <w:tc>
          <w:tcPr>
            <w:tcW w:w="70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612FD3" w:rsidRPr="00E968E3" w:rsidRDefault="00612FD3" w:rsidP="00301B6D">
            <w:pPr>
              <w:pStyle w:val="TableHeading1"/>
              <w:spacing w:before="80"/>
            </w:pPr>
          </w:p>
        </w:tc>
        <w:tc>
          <w:tcPr>
            <w:tcW w:w="70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612FD3" w:rsidRPr="00E968E3" w:rsidRDefault="00612FD3" w:rsidP="00301B6D">
            <w:pPr>
              <w:pStyle w:val="TableHeading1"/>
              <w:spacing w:before="80"/>
            </w:pPr>
          </w:p>
        </w:tc>
        <w:tc>
          <w:tcPr>
            <w:tcW w:w="70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612FD3" w:rsidRPr="00E968E3" w:rsidRDefault="00612FD3" w:rsidP="00301B6D">
            <w:pPr>
              <w:pStyle w:val="TableHeading1"/>
              <w:spacing w:before="80"/>
            </w:pPr>
          </w:p>
        </w:tc>
        <w:tc>
          <w:tcPr>
            <w:tcW w:w="70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612FD3" w:rsidRPr="00E968E3" w:rsidRDefault="00612FD3" w:rsidP="00301B6D">
            <w:pPr>
              <w:pStyle w:val="TableHeading1"/>
              <w:spacing w:before="80"/>
            </w:pPr>
          </w:p>
        </w:tc>
        <w:tc>
          <w:tcPr>
            <w:tcW w:w="70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612FD3" w:rsidRPr="00E968E3" w:rsidRDefault="00612FD3" w:rsidP="00301B6D">
            <w:pPr>
              <w:pStyle w:val="TableHeading1"/>
              <w:spacing w:before="80"/>
            </w:pPr>
          </w:p>
        </w:tc>
        <w:tc>
          <w:tcPr>
            <w:tcW w:w="70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612FD3" w:rsidRPr="00E968E3" w:rsidRDefault="00612FD3" w:rsidP="00301B6D">
            <w:pPr>
              <w:pStyle w:val="TableHeading1"/>
              <w:spacing w:before="80"/>
            </w:pPr>
          </w:p>
        </w:tc>
        <w:tc>
          <w:tcPr>
            <w:tcW w:w="70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612FD3" w:rsidRPr="00E968E3" w:rsidRDefault="00612FD3" w:rsidP="00301B6D">
            <w:pPr>
              <w:pStyle w:val="TableHeading1"/>
              <w:spacing w:before="80"/>
            </w:pPr>
          </w:p>
        </w:tc>
        <w:tc>
          <w:tcPr>
            <w:tcW w:w="70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612FD3" w:rsidRPr="00E968E3" w:rsidRDefault="00612FD3" w:rsidP="00301B6D">
            <w:pPr>
              <w:pStyle w:val="TableHeading1"/>
              <w:spacing w:before="80"/>
            </w:pPr>
          </w:p>
        </w:tc>
        <w:tc>
          <w:tcPr>
            <w:tcW w:w="70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612FD3" w:rsidRPr="00E968E3" w:rsidRDefault="00612FD3" w:rsidP="00301B6D">
            <w:pPr>
              <w:pStyle w:val="TableHeading1"/>
              <w:spacing w:before="80"/>
            </w:pPr>
          </w:p>
        </w:tc>
      </w:tr>
      <w:tr w:rsidR="009E0D4E" w:rsidRPr="00E968E3" w:rsidTr="00301B6D">
        <w:trPr>
          <w:trHeight w:val="230"/>
        </w:trPr>
        <w:tc>
          <w:tcPr>
            <w:tcW w:w="155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9E0D4E" w:rsidRPr="00E968E3" w:rsidRDefault="009E0D4E" w:rsidP="009E0D4E">
            <w:pPr>
              <w:pStyle w:val="TableDataEntries"/>
              <w:jc w:val="left"/>
              <w:rPr>
                <w:lang w:val="en-GB"/>
              </w:rPr>
            </w:pPr>
            <w:r w:rsidRPr="00E968E3">
              <w:rPr>
                <w:lang w:val="en-GB"/>
              </w:rPr>
              <w:t>3% discount rate</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684.0</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649.9</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753.7</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139.3</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355.9</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16.1</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33.9</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54.8</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2 687.7</w:t>
            </w:r>
          </w:p>
        </w:tc>
      </w:tr>
      <w:tr w:rsidR="009E0D4E" w:rsidRPr="00E968E3" w:rsidTr="00301B6D">
        <w:trPr>
          <w:trHeight w:val="230"/>
        </w:trPr>
        <w:tc>
          <w:tcPr>
            <w:tcW w:w="155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9E0D4E" w:rsidRPr="00E968E3" w:rsidRDefault="009E0D4E" w:rsidP="009E0D4E">
            <w:pPr>
              <w:pStyle w:val="TableDataEntries"/>
              <w:jc w:val="left"/>
              <w:rPr>
                <w:lang w:val="en-GB"/>
              </w:rPr>
            </w:pPr>
            <w:r w:rsidRPr="00E968E3">
              <w:rPr>
                <w:lang w:val="en-GB"/>
              </w:rPr>
              <w:t>10% discount rate</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142.7</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157.1</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210.2</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27.3</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78.2</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0.4</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5.9</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17.3</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639.1</w:t>
            </w:r>
          </w:p>
        </w:tc>
      </w:tr>
      <w:tr w:rsidR="00612FD3" w:rsidRPr="00E968E3" w:rsidTr="00301B6D">
        <w:trPr>
          <w:trHeight w:val="230"/>
        </w:trPr>
        <w:tc>
          <w:tcPr>
            <w:tcW w:w="155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Pr="00E968E3" w:rsidRDefault="00612FD3" w:rsidP="00301B6D">
            <w:pPr>
              <w:pStyle w:val="TableHeading1"/>
              <w:spacing w:before="80"/>
              <w:rPr>
                <w:lang w:val="en-GB"/>
              </w:rPr>
            </w:pPr>
            <w:r w:rsidRPr="00E968E3">
              <w:rPr>
                <w:lang w:val="en-GB"/>
              </w:rPr>
              <w:t>Medium realisation scenario</w:t>
            </w:r>
          </w:p>
        </w:tc>
        <w:tc>
          <w:tcPr>
            <w:tcW w:w="70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612FD3" w:rsidRPr="009E0D4E" w:rsidRDefault="00612FD3" w:rsidP="009E0D4E">
            <w:pPr>
              <w:pStyle w:val="TableDataEntries"/>
            </w:pPr>
          </w:p>
        </w:tc>
        <w:tc>
          <w:tcPr>
            <w:tcW w:w="70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612FD3" w:rsidRPr="009E0D4E" w:rsidRDefault="00612FD3" w:rsidP="009E0D4E">
            <w:pPr>
              <w:pStyle w:val="TableDataEntries"/>
            </w:pPr>
          </w:p>
        </w:tc>
        <w:tc>
          <w:tcPr>
            <w:tcW w:w="70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612FD3" w:rsidRPr="009E0D4E" w:rsidRDefault="00612FD3" w:rsidP="009E0D4E">
            <w:pPr>
              <w:pStyle w:val="TableDataEntries"/>
            </w:pPr>
          </w:p>
        </w:tc>
        <w:tc>
          <w:tcPr>
            <w:tcW w:w="70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612FD3" w:rsidRPr="009E0D4E" w:rsidRDefault="00612FD3" w:rsidP="009E0D4E">
            <w:pPr>
              <w:pStyle w:val="TableDataEntries"/>
            </w:pPr>
          </w:p>
        </w:tc>
        <w:tc>
          <w:tcPr>
            <w:tcW w:w="70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612FD3" w:rsidRPr="009E0D4E" w:rsidRDefault="00612FD3" w:rsidP="009E0D4E">
            <w:pPr>
              <w:pStyle w:val="TableDataEntries"/>
            </w:pPr>
          </w:p>
        </w:tc>
        <w:tc>
          <w:tcPr>
            <w:tcW w:w="70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612FD3" w:rsidRPr="009E0D4E" w:rsidRDefault="00612FD3" w:rsidP="009E0D4E">
            <w:pPr>
              <w:pStyle w:val="TableDataEntries"/>
            </w:pPr>
          </w:p>
        </w:tc>
        <w:tc>
          <w:tcPr>
            <w:tcW w:w="70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612FD3" w:rsidRPr="009E0D4E" w:rsidRDefault="00612FD3" w:rsidP="009E0D4E">
            <w:pPr>
              <w:pStyle w:val="TableDataEntries"/>
            </w:pPr>
          </w:p>
        </w:tc>
        <w:tc>
          <w:tcPr>
            <w:tcW w:w="70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612FD3" w:rsidRPr="009E0D4E" w:rsidRDefault="00612FD3" w:rsidP="009E0D4E">
            <w:pPr>
              <w:pStyle w:val="TableDataEntries"/>
            </w:pPr>
          </w:p>
        </w:tc>
        <w:tc>
          <w:tcPr>
            <w:tcW w:w="70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612FD3" w:rsidRPr="009E0D4E" w:rsidRDefault="00612FD3" w:rsidP="009E0D4E">
            <w:pPr>
              <w:pStyle w:val="TableDataEntries"/>
            </w:pPr>
          </w:p>
        </w:tc>
      </w:tr>
      <w:tr w:rsidR="009E0D4E" w:rsidRPr="00E968E3" w:rsidTr="00301B6D">
        <w:trPr>
          <w:trHeight w:val="230"/>
        </w:trPr>
        <w:tc>
          <w:tcPr>
            <w:tcW w:w="155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9E0D4E" w:rsidRPr="00E968E3" w:rsidRDefault="009E0D4E" w:rsidP="009E0D4E">
            <w:pPr>
              <w:pStyle w:val="TableDataEntries"/>
              <w:jc w:val="left"/>
              <w:rPr>
                <w:lang w:val="en-GB"/>
              </w:rPr>
            </w:pPr>
            <w:r w:rsidRPr="00E968E3">
              <w:rPr>
                <w:lang w:val="en-GB"/>
              </w:rPr>
              <w:t>3% discount rate</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1 129.2</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1 048.3</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1 186.2</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230.9</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582.5</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29.8</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57.3</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83.7</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4 347.8</w:t>
            </w:r>
          </w:p>
        </w:tc>
      </w:tr>
      <w:tr w:rsidR="009E0D4E" w:rsidRPr="00E968E3" w:rsidTr="00301B6D">
        <w:trPr>
          <w:trHeight w:val="230"/>
        </w:trPr>
        <w:tc>
          <w:tcPr>
            <w:tcW w:w="155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9E0D4E" w:rsidRPr="00E968E3" w:rsidRDefault="009E0D4E" w:rsidP="009E0D4E">
            <w:pPr>
              <w:pStyle w:val="TableDataEntries"/>
              <w:jc w:val="left"/>
              <w:rPr>
                <w:lang w:val="en-GB"/>
              </w:rPr>
            </w:pPr>
            <w:r w:rsidRPr="00E968E3">
              <w:rPr>
                <w:lang w:val="en-GB"/>
              </w:rPr>
              <w:t>10% discount rate</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293.7</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292.1</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358.3</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57.9</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154.5</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4.9</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13.8</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27.1</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1 202.2</w:t>
            </w:r>
          </w:p>
        </w:tc>
      </w:tr>
      <w:tr w:rsidR="00612FD3" w:rsidRPr="00E968E3" w:rsidTr="00301B6D">
        <w:trPr>
          <w:trHeight w:val="230"/>
        </w:trPr>
        <w:tc>
          <w:tcPr>
            <w:tcW w:w="155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Pr="00E968E3" w:rsidRDefault="00612FD3" w:rsidP="00301B6D">
            <w:pPr>
              <w:pStyle w:val="TableHeading1"/>
              <w:spacing w:before="80"/>
              <w:rPr>
                <w:lang w:val="en-GB"/>
              </w:rPr>
            </w:pPr>
            <w:r w:rsidRPr="00E968E3">
              <w:rPr>
                <w:lang w:val="en-GB"/>
              </w:rPr>
              <w:t>High realisation scenario</w:t>
            </w:r>
          </w:p>
        </w:tc>
        <w:tc>
          <w:tcPr>
            <w:tcW w:w="70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612FD3" w:rsidRPr="009E0D4E" w:rsidRDefault="00612FD3" w:rsidP="009E0D4E">
            <w:pPr>
              <w:pStyle w:val="TableDataEntries"/>
            </w:pPr>
          </w:p>
        </w:tc>
        <w:tc>
          <w:tcPr>
            <w:tcW w:w="70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612FD3" w:rsidRPr="009E0D4E" w:rsidRDefault="00612FD3" w:rsidP="009E0D4E">
            <w:pPr>
              <w:pStyle w:val="TableDataEntries"/>
            </w:pPr>
          </w:p>
        </w:tc>
        <w:tc>
          <w:tcPr>
            <w:tcW w:w="70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612FD3" w:rsidRPr="009E0D4E" w:rsidRDefault="00612FD3" w:rsidP="009E0D4E">
            <w:pPr>
              <w:pStyle w:val="TableDataEntries"/>
            </w:pPr>
          </w:p>
        </w:tc>
        <w:tc>
          <w:tcPr>
            <w:tcW w:w="70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612FD3" w:rsidRPr="009E0D4E" w:rsidRDefault="00612FD3" w:rsidP="009E0D4E">
            <w:pPr>
              <w:pStyle w:val="TableDataEntries"/>
            </w:pPr>
          </w:p>
        </w:tc>
        <w:tc>
          <w:tcPr>
            <w:tcW w:w="70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612FD3" w:rsidRPr="009E0D4E" w:rsidRDefault="00612FD3" w:rsidP="009E0D4E">
            <w:pPr>
              <w:pStyle w:val="TableDataEntries"/>
            </w:pPr>
          </w:p>
        </w:tc>
        <w:tc>
          <w:tcPr>
            <w:tcW w:w="70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612FD3" w:rsidRPr="009E0D4E" w:rsidRDefault="00612FD3" w:rsidP="009E0D4E">
            <w:pPr>
              <w:pStyle w:val="TableDataEntries"/>
            </w:pPr>
          </w:p>
        </w:tc>
        <w:tc>
          <w:tcPr>
            <w:tcW w:w="70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612FD3" w:rsidRPr="009E0D4E" w:rsidRDefault="00612FD3" w:rsidP="009E0D4E">
            <w:pPr>
              <w:pStyle w:val="TableDataEntries"/>
            </w:pPr>
          </w:p>
        </w:tc>
        <w:tc>
          <w:tcPr>
            <w:tcW w:w="70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612FD3" w:rsidRPr="009E0D4E" w:rsidRDefault="00612FD3" w:rsidP="009E0D4E">
            <w:pPr>
              <w:pStyle w:val="TableDataEntries"/>
            </w:pPr>
          </w:p>
        </w:tc>
        <w:tc>
          <w:tcPr>
            <w:tcW w:w="70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612FD3" w:rsidRPr="009E0D4E" w:rsidRDefault="00612FD3" w:rsidP="009E0D4E">
            <w:pPr>
              <w:pStyle w:val="TableDataEntries"/>
            </w:pPr>
          </w:p>
        </w:tc>
      </w:tr>
      <w:tr w:rsidR="009E0D4E" w:rsidRPr="00E968E3" w:rsidTr="00301B6D">
        <w:trPr>
          <w:trHeight w:val="230"/>
        </w:trPr>
        <w:tc>
          <w:tcPr>
            <w:tcW w:w="155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9E0D4E" w:rsidRPr="00E968E3" w:rsidRDefault="009E0D4E" w:rsidP="009E0D4E">
            <w:pPr>
              <w:pStyle w:val="TableDataEntries"/>
              <w:jc w:val="left"/>
              <w:rPr>
                <w:lang w:val="en-GB"/>
              </w:rPr>
            </w:pPr>
            <w:r w:rsidRPr="00E968E3">
              <w:rPr>
                <w:lang w:val="en-GB"/>
              </w:rPr>
              <w:t>3% discount rate</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1 574.3</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1 446.7</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1 618.6</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322.5</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809.1</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43.5</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80.6</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112.6</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6 008.0</w:t>
            </w:r>
          </w:p>
        </w:tc>
      </w:tr>
      <w:tr w:rsidR="009E0D4E" w:rsidRPr="00E968E3" w:rsidTr="00301B6D">
        <w:trPr>
          <w:trHeight w:val="230"/>
        </w:trPr>
        <w:tc>
          <w:tcPr>
            <w:tcW w:w="1559" w:type="dxa"/>
            <w:tcBorders>
              <w:top w:val="single" w:sz="8" w:space="0" w:color="FFFFFF" w:themeColor="background1"/>
              <w:bottom w:val="single" w:sz="6" w:space="0" w:color="6F6652"/>
            </w:tcBorders>
            <w:shd w:val="clear" w:color="auto" w:fill="E9E8E5" w:themeFill="background2"/>
            <w:tcMar>
              <w:left w:w="57" w:type="dxa"/>
              <w:right w:w="57" w:type="dxa"/>
            </w:tcMar>
          </w:tcPr>
          <w:p w:rsidR="009E0D4E" w:rsidRPr="00E968E3" w:rsidRDefault="009E0D4E" w:rsidP="009E0D4E">
            <w:pPr>
              <w:pStyle w:val="TableDataEntries"/>
              <w:jc w:val="left"/>
              <w:rPr>
                <w:lang w:val="en-GB"/>
              </w:rPr>
            </w:pPr>
            <w:r w:rsidRPr="00E968E3">
              <w:rPr>
                <w:lang w:val="en-GB"/>
              </w:rPr>
              <w:t>10% discount rate</w:t>
            </w:r>
          </w:p>
        </w:tc>
        <w:tc>
          <w:tcPr>
            <w:tcW w:w="709"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444.7</w:t>
            </w:r>
          </w:p>
        </w:tc>
        <w:tc>
          <w:tcPr>
            <w:tcW w:w="709"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427.1</w:t>
            </w:r>
          </w:p>
        </w:tc>
        <w:tc>
          <w:tcPr>
            <w:tcW w:w="709"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506.4</w:t>
            </w:r>
          </w:p>
        </w:tc>
        <w:tc>
          <w:tcPr>
            <w:tcW w:w="709"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88.5</w:t>
            </w:r>
          </w:p>
        </w:tc>
        <w:tc>
          <w:tcPr>
            <w:tcW w:w="709"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230.8</w:t>
            </w:r>
          </w:p>
        </w:tc>
        <w:tc>
          <w:tcPr>
            <w:tcW w:w="709"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9.5</w:t>
            </w:r>
          </w:p>
        </w:tc>
        <w:tc>
          <w:tcPr>
            <w:tcW w:w="709"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21.6</w:t>
            </w:r>
          </w:p>
        </w:tc>
        <w:tc>
          <w:tcPr>
            <w:tcW w:w="709"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 xml:space="preserve"> 36.8</w:t>
            </w:r>
          </w:p>
        </w:tc>
        <w:tc>
          <w:tcPr>
            <w:tcW w:w="709"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rsidR="009E0D4E" w:rsidRPr="009E0D4E" w:rsidRDefault="009E0D4E" w:rsidP="009E0D4E">
            <w:pPr>
              <w:pStyle w:val="TableDataEntries"/>
            </w:pPr>
            <w:r w:rsidRPr="009E0D4E">
              <w:t>1 765.4</w:t>
            </w:r>
          </w:p>
        </w:tc>
      </w:tr>
    </w:tbl>
    <w:p w:rsidR="00612FD3" w:rsidRPr="00E968E3" w:rsidRDefault="00612FD3" w:rsidP="00612FD3">
      <w:pPr>
        <w:pStyle w:val="Note"/>
      </w:pPr>
      <w:r w:rsidRPr="00E968E3">
        <w:rPr>
          <w:i/>
        </w:rPr>
        <w:t>Note:</w:t>
      </w:r>
      <w:r w:rsidRPr="00E968E3">
        <w:t xml:space="preserve"> </w:t>
      </w:r>
      <w:r w:rsidR="00CA6CF4">
        <w:rPr>
          <w:lang w:bidi="fa-IR"/>
        </w:rPr>
        <w:t xml:space="preserve">Net impacts include the private benefits and costs to building owners/tenants and the global benefits from reduced GHG emissions. </w:t>
      </w:r>
      <w:r w:rsidRPr="00E968E3">
        <w:t>Costs and benefits estimated over 40 years life of commercial building construction over a ten</w:t>
      </w:r>
      <w:r w:rsidR="00D972FF">
        <w:noBreakHyphen/>
      </w:r>
      <w:r w:rsidRPr="00E968E3">
        <w:t xml:space="preserve">year regulatory period, using a discount rate </w:t>
      </w:r>
      <w:r w:rsidR="00C44715">
        <w:t>as shown in the table</w:t>
      </w:r>
      <w:r w:rsidRPr="00E968E3">
        <w:t>.</w:t>
      </w:r>
    </w:p>
    <w:p w:rsidR="00612FD3" w:rsidRPr="00E968E3" w:rsidRDefault="00612FD3" w:rsidP="00612FD3">
      <w:pPr>
        <w:pStyle w:val="Source"/>
      </w:pPr>
      <w:r w:rsidRPr="00E968E3">
        <w:rPr>
          <w:i/>
        </w:rPr>
        <w:t>Source:</w:t>
      </w:r>
      <w:r w:rsidRPr="00E968E3">
        <w:t xml:space="preserve"> CIE estimates based on </w:t>
      </w:r>
      <w:r w:rsidR="003F28DD">
        <w:t>EA</w:t>
      </w:r>
      <w:r w:rsidRPr="00E968E3">
        <w:t xml:space="preserve"> modelling.</w:t>
      </w:r>
    </w:p>
    <w:p w:rsidR="00612FD3" w:rsidRPr="005E105F" w:rsidRDefault="00773870" w:rsidP="00612FD3">
      <w:pPr>
        <w:pStyle w:val="Heading2"/>
        <w:numPr>
          <w:ilvl w:val="1"/>
          <w:numId w:val="5"/>
        </w:numPr>
      </w:pPr>
      <w:bookmarkStart w:id="4563" w:name="_Toc529869861"/>
      <w:bookmarkStart w:id="4564" w:name="_Toc530748579"/>
      <w:r w:rsidRPr="005E105F">
        <w:t>High level assessment of the non</w:t>
      </w:r>
      <w:r w:rsidRPr="005E105F">
        <w:noBreakHyphen/>
        <w:t>regulatory option</w:t>
      </w:r>
      <w:bookmarkEnd w:id="4563"/>
      <w:bookmarkEnd w:id="4564"/>
    </w:p>
    <w:p w:rsidR="00612FD3" w:rsidRPr="005E105F" w:rsidRDefault="00612FD3" w:rsidP="00612FD3">
      <w:pPr>
        <w:pStyle w:val="BodyText"/>
      </w:pPr>
      <w:r w:rsidRPr="005E105F">
        <w:t>The alternative option considered involves converting the proposed changes to the NCC into a non-regulatory handbook for industry to adopt. The handbook could potentially deliver better energy efficiency outcomes in commercial buildings by encouraging industry to make more energy efficient decisions</w:t>
      </w:r>
      <w:r w:rsidR="008B486B">
        <w:t xml:space="preserve"> in their own best interests</w:t>
      </w:r>
      <w:r w:rsidRPr="005E105F">
        <w:t>.</w:t>
      </w:r>
    </w:p>
    <w:p w:rsidR="00E14C8B" w:rsidRDefault="00E14C8B" w:rsidP="00612FD3">
      <w:pPr>
        <w:pStyle w:val="BodyText"/>
      </w:pPr>
      <w:r>
        <w:t>Options that encourage the voluntary uptake of energy efficiency opportunities have the advantage of reducing the risk of regulatory failure, such as forcing some buildings to over</w:t>
      </w:r>
      <w:r>
        <w:noBreakHyphen/>
        <w:t>invest in energy efficiency.</w:t>
      </w:r>
    </w:p>
    <w:p w:rsidR="00576964" w:rsidRDefault="00612FD3" w:rsidP="00612FD3">
      <w:pPr>
        <w:pStyle w:val="BodyText"/>
      </w:pPr>
      <w:r w:rsidRPr="005E105F">
        <w:t>The impact of this option would depend on the extent to which the handbook would encourage industry to improve the energy efficiency of commercial buildings.</w:t>
      </w:r>
      <w:r w:rsidR="00E14C8B">
        <w:t xml:space="preserve"> </w:t>
      </w:r>
      <w:r w:rsidR="00576964">
        <w:t xml:space="preserve">There is some evidence that </w:t>
      </w:r>
      <w:r w:rsidR="00D972FF">
        <w:t xml:space="preserve">measures focusing on information provision can encourage voluntary uptake of </w:t>
      </w:r>
      <w:r w:rsidR="00322697">
        <w:t>energy efficiency opportunities.</w:t>
      </w:r>
    </w:p>
    <w:p w:rsidR="00A81DE8" w:rsidRDefault="00A81DE8" w:rsidP="00A81DE8">
      <w:pPr>
        <w:pStyle w:val="ListBullet"/>
      </w:pPr>
      <w:r>
        <w:t xml:space="preserve">Data reported by NABERS shows that </w:t>
      </w:r>
      <w:r w:rsidR="00DE638E">
        <w:t>on average, buildings with multiple NABERS ratings reduce energy consumption and GHG emissions over time (chart </w:t>
      </w:r>
      <w:r w:rsidR="00025FD2">
        <w:rPr>
          <w:noProof/>
        </w:rPr>
        <w:fldChar w:fldCharType="begin"/>
      </w:r>
      <w:r w:rsidR="00025FD2">
        <w:rPr>
          <w:noProof/>
        </w:rPr>
        <w:instrText xml:space="preserve"> REF _Caption3323 </w:instrText>
      </w:r>
      <w:r w:rsidR="00025FD2">
        <w:rPr>
          <w:noProof/>
        </w:rPr>
        <w:fldChar w:fldCharType="separate"/>
      </w:r>
      <w:r w:rsidR="006B79B8" w:rsidRPr="007502CF">
        <w:rPr>
          <w:noProof/>
        </w:rPr>
        <w:t>8.25</w:t>
      </w:r>
      <w:r w:rsidR="00025FD2">
        <w:rPr>
          <w:noProof/>
        </w:rPr>
        <w:fldChar w:fldCharType="end"/>
      </w:r>
      <w:r w:rsidR="00DE638E">
        <w:t>).</w:t>
      </w:r>
    </w:p>
    <w:p w:rsidR="00DE638E" w:rsidRDefault="00DE638E" w:rsidP="00A81DE8">
      <w:pPr>
        <w:pStyle w:val="ListBullet"/>
      </w:pPr>
      <w:r>
        <w:t xml:space="preserve">A review </w:t>
      </w:r>
      <w:r w:rsidR="00B50030">
        <w:t>found that</w:t>
      </w:r>
      <w:r>
        <w:t xml:space="preserve"> the CBD program </w:t>
      </w:r>
      <w:r w:rsidR="00B50030">
        <w:t>had encouraged greater uptake of energy efficiency opportunities and had delivered net benefits to the community of around $44 million in net present value terms in the period between 2010 and 2014.</w:t>
      </w:r>
      <w:r w:rsidR="00B50030">
        <w:rPr>
          <w:rStyle w:val="FootnoteReference"/>
        </w:rPr>
        <w:footnoteReference w:id="67"/>
      </w:r>
    </w:p>
    <w:p w:rsidR="00A81DE8" w:rsidRPr="007502CF" w:rsidRDefault="00A81DE8" w:rsidP="00B50030">
      <w:pPr>
        <w:pStyle w:val="Caption"/>
      </w:pPr>
      <w:r w:rsidRPr="007502CF">
        <w:fldChar w:fldCharType="begin"/>
      </w:r>
      <w:r w:rsidRPr="007502CF">
        <w:instrText xml:space="preserve"> IF 1 = 1 "</w:instrText>
      </w:r>
      <w:r w:rsidRPr="007502CF">
        <w:fldChar w:fldCharType="begin"/>
      </w:r>
      <w:r w:rsidRPr="007502CF">
        <w:instrText xml:space="preserve"> IF </w:instrText>
      </w:r>
      <w:r w:rsidRPr="007502CF">
        <w:rPr>
          <w:noProof/>
        </w:rPr>
        <w:fldChar w:fldCharType="begin"/>
      </w:r>
      <w:r w:rsidRPr="007502CF">
        <w:rPr>
          <w:noProof/>
        </w:rPr>
        <w:instrText xml:space="preserve"> STYLEREF "Heading 6" \l \n </w:instrText>
      </w:r>
      <w:r w:rsidRPr="007502CF">
        <w:rPr>
          <w:noProof/>
        </w:rPr>
        <w:fldChar w:fldCharType="separate"/>
      </w:r>
      <w:r w:rsidR="00B833F1">
        <w:rPr>
          <w:noProof/>
        </w:rPr>
        <w:instrText>0</w:instrText>
      </w:r>
      <w:r w:rsidRPr="007502CF">
        <w:rPr>
          <w:noProof/>
        </w:rPr>
        <w:fldChar w:fldCharType="end"/>
      </w:r>
      <w:r w:rsidRPr="007502CF">
        <w:instrText xml:space="preserve"> = 0 "</w:instrText>
      </w:r>
      <w:r w:rsidRPr="007502CF">
        <w:fldChar w:fldCharType="begin"/>
      </w:r>
      <w:r w:rsidRPr="007502CF">
        <w:instrText xml:space="preserve"> IF </w:instrText>
      </w:r>
      <w:r w:rsidR="00E14C8B" w:rsidRPr="007502CF">
        <w:rPr>
          <w:noProof/>
        </w:rPr>
        <w:fldChar w:fldCharType="begin"/>
      </w:r>
      <w:r w:rsidR="00E14C8B" w:rsidRPr="007502CF">
        <w:rPr>
          <w:noProof/>
        </w:rPr>
        <w:instrText xml:space="preserve"> STYLEREF "Heading 1" \l \n </w:instrText>
      </w:r>
      <w:r w:rsidR="00E14C8B" w:rsidRPr="007502CF">
        <w:rPr>
          <w:noProof/>
        </w:rPr>
        <w:fldChar w:fldCharType="separate"/>
      </w:r>
      <w:r w:rsidR="00B833F1">
        <w:rPr>
          <w:noProof/>
        </w:rPr>
        <w:instrText>8</w:instrText>
      </w:r>
      <w:r w:rsidR="00E14C8B" w:rsidRPr="007502CF">
        <w:rPr>
          <w:noProof/>
        </w:rPr>
        <w:fldChar w:fldCharType="end"/>
      </w:r>
      <w:r w:rsidRPr="007502CF">
        <w:instrText xml:space="preserve"> = 0 "" "</w:instrText>
      </w:r>
      <w:r w:rsidR="00E14C8B" w:rsidRPr="007502CF">
        <w:rPr>
          <w:noProof/>
        </w:rPr>
        <w:fldChar w:fldCharType="begin"/>
      </w:r>
      <w:r w:rsidR="00E14C8B" w:rsidRPr="007502CF">
        <w:rPr>
          <w:noProof/>
        </w:rPr>
        <w:instrText xml:space="preserve"> STYLEREF "Heading 1" \l \n </w:instrText>
      </w:r>
      <w:r w:rsidR="00E14C8B" w:rsidRPr="007502CF">
        <w:rPr>
          <w:noProof/>
        </w:rPr>
        <w:fldChar w:fldCharType="separate"/>
      </w:r>
      <w:r w:rsidR="00B833F1">
        <w:rPr>
          <w:noProof/>
        </w:rPr>
        <w:instrText>8</w:instrText>
      </w:r>
      <w:r w:rsidR="00E14C8B" w:rsidRPr="007502CF">
        <w:rPr>
          <w:noProof/>
        </w:rPr>
        <w:fldChar w:fldCharType="end"/>
      </w:r>
      <w:r w:rsidRPr="007502CF">
        <w:instrText xml:space="preserve">." </w:instrText>
      </w:r>
      <w:r w:rsidRPr="007502CF">
        <w:fldChar w:fldCharType="separate"/>
      </w:r>
      <w:r w:rsidR="00B833F1">
        <w:rPr>
          <w:noProof/>
        </w:rPr>
        <w:instrText>8</w:instrText>
      </w:r>
      <w:r w:rsidR="00B833F1" w:rsidRPr="007502CF">
        <w:rPr>
          <w:noProof/>
        </w:rPr>
        <w:instrText>.</w:instrText>
      </w:r>
      <w:r w:rsidRPr="007502CF">
        <w:fldChar w:fldCharType="end"/>
      </w:r>
      <w:r w:rsidRPr="007502CF">
        <w:instrText>" "</w:instrText>
      </w:r>
      <w:r w:rsidRPr="007502CF">
        <w:rPr>
          <w:noProof/>
        </w:rPr>
        <w:fldChar w:fldCharType="begin"/>
      </w:r>
      <w:r w:rsidRPr="007502CF">
        <w:rPr>
          <w:noProof/>
        </w:rPr>
        <w:instrText xml:space="preserve"> STYLEREF "Heading 6" \l \n </w:instrText>
      </w:r>
      <w:r w:rsidRPr="007502CF">
        <w:rPr>
          <w:noProof/>
        </w:rPr>
        <w:fldChar w:fldCharType="separate"/>
      </w:r>
      <w:r w:rsidRPr="007502CF">
        <w:rPr>
          <w:noProof/>
        </w:rPr>
        <w:instrText>A</w:instrText>
      </w:r>
      <w:r w:rsidRPr="007502CF">
        <w:rPr>
          <w:noProof/>
        </w:rPr>
        <w:fldChar w:fldCharType="end"/>
      </w:r>
      <w:r w:rsidRPr="007502CF">
        <w:instrText xml:space="preserve">." </w:instrText>
      </w:r>
      <w:r w:rsidRPr="007502CF">
        <w:fldChar w:fldCharType="separate"/>
      </w:r>
      <w:r w:rsidR="00EA42ED">
        <w:rPr>
          <w:noProof/>
        </w:rPr>
        <w:instrText>8</w:instrText>
      </w:r>
      <w:r w:rsidR="00EA42ED" w:rsidRPr="007502CF">
        <w:rPr>
          <w:noProof/>
        </w:rPr>
        <w:instrText>.</w:instrText>
      </w:r>
      <w:r w:rsidRPr="007502CF">
        <w:fldChar w:fldCharType="end"/>
      </w:r>
      <w:r w:rsidRPr="007502CF">
        <w:fldChar w:fldCharType="begin"/>
      </w:r>
      <w:r w:rsidRPr="007502CF">
        <w:instrText xml:space="preserve"> SEQ Item \* ARABIC \s </w:instrText>
      </w:r>
      <w:r w:rsidRPr="007502CF">
        <w:fldChar w:fldCharType="begin"/>
      </w:r>
      <w:r w:rsidRPr="007502CF">
        <w:instrText xml:space="preserve"> IF </w:instrText>
      </w:r>
      <w:r w:rsidRPr="007502CF">
        <w:rPr>
          <w:noProof/>
        </w:rPr>
        <w:fldChar w:fldCharType="begin"/>
      </w:r>
      <w:r w:rsidRPr="007502CF">
        <w:rPr>
          <w:noProof/>
        </w:rPr>
        <w:instrText xml:space="preserve"> STYLEREF "Heading 6" \l \n </w:instrText>
      </w:r>
      <w:r w:rsidRPr="007502CF">
        <w:rPr>
          <w:noProof/>
        </w:rPr>
        <w:fldChar w:fldCharType="separate"/>
      </w:r>
      <w:r w:rsidR="00B833F1">
        <w:rPr>
          <w:noProof/>
        </w:rPr>
        <w:instrText>0</w:instrText>
      </w:r>
      <w:r w:rsidRPr="007502CF">
        <w:rPr>
          <w:noProof/>
        </w:rPr>
        <w:fldChar w:fldCharType="end"/>
      </w:r>
      <w:r w:rsidRPr="007502CF">
        <w:instrText xml:space="preserve"> = 0 "</w:instrText>
      </w:r>
      <w:r w:rsidRPr="007502CF">
        <w:fldChar w:fldCharType="begin"/>
      </w:r>
      <w:r w:rsidRPr="007502CF">
        <w:instrText xml:space="preserve"> IF </w:instrText>
      </w:r>
      <w:r w:rsidR="00E14C8B" w:rsidRPr="007502CF">
        <w:rPr>
          <w:noProof/>
        </w:rPr>
        <w:fldChar w:fldCharType="begin"/>
      </w:r>
      <w:r w:rsidR="00E14C8B" w:rsidRPr="007502CF">
        <w:rPr>
          <w:noProof/>
        </w:rPr>
        <w:instrText xml:space="preserve"> STYLEREF "Heading 1" \l \n </w:instrText>
      </w:r>
      <w:r w:rsidR="00E14C8B" w:rsidRPr="007502CF">
        <w:rPr>
          <w:noProof/>
        </w:rPr>
        <w:fldChar w:fldCharType="separate"/>
      </w:r>
      <w:r w:rsidR="00B833F1">
        <w:rPr>
          <w:noProof/>
        </w:rPr>
        <w:instrText>8</w:instrText>
      </w:r>
      <w:r w:rsidR="00E14C8B" w:rsidRPr="007502CF">
        <w:rPr>
          <w:noProof/>
        </w:rPr>
        <w:fldChar w:fldCharType="end"/>
      </w:r>
      <w:r w:rsidRPr="007502CF">
        <w:instrText xml:space="preserve"> = 0 "" "1" </w:instrText>
      </w:r>
      <w:r w:rsidRPr="007502CF">
        <w:fldChar w:fldCharType="separate"/>
      </w:r>
      <w:r w:rsidR="00EA42ED" w:rsidRPr="007502CF">
        <w:rPr>
          <w:noProof/>
        </w:rPr>
        <w:instrText>1</w:instrText>
      </w:r>
      <w:r w:rsidRPr="007502CF">
        <w:fldChar w:fldCharType="end"/>
      </w:r>
      <w:r w:rsidRPr="007502CF">
        <w:instrText xml:space="preserve">" "6" </w:instrText>
      </w:r>
      <w:r w:rsidRPr="007502CF">
        <w:fldChar w:fldCharType="separate"/>
      </w:r>
      <w:r w:rsidR="00EA42ED" w:rsidRPr="007502CF">
        <w:rPr>
          <w:noProof/>
        </w:rPr>
        <w:instrText>1</w:instrText>
      </w:r>
      <w:r w:rsidRPr="007502CF">
        <w:fldChar w:fldCharType="end"/>
      </w:r>
      <w:r w:rsidRPr="007502CF">
        <w:instrText xml:space="preserve"> </w:instrText>
      </w:r>
      <w:r w:rsidRPr="007502CF">
        <w:fldChar w:fldCharType="separate"/>
      </w:r>
      <w:r w:rsidR="00B833F1">
        <w:rPr>
          <w:noProof/>
        </w:rPr>
        <w:instrText>25</w:instrText>
      </w:r>
      <w:r w:rsidRPr="007502CF">
        <w:fldChar w:fldCharType="end"/>
      </w:r>
      <w:r w:rsidRPr="007502CF">
        <w:instrText xml:space="preserve">" "" </w:instrText>
      </w:r>
      <w:r w:rsidRPr="007502CF">
        <w:fldChar w:fldCharType="separate"/>
      </w:r>
      <w:bookmarkStart w:id="4565" w:name="_Caption8676"/>
      <w:bookmarkStart w:id="4566" w:name="_Caption8542"/>
      <w:bookmarkStart w:id="4567" w:name="_Caption1509"/>
      <w:bookmarkStart w:id="4568" w:name="_Caption8194"/>
      <w:bookmarkStart w:id="4569" w:name="_Caption0969"/>
      <w:bookmarkStart w:id="4570" w:name="_Caption7445"/>
      <w:bookmarkStart w:id="4571" w:name="_Caption5501"/>
      <w:bookmarkStart w:id="4572" w:name="_Caption0210"/>
      <w:bookmarkStart w:id="4573" w:name="_Caption3323"/>
      <w:bookmarkStart w:id="4574" w:name="_Caption8985"/>
      <w:bookmarkStart w:id="4575" w:name="_Caption4750"/>
      <w:bookmarkStart w:id="4576" w:name="_Caption3564"/>
      <w:bookmarkStart w:id="4577" w:name="_Caption5436"/>
      <w:bookmarkStart w:id="4578" w:name="_Caption0988"/>
      <w:bookmarkStart w:id="4579" w:name="_Caption5828"/>
      <w:bookmarkStart w:id="4580" w:name="_Caption9280"/>
      <w:bookmarkStart w:id="4581" w:name="_Caption4159"/>
      <w:bookmarkStart w:id="4582" w:name="_Caption3304"/>
      <w:bookmarkStart w:id="4583" w:name="_Caption3781"/>
      <w:bookmarkStart w:id="4584" w:name="_Caption4151"/>
      <w:bookmarkStart w:id="4585" w:name="_Caption1111"/>
      <w:bookmarkStart w:id="4586" w:name="_Caption4946"/>
      <w:bookmarkStart w:id="4587" w:name="_Caption6879"/>
      <w:bookmarkStart w:id="4588" w:name="_Caption8211"/>
      <w:bookmarkStart w:id="4589" w:name="_Caption7610"/>
      <w:bookmarkStart w:id="4590" w:name="_Toc529869964"/>
      <w:bookmarkStart w:id="4591" w:name="_Toc530748460"/>
      <w:r w:rsidR="00EA42ED">
        <w:rPr>
          <w:noProof/>
        </w:rPr>
        <w:t>8</w:t>
      </w:r>
      <w:r w:rsidR="00EA42ED" w:rsidRPr="007502CF">
        <w:rPr>
          <w:noProof/>
        </w:rPr>
        <w:t>.</w:t>
      </w:r>
      <w:r w:rsidR="00EA42ED">
        <w:rPr>
          <w:noProof/>
        </w:rPr>
        <w:t>25</w:t>
      </w:r>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r w:rsidRPr="007502CF">
        <w:fldChar w:fldCharType="end"/>
      </w:r>
      <w:r w:rsidRPr="007502CF">
        <w:tab/>
        <w:t>Change in energy consumption and GHG emissions from first NABERS rating</w:t>
      </w:r>
      <w:bookmarkEnd w:id="4590"/>
      <w:bookmarkEnd w:id="4591"/>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8"/>
      </w:tblGrid>
      <w:tr w:rsidR="00A81DE8" w:rsidTr="00B50030">
        <w:trPr>
          <w:cantSplit/>
        </w:trPr>
        <w:tc>
          <w:tcPr>
            <w:tcW w:w="7938" w:type="dxa"/>
            <w:shd w:val="clear" w:color="auto" w:fill="E9E8E5" w:themeFill="background2"/>
          </w:tcPr>
          <w:p w:rsidR="00A81DE8" w:rsidRDefault="00A81DE8" w:rsidP="00B50030">
            <w:pPr>
              <w:pStyle w:val="Chart"/>
            </w:pPr>
            <w:r w:rsidRPr="00A81DE8">
              <w:rPr>
                <w:noProof/>
                <w:lang w:eastAsia="en-AU"/>
              </w:rPr>
              <w:drawing>
                <wp:inline distT="0" distB="0" distL="0" distR="0" wp14:anchorId="2AA39182" wp14:editId="322A8AA3">
                  <wp:extent cx="5041900" cy="2438400"/>
                  <wp:effectExtent l="0" t="0" r="0" b="0"/>
                  <wp:docPr id="36" name="Picture 36" descr="The chart shows energy savings and GHG emission reduction in percentage terms of consecutive ratings from the first rating. The reduction from the second rating is around 5 per cent, gradually increase to 35 per cent (for energy saving) and 45 per cent (for emissions reduction) with the 12th rating." title="Chart 8.25: Change in energy consumption and GHG emissions from first NABERS r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41900" cy="2438400"/>
                          </a:xfrm>
                          <a:prstGeom prst="rect">
                            <a:avLst/>
                          </a:prstGeom>
                          <a:noFill/>
                          <a:ln>
                            <a:noFill/>
                          </a:ln>
                        </pic:spPr>
                      </pic:pic>
                    </a:graphicData>
                  </a:graphic>
                </wp:inline>
              </w:drawing>
            </w:r>
          </w:p>
        </w:tc>
      </w:tr>
    </w:tbl>
    <w:p w:rsidR="00A81DE8" w:rsidRDefault="00A81DE8" w:rsidP="00B50030">
      <w:pPr>
        <w:pStyle w:val="Source"/>
      </w:pPr>
      <w:r>
        <w:rPr>
          <w:i/>
        </w:rPr>
        <w:t>Data source</w:t>
      </w:r>
      <w:r w:rsidRPr="00A67576">
        <w:rPr>
          <w:i/>
        </w:rPr>
        <w:t>:</w:t>
      </w:r>
      <w:r>
        <w:t xml:space="preserve"> NABERS Annual Report, 2017/18, p. 25.</w:t>
      </w:r>
    </w:p>
    <w:p w:rsidR="00A81DE8" w:rsidRDefault="00B50030" w:rsidP="00612FD3">
      <w:pPr>
        <w:pStyle w:val="BodyText"/>
      </w:pPr>
      <w:r>
        <w:t xml:space="preserve">That said, </w:t>
      </w:r>
      <w:r w:rsidR="00024879">
        <w:t>the voluntary uptake of NABERS energy ratings has been mixed across sectors (chart </w:t>
      </w:r>
      <w:r w:rsidR="00025FD2">
        <w:rPr>
          <w:noProof/>
        </w:rPr>
        <w:fldChar w:fldCharType="begin"/>
      </w:r>
      <w:r w:rsidR="00025FD2">
        <w:rPr>
          <w:noProof/>
        </w:rPr>
        <w:instrText xml:space="preserve"> REF _Caption2429 </w:instrText>
      </w:r>
      <w:r w:rsidR="00025FD2">
        <w:rPr>
          <w:noProof/>
        </w:rPr>
        <w:fldChar w:fldCharType="separate"/>
      </w:r>
      <w:r w:rsidR="006B79B8" w:rsidRPr="007502CF">
        <w:rPr>
          <w:noProof/>
        </w:rPr>
        <w:t>8.26</w:t>
      </w:r>
      <w:r w:rsidR="00025FD2">
        <w:rPr>
          <w:noProof/>
        </w:rPr>
        <w:fldChar w:fldCharType="end"/>
      </w:r>
      <w:r w:rsidR="00024879">
        <w:t>).</w:t>
      </w:r>
    </w:p>
    <w:p w:rsidR="005A39F1" w:rsidRDefault="006474F4" w:rsidP="002B3C0A">
      <w:pPr>
        <w:pStyle w:val="ListBullet"/>
      </w:pPr>
      <w:r>
        <w:t xml:space="preserve">Around 86 per cent of office floor space had a NABERS </w:t>
      </w:r>
      <w:r w:rsidR="00214A87">
        <w:t>E</w:t>
      </w:r>
      <w:r>
        <w:t>nergy rating in 2017/18.</w:t>
      </w:r>
      <w:r w:rsidR="005A39F1">
        <w:t xml:space="preserve"> However, uptake has to a significant extent been driven by policy requirements.</w:t>
      </w:r>
    </w:p>
    <w:p w:rsidR="005A39F1" w:rsidRDefault="005A39F1" w:rsidP="002B3C0A">
      <w:pPr>
        <w:pStyle w:val="ListBullet2"/>
      </w:pPr>
      <w:r>
        <w:t>Market uptake of NABERS</w:t>
      </w:r>
      <w:r w:rsidR="00537C50">
        <w:t xml:space="preserve"> </w:t>
      </w:r>
      <w:r w:rsidR="00214A87">
        <w:t>E</w:t>
      </w:r>
      <w:r w:rsidR="00E14C8B">
        <w:t xml:space="preserve">nergy </w:t>
      </w:r>
      <w:r>
        <w:t xml:space="preserve">ratings </w:t>
      </w:r>
      <w:r w:rsidR="00E14C8B">
        <w:t xml:space="preserve">for office buildings </w:t>
      </w:r>
      <w:r>
        <w:t xml:space="preserve">was initially limited. </w:t>
      </w:r>
    </w:p>
    <w:p w:rsidR="005A39F1" w:rsidRDefault="005A39F1" w:rsidP="002B3C0A">
      <w:pPr>
        <w:pStyle w:val="ListBullet2"/>
      </w:pPr>
      <w:r>
        <w:t>The introduction of requirements for all government owned and leased office spaces first by the NSW Government (in 2003</w:t>
      </w:r>
      <w:r>
        <w:noBreakHyphen/>
        <w:t>04) and then the Commonwealth Government (in 2006</w:t>
      </w:r>
      <w:r>
        <w:noBreakHyphen/>
        <w:t>07) increased the number of ratings</w:t>
      </w:r>
      <w:r w:rsidR="000A6224">
        <w:t xml:space="preserve">. </w:t>
      </w:r>
      <w:r w:rsidR="00E64509">
        <w:t xml:space="preserve">It is understood that </w:t>
      </w:r>
      <w:r w:rsidR="000A6224">
        <w:t>Vic</w:t>
      </w:r>
      <w:r w:rsidR="00840134">
        <w:t>toria</w:t>
      </w:r>
      <w:r w:rsidR="00E64509">
        <w:t>, S</w:t>
      </w:r>
      <w:r w:rsidR="00840134">
        <w:t xml:space="preserve">outh </w:t>
      </w:r>
      <w:r w:rsidR="00E64509">
        <w:t>A</w:t>
      </w:r>
      <w:r w:rsidR="00840134">
        <w:t>ustralia</w:t>
      </w:r>
      <w:r w:rsidR="00E64509">
        <w:t xml:space="preserve">, ACT </w:t>
      </w:r>
      <w:r w:rsidR="000A6224">
        <w:t>a</w:t>
      </w:r>
      <w:r w:rsidR="00E64509">
        <w:t>n</w:t>
      </w:r>
      <w:r w:rsidR="000A6224">
        <w:t>d T</w:t>
      </w:r>
      <w:r w:rsidR="00840134">
        <w:t>asmania</w:t>
      </w:r>
      <w:r w:rsidR="000A6224">
        <w:t xml:space="preserve"> have also since introduced a similar requirement</w:t>
      </w:r>
      <w:r w:rsidR="00E64509">
        <w:t>s</w:t>
      </w:r>
      <w:r>
        <w:t>.</w:t>
      </w:r>
    </w:p>
    <w:p w:rsidR="005A39F1" w:rsidRDefault="005A39F1" w:rsidP="005A39F1">
      <w:pPr>
        <w:pStyle w:val="ListBullet2"/>
      </w:pPr>
      <w:r>
        <w:t>The CBD Program has been the key driver of uptake.</w:t>
      </w:r>
    </w:p>
    <w:p w:rsidR="006474F4" w:rsidRDefault="005A39F1" w:rsidP="002B3C0A">
      <w:pPr>
        <w:pStyle w:val="ListBullet3"/>
      </w:pPr>
      <w:r>
        <w:t>There was a sharp increase in the number of office building energy ratings following the introduction of the CBD Program in 2009</w:t>
      </w:r>
      <w:r>
        <w:noBreakHyphen/>
        <w:t>10.</w:t>
      </w:r>
    </w:p>
    <w:p w:rsidR="005A39F1" w:rsidRDefault="005A39F1" w:rsidP="002B3C0A">
      <w:pPr>
        <w:pStyle w:val="ListBullet3"/>
      </w:pPr>
      <w:r>
        <w:t>The number of office building energy ratings also increased in 2017</w:t>
      </w:r>
      <w:r>
        <w:noBreakHyphen/>
        <w:t>18, when the threshold was reduced from 2000 m</w:t>
      </w:r>
      <w:r w:rsidRPr="002B3C0A">
        <w:rPr>
          <w:vertAlign w:val="superscript"/>
        </w:rPr>
        <w:t>2</w:t>
      </w:r>
      <w:r>
        <w:t xml:space="preserve"> to 1000 m</w:t>
      </w:r>
      <w:r w:rsidRPr="002B3C0A">
        <w:rPr>
          <w:vertAlign w:val="superscript"/>
        </w:rPr>
        <w:t>2</w:t>
      </w:r>
      <w:r>
        <w:t>.</w:t>
      </w:r>
    </w:p>
    <w:p w:rsidR="006474F4" w:rsidRDefault="006474F4" w:rsidP="002B3C0A">
      <w:pPr>
        <w:pStyle w:val="ListBullet"/>
      </w:pPr>
      <w:r>
        <w:t>Around 46 per cent of shopping centres with a floor area larger than 15 000 m</w:t>
      </w:r>
      <w:r w:rsidRPr="004E29E3">
        <w:rPr>
          <w:vertAlign w:val="superscript"/>
        </w:rPr>
        <w:t>2</w:t>
      </w:r>
      <w:r>
        <w:t xml:space="preserve"> had a NABERS </w:t>
      </w:r>
      <w:r w:rsidR="00214A87">
        <w:t>E</w:t>
      </w:r>
      <w:r>
        <w:t>nergy rating in 2017</w:t>
      </w:r>
      <w:r>
        <w:noBreakHyphen/>
        <w:t>18.</w:t>
      </w:r>
    </w:p>
    <w:p w:rsidR="00A81DE8" w:rsidRDefault="006474F4" w:rsidP="002B3C0A">
      <w:pPr>
        <w:pStyle w:val="ListBullet"/>
      </w:pPr>
      <w:r>
        <w:t>A NABERS rating tool for hotels has been available since 2008</w:t>
      </w:r>
      <w:r>
        <w:noBreakHyphen/>
        <w:t>09; however, uptake has been limited and has declined in recent years.</w:t>
      </w:r>
    </w:p>
    <w:p w:rsidR="006474F4" w:rsidRDefault="006474F4" w:rsidP="002B3C0A">
      <w:pPr>
        <w:pStyle w:val="ListBullet"/>
      </w:pPr>
      <w:r>
        <w:t>NABERS rating tools for public hospitals and data centres are relatively new.</w:t>
      </w:r>
    </w:p>
    <w:p w:rsidR="00024879" w:rsidRPr="007502CF" w:rsidRDefault="00024879" w:rsidP="005A39F1">
      <w:pPr>
        <w:pStyle w:val="Caption"/>
      </w:pPr>
      <w:r w:rsidRPr="007502CF">
        <w:fldChar w:fldCharType="begin"/>
      </w:r>
      <w:r w:rsidRPr="007502CF">
        <w:instrText xml:space="preserve"> IF 1 = 1 "</w:instrText>
      </w:r>
      <w:r w:rsidRPr="007502CF">
        <w:fldChar w:fldCharType="begin"/>
      </w:r>
      <w:r w:rsidRPr="007502CF">
        <w:instrText xml:space="preserve"> IF </w:instrText>
      </w:r>
      <w:r w:rsidRPr="007502CF">
        <w:rPr>
          <w:noProof/>
        </w:rPr>
        <w:fldChar w:fldCharType="begin"/>
      </w:r>
      <w:r w:rsidRPr="007502CF">
        <w:rPr>
          <w:noProof/>
        </w:rPr>
        <w:instrText xml:space="preserve"> STYLEREF "Heading 6" \l \n </w:instrText>
      </w:r>
      <w:r w:rsidRPr="007502CF">
        <w:rPr>
          <w:noProof/>
        </w:rPr>
        <w:fldChar w:fldCharType="separate"/>
      </w:r>
      <w:r w:rsidR="00B833F1">
        <w:rPr>
          <w:noProof/>
        </w:rPr>
        <w:instrText>0</w:instrText>
      </w:r>
      <w:r w:rsidRPr="007502CF">
        <w:rPr>
          <w:noProof/>
        </w:rPr>
        <w:fldChar w:fldCharType="end"/>
      </w:r>
      <w:r w:rsidRPr="007502CF">
        <w:instrText xml:space="preserve"> = 0 "</w:instrText>
      </w:r>
      <w:r w:rsidRPr="007502CF">
        <w:fldChar w:fldCharType="begin"/>
      </w:r>
      <w:r w:rsidRPr="007502CF">
        <w:instrText xml:space="preserve"> IF </w:instrText>
      </w:r>
      <w:r w:rsidR="00E14C8B" w:rsidRPr="007502CF">
        <w:rPr>
          <w:noProof/>
        </w:rPr>
        <w:fldChar w:fldCharType="begin"/>
      </w:r>
      <w:r w:rsidR="00E14C8B" w:rsidRPr="007502CF">
        <w:rPr>
          <w:noProof/>
        </w:rPr>
        <w:instrText xml:space="preserve"> STYLEREF "Heading 1" \l \n </w:instrText>
      </w:r>
      <w:r w:rsidR="00E14C8B" w:rsidRPr="007502CF">
        <w:rPr>
          <w:noProof/>
        </w:rPr>
        <w:fldChar w:fldCharType="separate"/>
      </w:r>
      <w:r w:rsidR="00B833F1">
        <w:rPr>
          <w:noProof/>
        </w:rPr>
        <w:instrText>8</w:instrText>
      </w:r>
      <w:r w:rsidR="00E14C8B" w:rsidRPr="007502CF">
        <w:rPr>
          <w:noProof/>
        </w:rPr>
        <w:fldChar w:fldCharType="end"/>
      </w:r>
      <w:r w:rsidRPr="007502CF">
        <w:instrText xml:space="preserve"> = 0 "" "</w:instrText>
      </w:r>
      <w:r w:rsidR="00E14C8B" w:rsidRPr="007502CF">
        <w:rPr>
          <w:noProof/>
        </w:rPr>
        <w:fldChar w:fldCharType="begin"/>
      </w:r>
      <w:r w:rsidR="00E14C8B" w:rsidRPr="007502CF">
        <w:rPr>
          <w:noProof/>
        </w:rPr>
        <w:instrText xml:space="preserve"> STYLEREF "Heading 1" \l \n </w:instrText>
      </w:r>
      <w:r w:rsidR="00E14C8B" w:rsidRPr="007502CF">
        <w:rPr>
          <w:noProof/>
        </w:rPr>
        <w:fldChar w:fldCharType="separate"/>
      </w:r>
      <w:r w:rsidR="00B833F1">
        <w:rPr>
          <w:noProof/>
        </w:rPr>
        <w:instrText>8</w:instrText>
      </w:r>
      <w:r w:rsidR="00E14C8B" w:rsidRPr="007502CF">
        <w:rPr>
          <w:noProof/>
        </w:rPr>
        <w:fldChar w:fldCharType="end"/>
      </w:r>
      <w:r w:rsidRPr="007502CF">
        <w:instrText xml:space="preserve">." </w:instrText>
      </w:r>
      <w:r w:rsidRPr="007502CF">
        <w:fldChar w:fldCharType="separate"/>
      </w:r>
      <w:r w:rsidR="00B833F1">
        <w:rPr>
          <w:noProof/>
        </w:rPr>
        <w:instrText>8</w:instrText>
      </w:r>
      <w:r w:rsidR="00B833F1" w:rsidRPr="007502CF">
        <w:rPr>
          <w:noProof/>
        </w:rPr>
        <w:instrText>.</w:instrText>
      </w:r>
      <w:r w:rsidRPr="007502CF">
        <w:fldChar w:fldCharType="end"/>
      </w:r>
      <w:r w:rsidRPr="007502CF">
        <w:instrText>" "</w:instrText>
      </w:r>
      <w:r w:rsidRPr="007502CF">
        <w:rPr>
          <w:noProof/>
        </w:rPr>
        <w:fldChar w:fldCharType="begin"/>
      </w:r>
      <w:r w:rsidRPr="007502CF">
        <w:rPr>
          <w:noProof/>
        </w:rPr>
        <w:instrText xml:space="preserve"> STYLEREF "Heading 6" \l \n </w:instrText>
      </w:r>
      <w:r w:rsidRPr="007502CF">
        <w:rPr>
          <w:noProof/>
        </w:rPr>
        <w:fldChar w:fldCharType="separate"/>
      </w:r>
      <w:r w:rsidRPr="007502CF">
        <w:rPr>
          <w:noProof/>
        </w:rPr>
        <w:instrText>A</w:instrText>
      </w:r>
      <w:r w:rsidRPr="007502CF">
        <w:rPr>
          <w:noProof/>
        </w:rPr>
        <w:fldChar w:fldCharType="end"/>
      </w:r>
      <w:r w:rsidRPr="007502CF">
        <w:instrText xml:space="preserve">." </w:instrText>
      </w:r>
      <w:r w:rsidRPr="007502CF">
        <w:fldChar w:fldCharType="separate"/>
      </w:r>
      <w:r w:rsidR="00EA42ED">
        <w:rPr>
          <w:noProof/>
        </w:rPr>
        <w:instrText>8</w:instrText>
      </w:r>
      <w:r w:rsidR="00EA42ED" w:rsidRPr="007502CF">
        <w:rPr>
          <w:noProof/>
        </w:rPr>
        <w:instrText>.</w:instrText>
      </w:r>
      <w:r w:rsidRPr="007502CF">
        <w:fldChar w:fldCharType="end"/>
      </w:r>
      <w:r w:rsidRPr="007502CF">
        <w:fldChar w:fldCharType="begin"/>
      </w:r>
      <w:r w:rsidRPr="007502CF">
        <w:instrText xml:space="preserve"> SEQ Item \* ARABIC \s </w:instrText>
      </w:r>
      <w:r w:rsidRPr="007502CF">
        <w:fldChar w:fldCharType="begin"/>
      </w:r>
      <w:r w:rsidRPr="007502CF">
        <w:instrText xml:space="preserve"> IF </w:instrText>
      </w:r>
      <w:r w:rsidRPr="007502CF">
        <w:rPr>
          <w:noProof/>
        </w:rPr>
        <w:fldChar w:fldCharType="begin"/>
      </w:r>
      <w:r w:rsidRPr="007502CF">
        <w:rPr>
          <w:noProof/>
        </w:rPr>
        <w:instrText xml:space="preserve"> STYLEREF "Heading 6" \l \n </w:instrText>
      </w:r>
      <w:r w:rsidRPr="007502CF">
        <w:rPr>
          <w:noProof/>
        </w:rPr>
        <w:fldChar w:fldCharType="separate"/>
      </w:r>
      <w:r w:rsidR="00B833F1">
        <w:rPr>
          <w:noProof/>
        </w:rPr>
        <w:instrText>0</w:instrText>
      </w:r>
      <w:r w:rsidRPr="007502CF">
        <w:rPr>
          <w:noProof/>
        </w:rPr>
        <w:fldChar w:fldCharType="end"/>
      </w:r>
      <w:r w:rsidRPr="007502CF">
        <w:instrText xml:space="preserve"> = 0 "</w:instrText>
      </w:r>
      <w:r w:rsidRPr="007502CF">
        <w:fldChar w:fldCharType="begin"/>
      </w:r>
      <w:r w:rsidRPr="007502CF">
        <w:instrText xml:space="preserve"> IF </w:instrText>
      </w:r>
      <w:r w:rsidR="00E14C8B" w:rsidRPr="007502CF">
        <w:rPr>
          <w:noProof/>
        </w:rPr>
        <w:fldChar w:fldCharType="begin"/>
      </w:r>
      <w:r w:rsidR="00E14C8B" w:rsidRPr="007502CF">
        <w:rPr>
          <w:noProof/>
        </w:rPr>
        <w:instrText xml:space="preserve"> STYLEREF "Heading 1" \l \n </w:instrText>
      </w:r>
      <w:r w:rsidR="00E14C8B" w:rsidRPr="007502CF">
        <w:rPr>
          <w:noProof/>
        </w:rPr>
        <w:fldChar w:fldCharType="separate"/>
      </w:r>
      <w:r w:rsidR="00B833F1">
        <w:rPr>
          <w:noProof/>
        </w:rPr>
        <w:instrText>8</w:instrText>
      </w:r>
      <w:r w:rsidR="00E14C8B" w:rsidRPr="007502CF">
        <w:rPr>
          <w:noProof/>
        </w:rPr>
        <w:fldChar w:fldCharType="end"/>
      </w:r>
      <w:r w:rsidRPr="007502CF">
        <w:instrText xml:space="preserve"> = 0 "" "1" </w:instrText>
      </w:r>
      <w:r w:rsidRPr="007502CF">
        <w:fldChar w:fldCharType="separate"/>
      </w:r>
      <w:r w:rsidR="00EA42ED" w:rsidRPr="007502CF">
        <w:rPr>
          <w:noProof/>
        </w:rPr>
        <w:instrText>1</w:instrText>
      </w:r>
      <w:r w:rsidRPr="007502CF">
        <w:fldChar w:fldCharType="end"/>
      </w:r>
      <w:r w:rsidRPr="007502CF">
        <w:instrText xml:space="preserve">" "6" </w:instrText>
      </w:r>
      <w:r w:rsidRPr="007502CF">
        <w:fldChar w:fldCharType="separate"/>
      </w:r>
      <w:r w:rsidR="00EA42ED" w:rsidRPr="007502CF">
        <w:rPr>
          <w:noProof/>
        </w:rPr>
        <w:instrText>1</w:instrText>
      </w:r>
      <w:r w:rsidRPr="007502CF">
        <w:fldChar w:fldCharType="end"/>
      </w:r>
      <w:r w:rsidRPr="007502CF">
        <w:instrText xml:space="preserve"> </w:instrText>
      </w:r>
      <w:r w:rsidRPr="007502CF">
        <w:fldChar w:fldCharType="separate"/>
      </w:r>
      <w:r w:rsidR="00B833F1">
        <w:rPr>
          <w:noProof/>
        </w:rPr>
        <w:instrText>26</w:instrText>
      </w:r>
      <w:r w:rsidRPr="007502CF">
        <w:fldChar w:fldCharType="end"/>
      </w:r>
      <w:r w:rsidRPr="007502CF">
        <w:instrText xml:space="preserve">" "" </w:instrText>
      </w:r>
      <w:r w:rsidRPr="007502CF">
        <w:fldChar w:fldCharType="separate"/>
      </w:r>
      <w:bookmarkStart w:id="4592" w:name="_Caption8554"/>
      <w:bookmarkStart w:id="4593" w:name="_Caption9518"/>
      <w:bookmarkStart w:id="4594" w:name="_Caption0975"/>
      <w:bookmarkStart w:id="4595" w:name="_Caption8419"/>
      <w:bookmarkStart w:id="4596" w:name="_Caption7632"/>
      <w:bookmarkStart w:id="4597" w:name="_Caption0329"/>
      <w:bookmarkStart w:id="4598" w:name="_Caption8426"/>
      <w:bookmarkStart w:id="4599" w:name="_Caption6741"/>
      <w:bookmarkStart w:id="4600" w:name="_Caption2429"/>
      <w:bookmarkStart w:id="4601" w:name="_Caption3092"/>
      <w:bookmarkStart w:id="4602" w:name="_Caption9479"/>
      <w:bookmarkStart w:id="4603" w:name="_Caption0630"/>
      <w:bookmarkStart w:id="4604" w:name="_Caption7359"/>
      <w:bookmarkStart w:id="4605" w:name="_Caption7817"/>
      <w:bookmarkStart w:id="4606" w:name="_Caption2098"/>
      <w:bookmarkStart w:id="4607" w:name="_Caption8217"/>
      <w:bookmarkStart w:id="4608" w:name="_Caption2086"/>
      <w:bookmarkStart w:id="4609" w:name="_Caption8734"/>
      <w:bookmarkStart w:id="4610" w:name="_Caption0670"/>
      <w:bookmarkStart w:id="4611" w:name="_Caption8937"/>
      <w:bookmarkStart w:id="4612" w:name="_Caption4954"/>
      <w:bookmarkStart w:id="4613" w:name="_Caption4315"/>
      <w:bookmarkStart w:id="4614" w:name="_Caption7781"/>
      <w:bookmarkStart w:id="4615" w:name="_Caption2362"/>
      <w:bookmarkStart w:id="4616" w:name="_Toc320545098"/>
      <w:bookmarkStart w:id="4617" w:name="_Toc529869965"/>
      <w:bookmarkStart w:id="4618" w:name="_Toc530748461"/>
      <w:r w:rsidR="00EA42ED">
        <w:rPr>
          <w:noProof/>
        </w:rPr>
        <w:t>8</w:t>
      </w:r>
      <w:r w:rsidR="00EA42ED" w:rsidRPr="007502CF">
        <w:rPr>
          <w:noProof/>
        </w:rPr>
        <w:t>.</w:t>
      </w:r>
      <w:r w:rsidR="00EA42ED">
        <w:rPr>
          <w:noProof/>
        </w:rPr>
        <w:t>26</w:t>
      </w:r>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r w:rsidRPr="007502CF">
        <w:fldChar w:fldCharType="end"/>
      </w:r>
      <w:r w:rsidRPr="007502CF">
        <w:tab/>
      </w:r>
      <w:bookmarkEnd w:id="4616"/>
      <w:r w:rsidRPr="007502CF">
        <w:t>Number of unique buildings and tenancies with a NABERS rating</w:t>
      </w:r>
      <w:bookmarkEnd w:id="4617"/>
      <w:bookmarkEnd w:id="4618"/>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8"/>
      </w:tblGrid>
      <w:tr w:rsidR="00024879" w:rsidTr="005A39F1">
        <w:trPr>
          <w:cantSplit/>
        </w:trPr>
        <w:tc>
          <w:tcPr>
            <w:tcW w:w="7938" w:type="dxa"/>
            <w:shd w:val="clear" w:color="auto" w:fill="E9E8E5" w:themeFill="background2"/>
          </w:tcPr>
          <w:p w:rsidR="00024879" w:rsidRDefault="005A39F1" w:rsidP="005A39F1">
            <w:pPr>
              <w:pStyle w:val="Chart"/>
            </w:pPr>
            <w:r w:rsidRPr="005A39F1">
              <w:rPr>
                <w:noProof/>
                <w:lang w:eastAsia="en-AU"/>
              </w:rPr>
              <w:drawing>
                <wp:inline distT="0" distB="0" distL="0" distR="0" wp14:anchorId="2DD7B87F" wp14:editId="74BC74E1">
                  <wp:extent cx="5041900" cy="2438400"/>
                  <wp:effectExtent l="0" t="0" r="0" b="0"/>
                  <wp:docPr id="39" name="Picture 39" descr="The chart reports the number of unique buildings and tenancies with a NABERS rating from 1998-99 to 2017-18. Office buildings account for most of the ratings." title="Chart 8.26: Number of unique buildings and tenancies with a NABERS r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41900" cy="2438400"/>
                          </a:xfrm>
                          <a:prstGeom prst="rect">
                            <a:avLst/>
                          </a:prstGeom>
                          <a:noFill/>
                          <a:ln>
                            <a:noFill/>
                          </a:ln>
                        </pic:spPr>
                      </pic:pic>
                    </a:graphicData>
                  </a:graphic>
                </wp:inline>
              </w:drawing>
            </w:r>
          </w:p>
        </w:tc>
      </w:tr>
    </w:tbl>
    <w:p w:rsidR="00024879" w:rsidRDefault="00024879" w:rsidP="005A39F1">
      <w:pPr>
        <w:pStyle w:val="Source"/>
      </w:pPr>
      <w:r>
        <w:rPr>
          <w:i/>
        </w:rPr>
        <w:t>Data source</w:t>
      </w:r>
      <w:r w:rsidRPr="00A67576">
        <w:rPr>
          <w:i/>
        </w:rPr>
        <w:t>:</w:t>
      </w:r>
      <w:r>
        <w:t xml:space="preserve"> NABERS Annual Report, 2017/18, p. 22.</w:t>
      </w:r>
    </w:p>
    <w:p w:rsidR="00576964" w:rsidRDefault="003139AD" w:rsidP="00612FD3">
      <w:pPr>
        <w:pStyle w:val="BodyText"/>
      </w:pPr>
      <w:r>
        <w:t xml:space="preserve">Disclosure requirements </w:t>
      </w:r>
      <w:r w:rsidR="00D3199F">
        <w:t>can be</w:t>
      </w:r>
      <w:r>
        <w:t xml:space="preserve"> effective because they </w:t>
      </w:r>
      <w:r w:rsidR="00D3199F">
        <w:t xml:space="preserve">directly </w:t>
      </w:r>
      <w:r>
        <w:t>address information asymmetries/split incentives, particularly in markets where leasing arrangements are prevalent. However, the potential expansion of the CBD program to other building types is being considered through a separate process and is not an option considered under this RIS.</w:t>
      </w:r>
    </w:p>
    <w:p w:rsidR="00612FD3" w:rsidRPr="005E105F" w:rsidRDefault="00C275D4" w:rsidP="00612FD3">
      <w:pPr>
        <w:pStyle w:val="BodyText"/>
      </w:pPr>
      <w:r>
        <w:t>A handbook would effectively p</w:t>
      </w:r>
      <w:r w:rsidR="003139AD">
        <w:t>rovid</w:t>
      </w:r>
      <w:r>
        <w:t>e</w:t>
      </w:r>
      <w:r w:rsidR="003139AD">
        <w:t xml:space="preserve"> </w:t>
      </w:r>
      <w:r>
        <w:t>information in relation to the costs and benefits of energy efficiency options</w:t>
      </w:r>
      <w:r w:rsidR="00E14C8B">
        <w:t xml:space="preserve"> at the design and construction phase. </w:t>
      </w:r>
      <w:r w:rsidR="00612FD3" w:rsidRPr="005E105F">
        <w:t xml:space="preserve">This type of approach seeks to address market failures relating to the availability of information. However, the </w:t>
      </w:r>
      <w:r w:rsidR="00612FD3" w:rsidRPr="005E105F">
        <w:rPr>
          <w:i/>
        </w:rPr>
        <w:t>availability</w:t>
      </w:r>
      <w:r w:rsidR="00612FD3" w:rsidRPr="005E105F">
        <w:t xml:space="preserve"> of information does not appear to be the main </w:t>
      </w:r>
      <w:r w:rsidR="00F64D13">
        <w:t>barrier</w:t>
      </w:r>
      <w:r w:rsidR="00612FD3" w:rsidRPr="005E105F">
        <w:t xml:space="preserve"> preventing the uptake of privately cost</w:t>
      </w:r>
      <w:r w:rsidR="00612FD3" w:rsidRPr="005E105F">
        <w:noBreakHyphen/>
        <w:t>effective energy efficiency measures (see appendix A for further details). General information on the potential benefits of improving energy efficiency in commercial buildings is freely available from various sources, including:</w:t>
      </w:r>
    </w:p>
    <w:p w:rsidR="00612FD3" w:rsidRPr="005E105F" w:rsidRDefault="00612FD3" w:rsidP="00612FD3">
      <w:pPr>
        <w:pStyle w:val="ListBullet"/>
        <w:numPr>
          <w:ilvl w:val="0"/>
          <w:numId w:val="36"/>
        </w:numPr>
      </w:pPr>
      <w:r w:rsidRPr="005E105F">
        <w:t>the Energy Efficiency Exchange, a Commonwealth Government website;</w:t>
      </w:r>
      <w:r w:rsidRPr="005E105F">
        <w:rPr>
          <w:rStyle w:val="FootnoteReference"/>
        </w:rPr>
        <w:footnoteReference w:id="68"/>
      </w:r>
      <w:r w:rsidRPr="005E105F">
        <w:t xml:space="preserve"> and</w:t>
      </w:r>
    </w:p>
    <w:p w:rsidR="00612FD3" w:rsidRPr="005E105F" w:rsidRDefault="00612FD3" w:rsidP="00612FD3">
      <w:pPr>
        <w:pStyle w:val="ListBullet"/>
        <w:numPr>
          <w:ilvl w:val="0"/>
          <w:numId w:val="36"/>
        </w:numPr>
      </w:pPr>
      <w:r w:rsidRPr="005E105F">
        <w:t>case studies published by the Green Building Council of Australia (GBCA) and others.</w:t>
      </w:r>
    </w:p>
    <w:p w:rsidR="00BF269B" w:rsidRDefault="00612FD3" w:rsidP="00612FD3">
      <w:pPr>
        <w:pStyle w:val="BodyText"/>
      </w:pPr>
      <w:r w:rsidRPr="005E105F">
        <w:t>More project</w:t>
      </w:r>
      <w:r w:rsidRPr="005E105F">
        <w:noBreakHyphen/>
        <w:t>specific information is also commercially available from specialist consultants and energy efficiency modellers.</w:t>
      </w:r>
    </w:p>
    <w:p w:rsidR="00612FD3" w:rsidRPr="005E105F" w:rsidRDefault="00612FD3" w:rsidP="00612FD3">
      <w:pPr>
        <w:pStyle w:val="BodyText"/>
      </w:pPr>
      <w:r w:rsidRPr="005E105F">
        <w:t xml:space="preserve">This suggests that relevant information is </w:t>
      </w:r>
      <w:r w:rsidR="00E14C8B">
        <w:t xml:space="preserve">already </w:t>
      </w:r>
      <w:r w:rsidRPr="005E105F">
        <w:t>available, albeit at some cost (that relevant information may come at a cost is not necessarily a market failure).</w:t>
      </w:r>
      <w:r w:rsidR="00E14C8B">
        <w:t xml:space="preserve"> </w:t>
      </w:r>
      <w:r w:rsidRPr="005E105F">
        <w:t xml:space="preserve">Rather, the main </w:t>
      </w:r>
      <w:r w:rsidR="008B486B">
        <w:t xml:space="preserve">barrier </w:t>
      </w:r>
      <w:r w:rsidRPr="005E105F">
        <w:t>prevent</w:t>
      </w:r>
      <w:r w:rsidR="00E14C8B">
        <w:t>ing</w:t>
      </w:r>
      <w:r w:rsidRPr="005E105F">
        <w:t xml:space="preserve"> building owners from making privately optimal energy efficiency decisions seem</w:t>
      </w:r>
      <w:r w:rsidR="00214A87">
        <w:t>s</w:t>
      </w:r>
      <w:r w:rsidRPr="005E105F">
        <w:t xml:space="preserve"> to be bounded rationality and heuristic decision making</w:t>
      </w:r>
      <w:r w:rsidR="00E14C8B">
        <w:t xml:space="preserve"> (such as deferring to entrenched practices or building to NCC minimum requirements)</w:t>
      </w:r>
      <w:r w:rsidRPr="005E105F">
        <w:t xml:space="preserve">. That is, building owners </w:t>
      </w:r>
      <w:r w:rsidR="00F64D13">
        <w:t xml:space="preserve">and designers </w:t>
      </w:r>
      <w:r w:rsidRPr="005E105F">
        <w:t xml:space="preserve">may not necessarily consider the </w:t>
      </w:r>
      <w:r w:rsidR="00E14C8B">
        <w:t xml:space="preserve">available information on the full costs and benefits of </w:t>
      </w:r>
      <w:r w:rsidRPr="005E105F">
        <w:t xml:space="preserve">energy efficiency </w:t>
      </w:r>
      <w:r w:rsidR="00E14C8B">
        <w:t>options</w:t>
      </w:r>
      <w:r w:rsidRPr="005E105F">
        <w:t xml:space="preserve"> when making decisions.</w:t>
      </w:r>
    </w:p>
    <w:p w:rsidR="00612FD3" w:rsidRDefault="00612FD3" w:rsidP="00612FD3">
      <w:pPr>
        <w:pStyle w:val="BodyText"/>
      </w:pPr>
      <w:r w:rsidRPr="005E105F">
        <w:t xml:space="preserve">Developing a handbook from the research that underpinned the proposed changes does not specifically address the main </w:t>
      </w:r>
      <w:r w:rsidR="00E14C8B">
        <w:t>barrier</w:t>
      </w:r>
      <w:r w:rsidRPr="005E105F">
        <w:t xml:space="preserve"> preventing businesses (and governments) from making privately beneficial energy efficiency decisions. It is therefore </w:t>
      </w:r>
      <w:r w:rsidR="00E14C8B">
        <w:t>unlikely</w:t>
      </w:r>
      <w:r w:rsidR="00E14C8B" w:rsidRPr="005E105F">
        <w:t xml:space="preserve"> </w:t>
      </w:r>
      <w:r w:rsidRPr="005E105F">
        <w:t xml:space="preserve">that this option </w:t>
      </w:r>
      <w:r w:rsidR="00E14C8B">
        <w:t>would</w:t>
      </w:r>
      <w:r w:rsidR="00E14C8B" w:rsidRPr="005E105F">
        <w:t xml:space="preserve"> </w:t>
      </w:r>
      <w:r w:rsidRPr="005E105F">
        <w:t xml:space="preserve">have </w:t>
      </w:r>
      <w:r w:rsidR="00E14C8B">
        <w:t>much</w:t>
      </w:r>
      <w:r w:rsidR="00E14C8B" w:rsidRPr="005E105F">
        <w:t xml:space="preserve"> </w:t>
      </w:r>
      <w:r w:rsidRPr="005E105F">
        <w:t>impact</w:t>
      </w:r>
      <w:r w:rsidR="00E14C8B">
        <w:t xml:space="preserve"> in driving improved energy performance</w:t>
      </w:r>
      <w:r w:rsidRPr="005E105F">
        <w:t>.</w:t>
      </w:r>
    </w:p>
    <w:p w:rsidR="00E14C8B" w:rsidRDefault="00D3199F" w:rsidP="00612FD3">
      <w:pPr>
        <w:pStyle w:val="BodyText"/>
      </w:pPr>
      <w:r>
        <w:t>In addition, measures focusing on encouraging voluntary uptake do not address the GHG externality associated with energy consumption.</w:t>
      </w:r>
      <w:r w:rsidR="002579B4">
        <w:t xml:space="preserve"> Even if all building </w:t>
      </w:r>
      <w:r w:rsidR="00103268">
        <w:t>owners/designers made privately optimal energy efficiency designs, the incentive to under</w:t>
      </w:r>
      <w:r w:rsidR="00103268">
        <w:noBreakHyphen/>
        <w:t>invest in energy efficiency would remain under current energy policy settings.</w:t>
      </w:r>
    </w:p>
    <w:p w:rsidR="00EC1D99" w:rsidRDefault="00EC1D99" w:rsidP="002B3C0A">
      <w:pPr>
        <w:pStyle w:val="Heading2"/>
      </w:pPr>
      <w:bookmarkStart w:id="4619" w:name="_Toc529869862"/>
      <w:bookmarkStart w:id="4620" w:name="_Toc530748580"/>
      <w:r>
        <w:t>Assessment against the ‘competition test’</w:t>
      </w:r>
      <w:bookmarkEnd w:id="4619"/>
      <w:bookmarkEnd w:id="4620"/>
    </w:p>
    <w:p w:rsidR="00EC1D99" w:rsidRDefault="00EC1D99" w:rsidP="00EC1D99">
      <w:pPr>
        <w:pStyle w:val="BodyText"/>
      </w:pPr>
      <w:r>
        <w:t xml:space="preserve">Based on the above analysis, the proposed changes to the NCC is the option likely to deliver the largest net benefits to the community. As noted above, a limitation of the NCC as a policy mechanism for driving further energy efficiency improvements is that increasing the stringency of the minimum standards </w:t>
      </w:r>
      <w:r w:rsidR="004223CC">
        <w:t xml:space="preserve">could </w:t>
      </w:r>
      <w:r>
        <w:t>restrict choice</w:t>
      </w:r>
      <w:r w:rsidR="00435194">
        <w:t xml:space="preserve">, and </w:t>
      </w:r>
      <w:r w:rsidR="004223CC">
        <w:t xml:space="preserve">place a </w:t>
      </w:r>
      <w:r>
        <w:t>greater restriction on competition. Under COAG Guidelines, regulation should not restrict competition unless:</w:t>
      </w:r>
    </w:p>
    <w:p w:rsidR="00EC1D99" w:rsidRDefault="00EC1D99" w:rsidP="00EC1D99">
      <w:pPr>
        <w:pStyle w:val="ListBullet"/>
      </w:pPr>
      <w:r>
        <w:t>it can be demonstrated that the benefits of the restriction to the community as a whole outweigh the costs; and</w:t>
      </w:r>
    </w:p>
    <w:p w:rsidR="00EC1D99" w:rsidRDefault="00EC1D99" w:rsidP="00EC1D99">
      <w:pPr>
        <w:pStyle w:val="ListBullet"/>
      </w:pPr>
      <w:r>
        <w:t>the objectives of the regulation can only be achieved by restricting competition adopting the option that generates the greatest net benefit to the community.</w:t>
      </w:r>
      <w:r>
        <w:rPr>
          <w:rStyle w:val="FootnoteReference"/>
        </w:rPr>
        <w:footnoteReference w:id="69"/>
      </w:r>
    </w:p>
    <w:p w:rsidR="00EC1D99" w:rsidRDefault="00EC1D99" w:rsidP="00EC1D99">
      <w:pPr>
        <w:pStyle w:val="BodyText"/>
      </w:pPr>
      <w:r>
        <w:t>The proposed changes to the NCC clearly satisfy the first part of the ‘competition test’; the CBA suggests that the proposed changes to the NCC will deliver significant net benefits to the community.</w:t>
      </w:r>
    </w:p>
    <w:p w:rsidR="00EC1D99" w:rsidRDefault="00EC1D99" w:rsidP="00EC1D99">
      <w:pPr>
        <w:pStyle w:val="BodyText"/>
      </w:pPr>
      <w:r>
        <w:t>To satisfy the second part of the ‘competition test’, the RIS needs to establish whether improvements in the energy efficiency of commercial buildings can only be achieved by restricting competition and that proposed changes to the NCC generates the largest net benefit to the community.</w:t>
      </w:r>
    </w:p>
    <w:p w:rsidR="00EC1D99" w:rsidRDefault="00EC1D99" w:rsidP="00EC1D99">
      <w:pPr>
        <w:pStyle w:val="BodyText"/>
      </w:pPr>
      <w:r>
        <w:t>In this regard, there are other approaches to improving the energy efficiency of commercial buildings that do not restrict competition, such as measures to encourage industry to improve energy efficiency voluntarily. Given the challenges of setting a minimum standard that is optimal across all buildings, it is possible that non</w:t>
      </w:r>
      <w:r>
        <w:noBreakHyphen/>
        <w:t>regulatory options that encourage industry to adopt a more optimal energy efficiency design could achieve some (but not all) of the benefits, without the costs.</w:t>
      </w:r>
    </w:p>
    <w:p w:rsidR="00EC1D99" w:rsidRDefault="00EC1D99" w:rsidP="00EC1D99">
      <w:pPr>
        <w:pStyle w:val="BodyText"/>
      </w:pPr>
      <w:r>
        <w:t>This RIS considers a non</w:t>
      </w:r>
      <w:r>
        <w:noBreakHyphen/>
        <w:t>regulatory (voluntary) option, but finds it is unlikely to deliver significant net benefits if barrier to improved uptake of energy efficiency relate to the identified market failures. General information on the benefits of improved energy efficiency in commercial buildings is widely available from existing sources, while project</w:t>
      </w:r>
      <w:r>
        <w:noBreakHyphen/>
        <w:t>specific information is commercially available. The availability of relevant information is therefore unlikely to be the main factor preventing industry from making better energy efficiency decisions in their own best interests. Rather, the key market failure seems to relate to industry acting on the available information due to bounded rationality or heuristic decision</w:t>
      </w:r>
      <w:r>
        <w:noBreakHyphen/>
        <w:t>making. As such, the non</w:t>
      </w:r>
      <w:r>
        <w:noBreakHyphen/>
        <w:t>regulatory option does not appear to address the main market failure.</w:t>
      </w:r>
    </w:p>
    <w:p w:rsidR="004223CC" w:rsidRDefault="00EC1D99" w:rsidP="004223CC">
      <w:pPr>
        <w:pStyle w:val="BodyText"/>
        <w:rPr>
          <w:lang w:eastAsia="en-US"/>
        </w:rPr>
      </w:pPr>
      <w:r>
        <w:t xml:space="preserve">So while alternative approaches that do not restrict competition may to some extent improve energy efficiency, it is unlikely that voluntarily options would deliver improvements to the extent of changes to the NCC. </w:t>
      </w:r>
      <w:r w:rsidR="004223CC">
        <w:t xml:space="preserve">It is generally considered that a regulatory approach </w:t>
      </w:r>
      <w:r w:rsidR="004223CC">
        <w:rPr>
          <w:lang w:eastAsia="en-US"/>
        </w:rPr>
        <w:t xml:space="preserve">has the potential to restrict competition or choice in materials or design. The proposed changes to the DTS provisions potentially negatively affect some suppliers or products by changing the thresholds at which products comply. However, the NCC is Performance based and </w:t>
      </w:r>
      <w:r w:rsidR="00537C50">
        <w:rPr>
          <w:lang w:eastAsia="en-US"/>
        </w:rPr>
        <w:t>established</w:t>
      </w:r>
      <w:r w:rsidR="004223CC">
        <w:rPr>
          <w:lang w:eastAsia="en-US"/>
        </w:rPr>
        <w:t xml:space="preserve"> Verification Methods or measuring performance against the Performance Requirement enable </w:t>
      </w:r>
      <w:r w:rsidR="00537C50">
        <w:rPr>
          <w:lang w:eastAsia="en-US"/>
        </w:rPr>
        <w:t>flexibility</w:t>
      </w:r>
      <w:r w:rsidR="004223CC">
        <w:rPr>
          <w:lang w:eastAsia="en-US"/>
        </w:rPr>
        <w:t xml:space="preserve"> in design choices to meet the targeted values. </w:t>
      </w:r>
    </w:p>
    <w:p w:rsidR="00EC1D99" w:rsidRDefault="00EC1D99" w:rsidP="00EC1D99">
      <w:pPr>
        <w:pStyle w:val="BodyText"/>
      </w:pPr>
      <w:r>
        <w:t>In this regard, the proposed changes to the NCC appears to satisfy the second part of the ‘competition test’.</w:t>
      </w:r>
    </w:p>
    <w:p w:rsidR="001D62C9" w:rsidRDefault="001D62C9" w:rsidP="002B3C0A">
      <w:pPr>
        <w:pStyle w:val="Heading2"/>
      </w:pPr>
      <w:bookmarkStart w:id="4621" w:name="_Toc529869863"/>
      <w:bookmarkStart w:id="4622" w:name="_Toc530748581"/>
      <w:r>
        <w:t>Limitations of the analysis</w:t>
      </w:r>
      <w:bookmarkEnd w:id="4621"/>
      <w:bookmarkEnd w:id="4622"/>
    </w:p>
    <w:p w:rsidR="005E310C" w:rsidRDefault="001C63F8" w:rsidP="005E310C">
      <w:pPr>
        <w:pStyle w:val="BodyText"/>
      </w:pPr>
      <w:r>
        <w:t>As shown above,</w:t>
      </w:r>
      <w:r w:rsidR="005E310C">
        <w:t xml:space="preserve"> the </w:t>
      </w:r>
      <w:r>
        <w:t xml:space="preserve">modelling results suggest that the proposed changes to the NCC will deliver significant net benefits to the community, </w:t>
      </w:r>
      <w:r w:rsidR="00AA19E4">
        <w:t xml:space="preserve">with </w:t>
      </w:r>
      <w:r>
        <w:t>the sensitivity testing suggest</w:t>
      </w:r>
      <w:r w:rsidR="00AA19E4">
        <w:t>ing</w:t>
      </w:r>
      <w:r>
        <w:t xml:space="preserve"> that </w:t>
      </w:r>
      <w:r w:rsidR="00AA19E4">
        <w:t>this</w:t>
      </w:r>
      <w:r>
        <w:t xml:space="preserve"> finding</w:t>
      </w:r>
      <w:r w:rsidR="00AA19E4">
        <w:t xml:space="preserve"> is relatively</w:t>
      </w:r>
      <w:r>
        <w:t xml:space="preserve"> robust to alternative assumptions. Nevertheless, it is important to acknowledge some of the</w:t>
      </w:r>
      <w:r w:rsidR="00AA19E4">
        <w:t xml:space="preserve"> key</w:t>
      </w:r>
      <w:r>
        <w:t xml:space="preserve"> limitations of the analysis.</w:t>
      </w:r>
    </w:p>
    <w:p w:rsidR="005E310C" w:rsidRDefault="005E310C" w:rsidP="00631232">
      <w:pPr>
        <w:pStyle w:val="Heading3"/>
      </w:pPr>
      <w:r>
        <w:t>Representativeness of modelling results</w:t>
      </w:r>
    </w:p>
    <w:p w:rsidR="00C113EC" w:rsidRDefault="001C63F8" w:rsidP="005E310C">
      <w:pPr>
        <w:pStyle w:val="BodyText"/>
      </w:pPr>
      <w:r>
        <w:t xml:space="preserve">The commercial buildings that would be built under the revised code will vary enormously </w:t>
      </w:r>
      <w:r w:rsidR="00C113EC">
        <w:t>by</w:t>
      </w:r>
      <w:r>
        <w:t xml:space="preserve"> geometry, WWR, </w:t>
      </w:r>
      <w:r w:rsidR="00521655">
        <w:t>locational climate</w:t>
      </w:r>
      <w:r w:rsidR="00C05D13">
        <w:t xml:space="preserve">, </w:t>
      </w:r>
      <w:r>
        <w:t>occupancy patterns</w:t>
      </w:r>
      <w:r w:rsidR="00C05D13">
        <w:t xml:space="preserve"> </w:t>
      </w:r>
      <w:r w:rsidR="00521655">
        <w:t>and a range of other factors</w:t>
      </w:r>
      <w:r>
        <w:t>.</w:t>
      </w:r>
    </w:p>
    <w:p w:rsidR="00C113EC" w:rsidRDefault="001C63F8" w:rsidP="002B3C0A">
      <w:pPr>
        <w:pStyle w:val="ListBullet"/>
      </w:pPr>
      <w:r>
        <w:t>The modelling has attempted to capture some of this variation</w:t>
      </w:r>
      <w:r w:rsidR="00C113EC">
        <w:t xml:space="preserve"> by modelling buildings that are broadly intended to be representative of the main commercial building types (including geometry and WWR) in each </w:t>
      </w:r>
      <w:r w:rsidR="00E31EE8">
        <w:t>Climate Zone</w:t>
      </w:r>
      <w:r w:rsidR="00C113EC">
        <w:t xml:space="preserve"> (except </w:t>
      </w:r>
      <w:r w:rsidR="00E31EE8">
        <w:t>Climate Zone</w:t>
      </w:r>
      <w:r w:rsidR="00C113EC">
        <w:t xml:space="preserve"> 8).</w:t>
      </w:r>
    </w:p>
    <w:p w:rsidR="005E310C" w:rsidRDefault="00C113EC" w:rsidP="002B3C0A">
      <w:pPr>
        <w:pStyle w:val="ListBullet2"/>
      </w:pPr>
      <w:r>
        <w:t xml:space="preserve">This involved modelling 5 different buildings, across 7 </w:t>
      </w:r>
      <w:r w:rsidR="00E31EE8">
        <w:t>Climate Zone</w:t>
      </w:r>
      <w:r>
        <w:t xml:space="preserve">s under 2 different codes (the current code and </w:t>
      </w:r>
      <w:r w:rsidR="00C05D13">
        <w:t xml:space="preserve">under </w:t>
      </w:r>
      <w:r>
        <w:t>the proposed changes) for a total of 70 individual building models.</w:t>
      </w:r>
    </w:p>
    <w:p w:rsidR="00C113EC" w:rsidRDefault="00C113EC" w:rsidP="002B3C0A">
      <w:pPr>
        <w:pStyle w:val="ListBullet2"/>
      </w:pPr>
      <w:r>
        <w:t>In addition</w:t>
      </w:r>
      <w:r w:rsidR="00C05D13">
        <w:t xml:space="preserve">, a variation of one of the buildings with a different WWR across each </w:t>
      </w:r>
      <w:r w:rsidR="00E31EE8">
        <w:t>Climate Zone</w:t>
      </w:r>
      <w:r w:rsidR="00C05D13">
        <w:t xml:space="preserve"> (an additional 14 building models) plus a variation based on the current façade requirements with services that comply with the proposed new requirements was completed for each building across 3 </w:t>
      </w:r>
      <w:r w:rsidR="00E31EE8">
        <w:t>Climate Zone</w:t>
      </w:r>
      <w:r w:rsidR="00C05D13">
        <w:t>s (and additional 15 building models).</w:t>
      </w:r>
    </w:p>
    <w:p w:rsidR="00C113EC" w:rsidRDefault="00C113EC" w:rsidP="002B3C0A">
      <w:pPr>
        <w:pStyle w:val="ListBullet"/>
      </w:pPr>
      <w:r>
        <w:t>The modelling has also made specific assumptions about the way building owners and designers will respond to changes</w:t>
      </w:r>
      <w:r w:rsidR="00C05D13">
        <w:t>.</w:t>
      </w:r>
    </w:p>
    <w:p w:rsidR="00C113EC" w:rsidRDefault="00C05D13" w:rsidP="005E310C">
      <w:pPr>
        <w:pStyle w:val="BodyText"/>
      </w:pPr>
      <w:r>
        <w:t xml:space="preserve">Given the extent of the modelling task even for a relatively small number of building types, </w:t>
      </w:r>
      <w:r w:rsidR="00C113EC">
        <w:t xml:space="preserve">it is impractical (and probably not </w:t>
      </w:r>
      <w:r>
        <w:t xml:space="preserve">possible) to model all of the possible variations in the commercial buildings that would be built under the revised </w:t>
      </w:r>
      <w:r w:rsidR="00EB5964">
        <w:t>code</w:t>
      </w:r>
      <w:r>
        <w:t>.</w:t>
      </w:r>
    </w:p>
    <w:p w:rsidR="00521655" w:rsidRPr="005E310C" w:rsidRDefault="00521655" w:rsidP="005E310C">
      <w:pPr>
        <w:pStyle w:val="BodyText"/>
      </w:pPr>
      <w:r>
        <w:t>The CBA effectively extrapolates the modelling results for the representative buildings across the entire building stock. The CBA results are therefore contingent on the modelled results for the representative buildings being broadly representative of the impacts across all new buildings.</w:t>
      </w:r>
    </w:p>
    <w:p w:rsidR="005E310C" w:rsidRDefault="005E310C" w:rsidP="00631232">
      <w:pPr>
        <w:pStyle w:val="Heading3"/>
      </w:pPr>
      <w:r>
        <w:t>Baseline</w:t>
      </w:r>
    </w:p>
    <w:p w:rsidR="00AA19E4" w:rsidRDefault="00521655" w:rsidP="005E310C">
      <w:pPr>
        <w:pStyle w:val="BodyText"/>
      </w:pPr>
      <w:r>
        <w:t xml:space="preserve">Another </w:t>
      </w:r>
      <w:r w:rsidR="00667F28">
        <w:t xml:space="preserve">key uncertainty is the uptake of energy efficiency opportunities in the future in the absence of changes to the NCC (i.e. under the baseline scenario). The limited information available suggests that </w:t>
      </w:r>
      <w:r w:rsidR="00AA19E4">
        <w:t>relatively few buildings are exceeding the current standard and where they are, they are not exceeding the current standard by much.</w:t>
      </w:r>
      <w:r w:rsidR="00D85570">
        <w:t xml:space="preserve"> T</w:t>
      </w:r>
      <w:r w:rsidR="00AA19E4">
        <w:t>here is also little information available on the technologies that are being implemented and the trade</w:t>
      </w:r>
      <w:r w:rsidR="00AA19E4">
        <w:noBreakHyphen/>
        <w:t>offs to achieve compliance. For example, some buildings may be trading off more efficient services than required by the current code against a less efficient façade (or vice versa) through a Performance Solution.</w:t>
      </w:r>
    </w:p>
    <w:p w:rsidR="00AA19E4" w:rsidRDefault="00AA19E4" w:rsidP="005E310C">
      <w:pPr>
        <w:pStyle w:val="BodyText"/>
      </w:pPr>
      <w:r>
        <w:t xml:space="preserve">Our baseline effectively assumes that all buildings will adopt LED lighting, but the cheapest available compliant technology for all other building attributes. However, it is likely that </w:t>
      </w:r>
      <w:r w:rsidR="00D85570">
        <w:t>some of the other highly cost</w:t>
      </w:r>
      <w:r w:rsidR="00D85570">
        <w:noBreakHyphen/>
        <w:t>effective technologies would also be adopted under the existing code. In this regard, the decomposition analysis suggests that the BCRs for installing more efficient services are in some cases very high. These highly cost</w:t>
      </w:r>
      <w:r w:rsidR="00D85570">
        <w:noBreakHyphen/>
        <w:t>effective technologies could plausibly be adopted in some new buildings, despite the presence of the various market failures and/or behaviour anomalies.</w:t>
      </w:r>
    </w:p>
    <w:p w:rsidR="00521655" w:rsidRDefault="00AA19E4" w:rsidP="005E310C">
      <w:pPr>
        <w:pStyle w:val="BodyText"/>
      </w:pPr>
      <w:r>
        <w:t xml:space="preserve">If the </w:t>
      </w:r>
      <w:r w:rsidR="00D85570">
        <w:t xml:space="preserve">baseline understates the uptake of energy efficiency opportunities, the CBA results will overstate the </w:t>
      </w:r>
      <w:r w:rsidR="00801019">
        <w:t xml:space="preserve">magnitude of the </w:t>
      </w:r>
      <w:r w:rsidR="00D85570">
        <w:t>net benefits of the proposed changes to the NCC (see appendix A for further discussion) as energy efficiency improvements that would occur anyway are attributed to the code changes.</w:t>
      </w:r>
    </w:p>
    <w:p w:rsidR="008B486B" w:rsidRDefault="008B486B" w:rsidP="005E310C">
      <w:pPr>
        <w:pStyle w:val="BodyText"/>
      </w:pPr>
    </w:p>
    <w:p w:rsidR="00842EA2" w:rsidRDefault="00842EA2" w:rsidP="005E310C">
      <w:pPr>
        <w:pStyle w:val="BodyText"/>
      </w:pPr>
    </w:p>
    <w:p w:rsidR="00183D43" w:rsidRPr="00F51AF6" w:rsidRDefault="00D17A7D" w:rsidP="003B6B16">
      <w:pPr>
        <w:pStyle w:val="Heading1"/>
        <w:numPr>
          <w:ilvl w:val="0"/>
          <w:numId w:val="5"/>
        </w:numPr>
      </w:pPr>
      <w:bookmarkStart w:id="4623" w:name="_Toc529869864"/>
      <w:bookmarkStart w:id="4624" w:name="_Toc530748582"/>
      <w:r>
        <w:t>Implementation</w:t>
      </w:r>
      <w:r w:rsidR="00183D43">
        <w:t xml:space="preserve"> and </w:t>
      </w:r>
      <w:r>
        <w:t>review</w:t>
      </w:r>
      <w:bookmarkEnd w:id="4623"/>
      <w:bookmarkEnd w:id="4624"/>
    </w:p>
    <w:p w:rsidR="00CB2FFE" w:rsidRDefault="00D17A7D" w:rsidP="002B3C0A">
      <w:pPr>
        <w:pStyle w:val="Heading2"/>
      </w:pPr>
      <w:bookmarkStart w:id="4625" w:name="_Toc529869865"/>
      <w:bookmarkStart w:id="4626" w:name="_Toc530748583"/>
      <w:r>
        <w:t>Implementation</w:t>
      </w:r>
      <w:r w:rsidR="00F64D13">
        <w:t xml:space="preserve"> of the proposed changes to the NCC</w:t>
      </w:r>
      <w:bookmarkEnd w:id="4625"/>
      <w:bookmarkEnd w:id="4626"/>
    </w:p>
    <w:p w:rsidR="00BF269B" w:rsidRPr="002B3C0A" w:rsidRDefault="00BF269B" w:rsidP="002B3C0A">
      <w:pPr>
        <w:pStyle w:val="BodyText"/>
      </w:pPr>
      <w:r w:rsidRPr="002B3C0A">
        <w:t xml:space="preserve">As a matter of policy, proposed changes to the NCC are released in advance of implementation to allow time for familiarisation and education and for industry to modify its practices to accommodate the changes. It is anticipated that State and Territory building </w:t>
      </w:r>
      <w:r w:rsidR="00F64D13">
        <w:t>a</w:t>
      </w:r>
      <w:r w:rsidRPr="002B3C0A">
        <w:t xml:space="preserve">dministrations and industry organisations, in association with the ABCB, will conduct information and awareness raising practices. </w:t>
      </w:r>
    </w:p>
    <w:p w:rsidR="00BF269B" w:rsidRDefault="00BF269B" w:rsidP="003B6B16">
      <w:pPr>
        <w:pStyle w:val="BodyText"/>
      </w:pPr>
      <w:r w:rsidRPr="002B3C0A">
        <w:t xml:space="preserve">ABCB </w:t>
      </w:r>
      <w:r w:rsidR="00F64D13">
        <w:t xml:space="preserve">is developing a range of </w:t>
      </w:r>
      <w:r w:rsidRPr="002B3C0A">
        <w:t xml:space="preserve">awareness raising materials </w:t>
      </w:r>
      <w:r w:rsidR="00F64D13">
        <w:t xml:space="preserve">(see </w:t>
      </w:r>
      <w:r w:rsidR="00EC6939">
        <w:t>table </w:t>
      </w:r>
      <w:r w:rsidR="00025FD2">
        <w:rPr>
          <w:noProof/>
        </w:rPr>
        <w:fldChar w:fldCharType="begin"/>
      </w:r>
      <w:r w:rsidR="00025FD2">
        <w:rPr>
          <w:noProof/>
        </w:rPr>
        <w:instrText xml:space="preserve"> REF _Caption3829 </w:instrText>
      </w:r>
      <w:r w:rsidR="00025FD2">
        <w:rPr>
          <w:noProof/>
        </w:rPr>
        <w:fldChar w:fldCharType="separate"/>
      </w:r>
      <w:r w:rsidR="006B79B8">
        <w:rPr>
          <w:noProof/>
        </w:rPr>
        <w:t>9</w:t>
      </w:r>
      <w:r w:rsidR="006B79B8" w:rsidRPr="00695C93">
        <w:rPr>
          <w:noProof/>
        </w:rPr>
        <w:t>.</w:t>
      </w:r>
      <w:r w:rsidR="006B79B8">
        <w:rPr>
          <w:noProof/>
        </w:rPr>
        <w:t>1</w:t>
      </w:r>
      <w:r w:rsidR="00025FD2">
        <w:rPr>
          <w:noProof/>
        </w:rPr>
        <w:fldChar w:fldCharType="end"/>
      </w:r>
      <w:r w:rsidR="00F64D13">
        <w:t>)</w:t>
      </w:r>
      <w:r w:rsidRPr="002B3C0A">
        <w:t>. Handbooks and online training modules are being updated and new materials</w:t>
      </w:r>
      <w:r w:rsidR="004F17D7">
        <w:t>,</w:t>
      </w:r>
      <w:r w:rsidRPr="002B3C0A">
        <w:t xml:space="preserve"> including calculators</w:t>
      </w:r>
      <w:r w:rsidR="004F17D7">
        <w:t>,</w:t>
      </w:r>
      <w:r w:rsidRPr="002B3C0A">
        <w:t xml:space="preserve"> are high priorities that assist with interpretation of the measures aim to be available </w:t>
      </w:r>
      <w:r w:rsidR="004F17D7">
        <w:t xml:space="preserve">around </w:t>
      </w:r>
      <w:r w:rsidRPr="002B3C0A">
        <w:t xml:space="preserve">February 2019, other lower priorities will be delivered </w:t>
      </w:r>
      <w:r w:rsidR="004F17D7">
        <w:t>around</w:t>
      </w:r>
      <w:r w:rsidRPr="002B3C0A">
        <w:t xml:space="preserve"> May</w:t>
      </w:r>
      <w:r w:rsidR="00EC6939">
        <w:t xml:space="preserve"> 2019</w:t>
      </w:r>
      <w:r w:rsidRPr="002B3C0A">
        <w:t>.</w:t>
      </w:r>
    </w:p>
    <w:p w:rsidR="00D65C34" w:rsidRDefault="00D65C34" w:rsidP="00D65C34">
      <w:pPr>
        <w:pStyle w:val="BodyText"/>
      </w:pPr>
      <w:r w:rsidRPr="00176F45">
        <w:t>If approved, the option would be included in the NCC’s D</w:t>
      </w:r>
      <w:r>
        <w:t>T</w:t>
      </w:r>
      <w:r w:rsidRPr="00176F45">
        <w:t xml:space="preserve">S Provisions in NCC 2019 </w:t>
      </w:r>
      <w:r w:rsidR="004F17D7">
        <w:t>with</w:t>
      </w:r>
      <w:r w:rsidRPr="00176F45">
        <w:t xml:space="preserve"> </w:t>
      </w:r>
      <w:r w:rsidR="004F17D7">
        <w:t>jurisdiction</w:t>
      </w:r>
      <w:r w:rsidRPr="00176F45">
        <w:t>’s regulations allow</w:t>
      </w:r>
      <w:r w:rsidR="004F17D7">
        <w:t>ing</w:t>
      </w:r>
      <w:r w:rsidRPr="00176F45">
        <w:t xml:space="preserve"> for transition to new versions of the NCC, typically designs which are already approved or significantly progressed prior to </w:t>
      </w:r>
      <w:r w:rsidR="004F17D7">
        <w:t>adoption</w:t>
      </w:r>
      <w:r w:rsidRPr="00176F45">
        <w:t xml:space="preserve"> have no obligation to comply</w:t>
      </w:r>
      <w:r>
        <w:t xml:space="preserve">. A number of submissions to the Consultation RIS argued for the need for industry to be supported and transition to the new provisions. It should be noted that the NCC can only accommodate one set of technical provisions. </w:t>
      </w:r>
      <w:r w:rsidRPr="00D65C34">
        <w:t xml:space="preserve">Due to methodology change, there is no flexibility to retain the existing </w:t>
      </w:r>
      <w:r>
        <w:t xml:space="preserve">methodology </w:t>
      </w:r>
      <w:r w:rsidRPr="00D65C34">
        <w:t>which would require a duplic</w:t>
      </w:r>
      <w:r>
        <w:t xml:space="preserve">ation of provisions and methods, </w:t>
      </w:r>
      <w:r w:rsidRPr="00D65C34">
        <w:t xml:space="preserve">be complex and unworkable particularly for mixed use buildings. </w:t>
      </w:r>
      <w:r>
        <w:t>For performance pathways, s</w:t>
      </w:r>
      <w:r w:rsidRPr="00D65C34">
        <w:t xml:space="preserve">tringency updates </w:t>
      </w:r>
      <w:r>
        <w:t xml:space="preserve">that </w:t>
      </w:r>
      <w:r w:rsidRPr="00D65C34">
        <w:t>underlie reference building schedules and performance quantification would be incompatible with existing methods, undermine objectives and lead to confusion in the</w:t>
      </w:r>
      <w:r w:rsidR="00DB6A48">
        <w:t xml:space="preserve"> industry.</w:t>
      </w:r>
    </w:p>
    <w:p w:rsidR="00D65C34" w:rsidRPr="00176F45" w:rsidRDefault="00D65C34" w:rsidP="00D65C34">
      <w:pPr>
        <w:pStyle w:val="BodyText"/>
      </w:pPr>
      <w:r>
        <w:t xml:space="preserve">Notwithstanding these observations, </w:t>
      </w:r>
      <w:r w:rsidR="00DB6A48">
        <w:t xml:space="preserve">if </w:t>
      </w:r>
      <w:r w:rsidR="00537C50">
        <w:t>proposed</w:t>
      </w:r>
      <w:r w:rsidR="00DB6A48">
        <w:t xml:space="preserve"> changes </w:t>
      </w:r>
      <w:r w:rsidR="000746A6">
        <w:t xml:space="preserve">were </w:t>
      </w:r>
      <w:r w:rsidR="00DB6A48">
        <w:t>adopted into the NCC State and Territories</w:t>
      </w:r>
      <w:r w:rsidR="004F17D7">
        <w:t>’</w:t>
      </w:r>
      <w:r w:rsidR="00DB6A48">
        <w:t xml:space="preserve"> parent legislation </w:t>
      </w:r>
      <w:r w:rsidR="000746A6">
        <w:t xml:space="preserve">has the capacity apply </w:t>
      </w:r>
      <w:r w:rsidR="00DB6A48">
        <w:t xml:space="preserve">a </w:t>
      </w:r>
      <w:r w:rsidR="00DB6A48" w:rsidRPr="00A84B15">
        <w:t>transition</w:t>
      </w:r>
      <w:r w:rsidR="00DB6A48">
        <w:t xml:space="preserve"> </w:t>
      </w:r>
      <w:r w:rsidR="000746A6">
        <w:t>period and</w:t>
      </w:r>
      <w:r w:rsidR="00DB6A48">
        <w:t xml:space="preserve"> administratively delay </w:t>
      </w:r>
      <w:r w:rsidR="004F17D7">
        <w:t>adoption</w:t>
      </w:r>
      <w:r w:rsidR="000746A6">
        <w:t xml:space="preserve">.  Provided this were limited to 1 year, this would likely be well received by stakeholders and unlikely to </w:t>
      </w:r>
      <w:r w:rsidR="00537C50">
        <w:t>materially</w:t>
      </w:r>
      <w:r w:rsidR="000746A6">
        <w:t xml:space="preserve"> impact the CBA, but allow sufficient time for n</w:t>
      </w:r>
      <w:r w:rsidR="00DB6A48">
        <w:t xml:space="preserve">ew and additional guidance material to be </w:t>
      </w:r>
      <w:r w:rsidR="00537C50">
        <w:t>socialised</w:t>
      </w:r>
      <w:r w:rsidR="000746A6">
        <w:t xml:space="preserve"> and t</w:t>
      </w:r>
      <w:r w:rsidR="00DB6A48">
        <w:t xml:space="preserve">raining </w:t>
      </w:r>
      <w:r w:rsidR="000746A6">
        <w:t xml:space="preserve">and professional development to </w:t>
      </w:r>
      <w:r w:rsidR="00DB6A48">
        <w:t>be delivered</w:t>
      </w:r>
      <w:r>
        <w:t xml:space="preserve">. </w:t>
      </w:r>
    </w:p>
    <w:p w:rsidR="00EC6939" w:rsidRDefault="00EC6939" w:rsidP="00EC6939">
      <w:pPr>
        <w:pStyle w:val="Caption"/>
      </w:pPr>
      <w:r w:rsidRPr="00695C93">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sidR="00B833F1">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sidR="00B833F1">
        <w:rPr>
          <w:noProof/>
        </w:rPr>
        <w:instrText>9</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sidR="00B833F1">
        <w:rPr>
          <w:noProof/>
        </w:rPr>
        <w:instrText>9</w:instrText>
      </w:r>
      <w:r>
        <w:rPr>
          <w:noProof/>
        </w:rPr>
        <w:fldChar w:fldCharType="end"/>
      </w:r>
      <w:r w:rsidRPr="00695C93">
        <w:instrText xml:space="preserve">." </w:instrText>
      </w:r>
      <w:r w:rsidRPr="00695C93">
        <w:fldChar w:fldCharType="separate"/>
      </w:r>
      <w:r w:rsidR="00B833F1">
        <w:rPr>
          <w:noProof/>
        </w:rPr>
        <w:instrText>9</w:instrText>
      </w:r>
      <w:r w:rsidR="00B833F1" w:rsidRPr="00695C93">
        <w:rPr>
          <w:noProof/>
        </w:rPr>
        <w:instrText>.</w:instrText>
      </w:r>
      <w:r w:rsidRPr="00695C93">
        <w:fldChar w:fldCharType="end"/>
      </w:r>
      <w:r w:rsidRPr="00695C93">
        <w:instrText>" "</w:instrText>
      </w:r>
      <w:r w:rsidR="001F6F43">
        <w:fldChar w:fldCharType="begin"/>
      </w:r>
      <w:r w:rsidR="001F6F43">
        <w:instrText xml:space="preserve"> STYLEREF "Heading 6" \l \n </w:instrText>
      </w:r>
      <w:r w:rsidR="001F6F43">
        <w:fldChar w:fldCharType="separate"/>
      </w:r>
      <w:r w:rsidRPr="00695C93">
        <w:instrText>B</w:instrText>
      </w:r>
      <w:r w:rsidR="001F6F43">
        <w:fldChar w:fldCharType="end"/>
      </w:r>
      <w:r w:rsidRPr="00695C93">
        <w:instrText xml:space="preserve">." </w:instrText>
      </w:r>
      <w:r w:rsidRPr="00695C93">
        <w:fldChar w:fldCharType="separate"/>
      </w:r>
      <w:r w:rsidR="00EA42ED">
        <w:rPr>
          <w:noProof/>
        </w:rPr>
        <w:instrText>9</w:instrText>
      </w:r>
      <w:r w:rsidR="00EA42ED"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sidR="00B833F1">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sidR="00B833F1">
        <w:rPr>
          <w:noProof/>
        </w:rPr>
        <w:instrText>9</w:instrText>
      </w:r>
      <w:r>
        <w:rPr>
          <w:noProof/>
        </w:rPr>
        <w:fldChar w:fldCharType="end"/>
      </w:r>
      <w:r w:rsidRPr="00695C93">
        <w:instrText xml:space="preserve"> = 0 "" "1" </w:instrText>
      </w:r>
      <w:r w:rsidRPr="00695C93">
        <w:fldChar w:fldCharType="separate"/>
      </w:r>
      <w:r w:rsidR="00EA42ED" w:rsidRPr="00695C93">
        <w:rPr>
          <w:noProof/>
        </w:rPr>
        <w:instrText>1</w:instrText>
      </w:r>
      <w:r w:rsidRPr="00695C93">
        <w:fldChar w:fldCharType="end"/>
      </w:r>
      <w:r w:rsidRPr="00695C93">
        <w:instrText xml:space="preserve">" "6" </w:instrText>
      </w:r>
      <w:r w:rsidRPr="00695C93">
        <w:fldChar w:fldCharType="separate"/>
      </w:r>
      <w:r w:rsidR="00EA42ED" w:rsidRPr="00695C93">
        <w:rPr>
          <w:noProof/>
        </w:rPr>
        <w:instrText>1</w:instrText>
      </w:r>
      <w:r w:rsidRPr="00695C93">
        <w:fldChar w:fldCharType="end"/>
      </w:r>
      <w:r w:rsidRPr="00695C93">
        <w:instrText xml:space="preserve"> </w:instrText>
      </w:r>
      <w:r w:rsidRPr="00695C93">
        <w:fldChar w:fldCharType="separate"/>
      </w:r>
      <w:r w:rsidR="00B833F1">
        <w:rPr>
          <w:noProof/>
        </w:rPr>
        <w:instrText>1</w:instrText>
      </w:r>
      <w:r w:rsidRPr="00695C93">
        <w:fldChar w:fldCharType="end"/>
      </w:r>
      <w:r w:rsidRPr="00695C93">
        <w:instrText xml:space="preserve">" "" </w:instrText>
      </w:r>
      <w:r w:rsidRPr="00695C93">
        <w:fldChar w:fldCharType="separate"/>
      </w:r>
      <w:bookmarkStart w:id="4627" w:name="_Caption1571"/>
      <w:bookmarkStart w:id="4628" w:name="_Caption8552"/>
      <w:bookmarkStart w:id="4629" w:name="_Caption2721"/>
      <w:bookmarkStart w:id="4630" w:name="_Caption1586"/>
      <w:bookmarkStart w:id="4631" w:name="_Caption6099"/>
      <w:bookmarkStart w:id="4632" w:name="_Caption2913"/>
      <w:bookmarkStart w:id="4633" w:name="_Caption0591"/>
      <w:bookmarkStart w:id="4634" w:name="_Caption1780"/>
      <w:bookmarkStart w:id="4635" w:name="_Caption3829"/>
      <w:bookmarkStart w:id="4636" w:name="_Caption0748"/>
      <w:bookmarkStart w:id="4637" w:name="_Caption9226"/>
      <w:bookmarkStart w:id="4638" w:name="_Caption4207"/>
      <w:bookmarkStart w:id="4639" w:name="_Caption8249"/>
      <w:bookmarkStart w:id="4640" w:name="_Caption6051"/>
      <w:bookmarkStart w:id="4641" w:name="_Caption2983"/>
      <w:bookmarkStart w:id="4642" w:name="_Caption4015"/>
      <w:bookmarkStart w:id="4643" w:name="_Caption5472"/>
      <w:bookmarkStart w:id="4644" w:name="_Caption4534"/>
      <w:bookmarkStart w:id="4645" w:name="_Caption3890"/>
      <w:bookmarkStart w:id="4646" w:name="_Caption5906"/>
      <w:bookmarkStart w:id="4647" w:name="_Caption2725"/>
      <w:bookmarkStart w:id="4648" w:name="_Caption0631"/>
      <w:bookmarkStart w:id="4649" w:name="_Caption7463"/>
      <w:bookmarkStart w:id="4650" w:name="_Caption5183"/>
      <w:bookmarkStart w:id="4651" w:name="_Caption4337"/>
      <w:bookmarkStart w:id="4652" w:name="_Caption0575"/>
      <w:bookmarkStart w:id="4653" w:name="_Toc529869966"/>
      <w:bookmarkStart w:id="4654" w:name="_Toc530748462"/>
      <w:r w:rsidR="00EA42ED">
        <w:rPr>
          <w:noProof/>
        </w:rPr>
        <w:t>9</w:t>
      </w:r>
      <w:r w:rsidR="00EA42ED" w:rsidRPr="00695C93">
        <w:rPr>
          <w:noProof/>
        </w:rPr>
        <w:t>.</w:t>
      </w:r>
      <w:r w:rsidR="00EA42ED">
        <w:rPr>
          <w:noProof/>
        </w:rPr>
        <w:t>1</w:t>
      </w:r>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r w:rsidRPr="00695C93">
        <w:fldChar w:fldCharType="end"/>
      </w:r>
      <w:r w:rsidRPr="00695C93">
        <w:tab/>
      </w:r>
      <w:r>
        <w:t>Guidance material being developed by ABCB</w:t>
      </w:r>
      <w:bookmarkEnd w:id="4653"/>
      <w:bookmarkEnd w:id="4654"/>
    </w:p>
    <w:tbl>
      <w:tblPr>
        <w:tblW w:w="7938" w:type="dxa"/>
        <w:tblCellMar>
          <w:left w:w="0" w:type="dxa"/>
          <w:right w:w="0" w:type="dxa"/>
        </w:tblCellMar>
        <w:tblLook w:val="04A0" w:firstRow="1" w:lastRow="0" w:firstColumn="1" w:lastColumn="0" w:noHBand="0" w:noVBand="1"/>
        <w:tblCaption w:val="Table 9.1: Guidance material being developed by the ABCB"/>
        <w:tblDescription w:val="This table shows what initivitives the ABCB is undertaken to improve eduction and information within the construction industry. "/>
      </w:tblPr>
      <w:tblGrid>
        <w:gridCol w:w="396"/>
        <w:gridCol w:w="1435"/>
        <w:gridCol w:w="1245"/>
        <w:gridCol w:w="928"/>
        <w:gridCol w:w="948"/>
        <w:gridCol w:w="2986"/>
      </w:tblGrid>
      <w:tr w:rsidR="00EC6939" w:rsidTr="00EC6939">
        <w:trPr>
          <w:trHeight w:val="522"/>
          <w:tblHeader/>
        </w:trPr>
        <w:tc>
          <w:tcPr>
            <w:tcW w:w="396" w:type="dxa"/>
            <w:tcBorders>
              <w:bottom w:val="single" w:sz="8" w:space="0" w:color="FFFFFF" w:themeColor="background1"/>
            </w:tcBorders>
            <w:shd w:val="clear" w:color="auto" w:fill="6F6652"/>
            <w:tcMar>
              <w:top w:w="0" w:type="dxa"/>
              <w:left w:w="57" w:type="dxa"/>
              <w:bottom w:w="0" w:type="dxa"/>
              <w:right w:w="57" w:type="dxa"/>
            </w:tcMar>
            <w:hideMark/>
          </w:tcPr>
          <w:p w:rsidR="00EC6939" w:rsidRDefault="00EC6939" w:rsidP="00EC6939">
            <w:pPr>
              <w:pStyle w:val="TableTextColumnHeading"/>
              <w:rPr>
                <w:color w:val="auto"/>
                <w:lang w:val="en-US"/>
              </w:rPr>
            </w:pPr>
            <w:r>
              <w:rPr>
                <w:lang w:val="en-US"/>
              </w:rPr>
              <w:t>#</w:t>
            </w:r>
          </w:p>
        </w:tc>
        <w:tc>
          <w:tcPr>
            <w:tcW w:w="1435" w:type="dxa"/>
            <w:tcBorders>
              <w:bottom w:val="single" w:sz="8" w:space="0" w:color="FFFFFF" w:themeColor="background1"/>
            </w:tcBorders>
            <w:shd w:val="clear" w:color="auto" w:fill="6F6652"/>
            <w:tcMar>
              <w:top w:w="0" w:type="dxa"/>
              <w:left w:w="57" w:type="dxa"/>
              <w:bottom w:w="0" w:type="dxa"/>
              <w:right w:w="57" w:type="dxa"/>
            </w:tcMar>
            <w:hideMark/>
          </w:tcPr>
          <w:p w:rsidR="00EC6939" w:rsidRDefault="00EC6939" w:rsidP="00EC6939">
            <w:pPr>
              <w:pStyle w:val="TableTextColumnHeading"/>
              <w:rPr>
                <w:lang w:val="en-US"/>
              </w:rPr>
            </w:pPr>
            <w:r>
              <w:rPr>
                <w:lang w:val="en-US"/>
              </w:rPr>
              <w:t>Name</w:t>
            </w:r>
          </w:p>
        </w:tc>
        <w:tc>
          <w:tcPr>
            <w:tcW w:w="1245" w:type="dxa"/>
            <w:tcBorders>
              <w:bottom w:val="single" w:sz="8" w:space="0" w:color="FFFFFF" w:themeColor="background1"/>
            </w:tcBorders>
            <w:shd w:val="clear" w:color="auto" w:fill="6F6652"/>
            <w:tcMar>
              <w:top w:w="0" w:type="dxa"/>
              <w:left w:w="57" w:type="dxa"/>
              <w:bottom w:w="0" w:type="dxa"/>
              <w:right w:w="57" w:type="dxa"/>
            </w:tcMar>
            <w:hideMark/>
          </w:tcPr>
          <w:p w:rsidR="00EC6939" w:rsidRDefault="00EC6939" w:rsidP="00EC6939">
            <w:pPr>
              <w:pStyle w:val="TableTextColumnHeading"/>
              <w:rPr>
                <w:lang w:val="en-US"/>
              </w:rPr>
            </w:pPr>
            <w:r>
              <w:rPr>
                <w:lang w:val="en-US"/>
              </w:rPr>
              <w:t>Type</w:t>
            </w:r>
          </w:p>
        </w:tc>
        <w:tc>
          <w:tcPr>
            <w:tcW w:w="928" w:type="dxa"/>
            <w:tcBorders>
              <w:bottom w:val="single" w:sz="8" w:space="0" w:color="FFFFFF" w:themeColor="background1"/>
            </w:tcBorders>
            <w:shd w:val="clear" w:color="auto" w:fill="6F6652"/>
            <w:tcMar>
              <w:top w:w="0" w:type="dxa"/>
              <w:left w:w="57" w:type="dxa"/>
              <w:bottom w:w="0" w:type="dxa"/>
              <w:right w:w="57" w:type="dxa"/>
            </w:tcMar>
            <w:hideMark/>
          </w:tcPr>
          <w:p w:rsidR="00EC6939" w:rsidRDefault="00EC6939" w:rsidP="00EC6939">
            <w:pPr>
              <w:pStyle w:val="TableTextColumnHeading"/>
              <w:rPr>
                <w:lang w:val="en-US"/>
              </w:rPr>
            </w:pPr>
            <w:r>
              <w:rPr>
                <w:lang w:val="en-US"/>
              </w:rPr>
              <w:t>Priority</w:t>
            </w:r>
          </w:p>
        </w:tc>
        <w:tc>
          <w:tcPr>
            <w:tcW w:w="948" w:type="dxa"/>
            <w:tcBorders>
              <w:bottom w:val="single" w:sz="8" w:space="0" w:color="FFFFFF" w:themeColor="background1"/>
            </w:tcBorders>
            <w:shd w:val="clear" w:color="auto" w:fill="6F6652"/>
            <w:tcMar>
              <w:top w:w="0" w:type="dxa"/>
              <w:left w:w="57" w:type="dxa"/>
              <w:bottom w:w="0" w:type="dxa"/>
              <w:right w:w="57" w:type="dxa"/>
            </w:tcMar>
            <w:hideMark/>
          </w:tcPr>
          <w:p w:rsidR="00EC6939" w:rsidRDefault="00EC6939" w:rsidP="00EC6939">
            <w:pPr>
              <w:pStyle w:val="TableTextColumnHeading"/>
              <w:rPr>
                <w:lang w:val="en-US"/>
              </w:rPr>
            </w:pPr>
            <w:r>
              <w:rPr>
                <w:lang w:val="en-US"/>
              </w:rPr>
              <w:t>Partner</w:t>
            </w:r>
          </w:p>
        </w:tc>
        <w:tc>
          <w:tcPr>
            <w:tcW w:w="2986" w:type="dxa"/>
            <w:tcBorders>
              <w:bottom w:val="single" w:sz="8" w:space="0" w:color="FFFFFF" w:themeColor="background1"/>
            </w:tcBorders>
            <w:shd w:val="clear" w:color="auto" w:fill="6F6652"/>
            <w:tcMar>
              <w:top w:w="0" w:type="dxa"/>
              <w:left w:w="57" w:type="dxa"/>
              <w:bottom w:w="0" w:type="dxa"/>
              <w:right w:w="57" w:type="dxa"/>
            </w:tcMar>
            <w:hideMark/>
          </w:tcPr>
          <w:p w:rsidR="00EC6939" w:rsidRDefault="00EC6939" w:rsidP="00EC6939">
            <w:pPr>
              <w:pStyle w:val="TableTextColumnHeading"/>
              <w:rPr>
                <w:lang w:val="en-US"/>
              </w:rPr>
            </w:pPr>
            <w:r>
              <w:rPr>
                <w:lang w:val="en-US"/>
              </w:rPr>
              <w:t>Comment</w:t>
            </w:r>
          </w:p>
        </w:tc>
      </w:tr>
      <w:tr w:rsidR="00EC6939" w:rsidTr="00EC6939">
        <w:tc>
          <w:tcPr>
            <w:tcW w:w="396"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EC6939" w:rsidP="00EC6939">
            <w:pPr>
              <w:pStyle w:val="TableTextEntries"/>
              <w:rPr>
                <w:rFonts w:ascii="Calibri" w:hAnsi="Calibri" w:cs="Calibri"/>
                <w:sz w:val="22"/>
                <w:szCs w:val="22"/>
                <w:lang w:val="en-GB"/>
              </w:rPr>
            </w:pPr>
            <w:r>
              <w:rPr>
                <w:lang w:val="en-US"/>
              </w:rPr>
              <w:t>1</w:t>
            </w:r>
          </w:p>
        </w:tc>
        <w:tc>
          <w:tcPr>
            <w:tcW w:w="1435"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EC6939" w:rsidP="00EC6939">
            <w:pPr>
              <w:pStyle w:val="TableTextEntries"/>
              <w:rPr>
                <w:lang w:val="en-US"/>
              </w:rPr>
            </w:pPr>
            <w:r>
              <w:rPr>
                <w:lang w:val="en-US"/>
              </w:rPr>
              <w:t>Energy Efficiency Handbook for Vol. 1</w:t>
            </w:r>
          </w:p>
        </w:tc>
        <w:tc>
          <w:tcPr>
            <w:tcW w:w="1245"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EC6939" w:rsidP="00EC6939">
            <w:pPr>
              <w:pStyle w:val="TableTextEntries"/>
              <w:rPr>
                <w:lang w:val="en-US"/>
              </w:rPr>
            </w:pPr>
            <w:r>
              <w:rPr>
                <w:lang w:val="en-US"/>
              </w:rPr>
              <w:t>Handbook</w:t>
            </w:r>
          </w:p>
        </w:tc>
        <w:tc>
          <w:tcPr>
            <w:tcW w:w="928"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EC6939" w:rsidP="00EC6939">
            <w:pPr>
              <w:pStyle w:val="TableTextEntries"/>
              <w:rPr>
                <w:lang w:val="en-US"/>
              </w:rPr>
            </w:pPr>
            <w:r>
              <w:rPr>
                <w:lang w:val="en-US"/>
              </w:rPr>
              <w:t>V High</w:t>
            </w:r>
          </w:p>
        </w:tc>
        <w:tc>
          <w:tcPr>
            <w:tcW w:w="948"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tcPr>
          <w:p w:rsidR="00EC6939" w:rsidRDefault="00EC6939" w:rsidP="00EC6939">
            <w:pPr>
              <w:pStyle w:val="TableTextEntries"/>
              <w:rPr>
                <w:sz w:val="24"/>
                <w:szCs w:val="24"/>
                <w:lang w:val="en-GB"/>
              </w:rPr>
            </w:pPr>
          </w:p>
        </w:tc>
        <w:tc>
          <w:tcPr>
            <w:tcW w:w="2986"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EC6939" w:rsidP="00EC6939">
            <w:pPr>
              <w:pStyle w:val="TableTextEntries"/>
              <w:rPr>
                <w:sz w:val="22"/>
                <w:szCs w:val="22"/>
                <w:lang w:val="en-US"/>
              </w:rPr>
            </w:pPr>
            <w:r>
              <w:t>Re-write current handbook and guide, update based on the new provisions. Will incorporate the updated JV3 handbook and JP1 handbooks</w:t>
            </w:r>
          </w:p>
        </w:tc>
      </w:tr>
      <w:tr w:rsidR="00EC6939" w:rsidTr="00EC6939">
        <w:tc>
          <w:tcPr>
            <w:tcW w:w="396"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A7111E" w:rsidP="00EC6939">
            <w:pPr>
              <w:pStyle w:val="TableTextEntries"/>
              <w:rPr>
                <w:rFonts w:ascii="Calibri" w:hAnsi="Calibri" w:cs="Calibri"/>
                <w:lang w:val="en-GB"/>
              </w:rPr>
            </w:pPr>
            <w:r>
              <w:rPr>
                <w:lang w:val="en-US"/>
              </w:rPr>
              <w:t>2</w:t>
            </w:r>
          </w:p>
        </w:tc>
        <w:tc>
          <w:tcPr>
            <w:tcW w:w="1435"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EC6939" w:rsidP="00EC6939">
            <w:pPr>
              <w:pStyle w:val="TableTextEntries"/>
              <w:rPr>
                <w:lang w:val="en-US"/>
              </w:rPr>
            </w:pPr>
            <w:r>
              <w:t>Façade Calculator</w:t>
            </w:r>
          </w:p>
        </w:tc>
        <w:tc>
          <w:tcPr>
            <w:tcW w:w="1245"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EC6939" w:rsidP="00EC6939">
            <w:pPr>
              <w:pStyle w:val="TableTextEntries"/>
              <w:rPr>
                <w:lang w:val="en-US"/>
              </w:rPr>
            </w:pPr>
            <w:r>
              <w:t>Calculator</w:t>
            </w:r>
          </w:p>
        </w:tc>
        <w:tc>
          <w:tcPr>
            <w:tcW w:w="928"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EC6939" w:rsidP="00EC6939">
            <w:pPr>
              <w:pStyle w:val="TableTextEntries"/>
              <w:rPr>
                <w:lang w:val="en-US"/>
              </w:rPr>
            </w:pPr>
            <w:r>
              <w:rPr>
                <w:lang w:val="en-US"/>
              </w:rPr>
              <w:t>V High</w:t>
            </w:r>
          </w:p>
        </w:tc>
        <w:tc>
          <w:tcPr>
            <w:tcW w:w="948"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Pr="00EC6939" w:rsidRDefault="00EC6939" w:rsidP="00EC6939">
            <w:pPr>
              <w:pStyle w:val="TableTextEntries"/>
            </w:pPr>
            <w:r w:rsidRPr="00EC6939">
              <w:t>AWA, BPIC, AIBS, PCA</w:t>
            </w:r>
          </w:p>
        </w:tc>
        <w:tc>
          <w:tcPr>
            <w:tcW w:w="2986"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EC6939" w:rsidP="00EC6939">
            <w:pPr>
              <w:pStyle w:val="TableTextEntries"/>
              <w:rPr>
                <w:lang w:val="en-US"/>
              </w:rPr>
            </w:pPr>
            <w:r>
              <w:t>Replaces Glazing Calculator: to allow calculation of whole of façade U and SHGC values on the basis of insulation levels, thermal bridges and window performance. Will include reference to AFRC technical protocols.</w:t>
            </w:r>
          </w:p>
        </w:tc>
      </w:tr>
      <w:tr w:rsidR="00EC6939" w:rsidTr="00EC6939">
        <w:tc>
          <w:tcPr>
            <w:tcW w:w="396"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A7111E" w:rsidP="00EC6939">
            <w:pPr>
              <w:pStyle w:val="TableTextEntries"/>
              <w:rPr>
                <w:rFonts w:ascii="Calibri" w:hAnsi="Calibri" w:cs="Calibri"/>
                <w:lang w:val="en-GB"/>
              </w:rPr>
            </w:pPr>
            <w:r>
              <w:rPr>
                <w:lang w:val="en-US"/>
              </w:rPr>
              <w:t>3</w:t>
            </w:r>
          </w:p>
        </w:tc>
        <w:tc>
          <w:tcPr>
            <w:tcW w:w="1435"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tcPr>
          <w:p w:rsidR="00EC6939" w:rsidRDefault="00EC6939" w:rsidP="00EC6939">
            <w:pPr>
              <w:pStyle w:val="TableTextEntries"/>
              <w:rPr>
                <w:lang w:val="en-US"/>
              </w:rPr>
            </w:pPr>
            <w:r>
              <w:t>Lighting Calculator</w:t>
            </w:r>
          </w:p>
          <w:p w:rsidR="00EC6939" w:rsidRDefault="00EC6939" w:rsidP="00EC6939">
            <w:pPr>
              <w:pStyle w:val="TableTextEntries"/>
              <w:rPr>
                <w:lang w:val="en-US"/>
              </w:rPr>
            </w:pPr>
          </w:p>
        </w:tc>
        <w:tc>
          <w:tcPr>
            <w:tcW w:w="1245"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EC6939" w:rsidP="00EC6939">
            <w:pPr>
              <w:pStyle w:val="TableTextEntries"/>
              <w:rPr>
                <w:lang w:val="en-US"/>
              </w:rPr>
            </w:pPr>
            <w:r>
              <w:t>Calculator</w:t>
            </w:r>
          </w:p>
        </w:tc>
        <w:tc>
          <w:tcPr>
            <w:tcW w:w="928"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EC6939" w:rsidP="00EC6939">
            <w:pPr>
              <w:pStyle w:val="TableTextEntries"/>
              <w:rPr>
                <w:lang w:val="en-US"/>
              </w:rPr>
            </w:pPr>
            <w:r>
              <w:rPr>
                <w:lang w:val="en-US"/>
              </w:rPr>
              <w:t>V High</w:t>
            </w:r>
          </w:p>
        </w:tc>
        <w:tc>
          <w:tcPr>
            <w:tcW w:w="948"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Pr="00EC6939" w:rsidRDefault="00EC6939" w:rsidP="00EC6939">
            <w:pPr>
              <w:pStyle w:val="TableTextEntries"/>
            </w:pPr>
            <w:r w:rsidRPr="00EC6939">
              <w:t>IES</w:t>
            </w:r>
          </w:p>
        </w:tc>
        <w:tc>
          <w:tcPr>
            <w:tcW w:w="2986"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EC6939" w:rsidP="00EC6939">
            <w:pPr>
              <w:pStyle w:val="TableTextEntries"/>
              <w:rPr>
                <w:sz w:val="22"/>
                <w:szCs w:val="22"/>
              </w:rPr>
            </w:pPr>
            <w:r>
              <w:t>Update of existing calculator to be based on new provisions, additions include:</w:t>
            </w:r>
          </w:p>
          <w:p w:rsidR="00EC6939" w:rsidRDefault="00EC6939" w:rsidP="00EC6939">
            <w:pPr>
              <w:pStyle w:val="TableListBullet"/>
              <w:rPr>
                <w:i/>
                <w:iCs/>
              </w:rPr>
            </w:pPr>
            <w:r>
              <w:t xml:space="preserve">a new section to allow calculation of an increase in IPD based on additional energy saved elsewhere in a new building to be added to lighting power allowance; and </w:t>
            </w:r>
          </w:p>
          <w:p w:rsidR="00EC6939" w:rsidRDefault="00EC6939" w:rsidP="00EC6939">
            <w:pPr>
              <w:pStyle w:val="TableListBullet"/>
              <w:rPr>
                <w:lang w:val="en-US"/>
              </w:rPr>
            </w:pPr>
            <w:r>
              <w:t>for a Performance Solution based on a more sophisticated control solution than specified in the DTS.</w:t>
            </w:r>
          </w:p>
        </w:tc>
      </w:tr>
      <w:tr w:rsidR="00EC6939" w:rsidTr="00EC6939">
        <w:tc>
          <w:tcPr>
            <w:tcW w:w="396"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A7111E" w:rsidP="00EC6939">
            <w:pPr>
              <w:pStyle w:val="TableTextEntries"/>
              <w:rPr>
                <w:lang w:val="en-US"/>
              </w:rPr>
            </w:pPr>
            <w:r>
              <w:rPr>
                <w:lang w:val="en-US"/>
              </w:rPr>
              <w:t>4</w:t>
            </w:r>
          </w:p>
        </w:tc>
        <w:tc>
          <w:tcPr>
            <w:tcW w:w="1435"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EC6939" w:rsidP="00EC6939">
            <w:pPr>
              <w:pStyle w:val="TableTextEntries"/>
              <w:rPr>
                <w:lang w:val="en-US"/>
              </w:rPr>
            </w:pPr>
            <w:r>
              <w:t xml:space="preserve">Fans </w:t>
            </w:r>
          </w:p>
        </w:tc>
        <w:tc>
          <w:tcPr>
            <w:tcW w:w="1245"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EC6939" w:rsidP="00EC6939">
            <w:pPr>
              <w:pStyle w:val="TableTextEntries"/>
              <w:rPr>
                <w:lang w:val="en-US"/>
              </w:rPr>
            </w:pPr>
            <w:r>
              <w:t>Calculator</w:t>
            </w:r>
          </w:p>
        </w:tc>
        <w:tc>
          <w:tcPr>
            <w:tcW w:w="928"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EC6939" w:rsidP="00EC6939">
            <w:pPr>
              <w:pStyle w:val="TableTextEntries"/>
              <w:rPr>
                <w:lang w:val="en-US"/>
              </w:rPr>
            </w:pPr>
            <w:r>
              <w:rPr>
                <w:lang w:val="en-US"/>
              </w:rPr>
              <w:t>V high</w:t>
            </w:r>
          </w:p>
        </w:tc>
        <w:tc>
          <w:tcPr>
            <w:tcW w:w="948"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EC6939" w:rsidP="00EC6939">
            <w:pPr>
              <w:pStyle w:val="TableTextEntries"/>
              <w:rPr>
                <w:lang w:val="en-US"/>
              </w:rPr>
            </w:pPr>
            <w:r>
              <w:rPr>
                <w:lang w:val="en-US"/>
              </w:rPr>
              <w:t>FMAANZ</w:t>
            </w:r>
          </w:p>
        </w:tc>
        <w:tc>
          <w:tcPr>
            <w:tcW w:w="2986"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EC6939" w:rsidP="00EC6939">
            <w:pPr>
              <w:pStyle w:val="TableTextEntries"/>
              <w:rPr>
                <w:lang w:val="en-GB"/>
              </w:rPr>
            </w:pPr>
            <w:r>
              <w:t>New to calculate a compliant pressure drop of a system with a given selection of fans.</w:t>
            </w:r>
          </w:p>
          <w:p w:rsidR="00EC6939" w:rsidRDefault="00EC6939" w:rsidP="00EC6939">
            <w:pPr>
              <w:pStyle w:val="TableTextEntries"/>
              <w:rPr>
                <w:lang w:val="en-US"/>
              </w:rPr>
            </w:pPr>
            <w:r>
              <w:t>FMA efficiency curve is undergoing further development to expand its data set and confirm it is appropriate across a number of different fan types. May now be completed in-house</w:t>
            </w:r>
          </w:p>
        </w:tc>
      </w:tr>
      <w:tr w:rsidR="00EC6939" w:rsidTr="00EC6939">
        <w:tc>
          <w:tcPr>
            <w:tcW w:w="396"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A7111E" w:rsidP="00EC6939">
            <w:pPr>
              <w:pStyle w:val="TableTextEntries"/>
              <w:rPr>
                <w:lang w:val="en-US"/>
              </w:rPr>
            </w:pPr>
            <w:r>
              <w:rPr>
                <w:lang w:val="en-US"/>
              </w:rPr>
              <w:t>5</w:t>
            </w:r>
          </w:p>
        </w:tc>
        <w:tc>
          <w:tcPr>
            <w:tcW w:w="1435"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EC6939" w:rsidP="00EC6939">
            <w:pPr>
              <w:pStyle w:val="TableTextEntries"/>
              <w:rPr>
                <w:lang w:val="en-US"/>
              </w:rPr>
            </w:pPr>
            <w:r>
              <w:t xml:space="preserve">Pump pipework </w:t>
            </w:r>
          </w:p>
        </w:tc>
        <w:tc>
          <w:tcPr>
            <w:tcW w:w="1245"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EC6939" w:rsidP="00EC6939">
            <w:pPr>
              <w:pStyle w:val="TableTextEntries"/>
              <w:rPr>
                <w:lang w:val="en-US"/>
              </w:rPr>
            </w:pPr>
            <w:r>
              <w:t>Calculator</w:t>
            </w:r>
          </w:p>
        </w:tc>
        <w:tc>
          <w:tcPr>
            <w:tcW w:w="928"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EC6939" w:rsidP="00EC6939">
            <w:pPr>
              <w:pStyle w:val="TableTextEntries"/>
              <w:rPr>
                <w:lang w:val="en-US"/>
              </w:rPr>
            </w:pPr>
            <w:r>
              <w:rPr>
                <w:lang w:val="en-US"/>
              </w:rPr>
              <w:t>med</w:t>
            </w:r>
          </w:p>
        </w:tc>
        <w:tc>
          <w:tcPr>
            <w:tcW w:w="948"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EC6939" w:rsidP="00EC6939">
            <w:pPr>
              <w:pStyle w:val="TableTextEntries"/>
              <w:rPr>
                <w:lang w:val="en-US"/>
              </w:rPr>
            </w:pPr>
            <w:r>
              <w:rPr>
                <w:lang w:val="en-US"/>
              </w:rPr>
              <w:t>PIA</w:t>
            </w:r>
          </w:p>
        </w:tc>
        <w:tc>
          <w:tcPr>
            <w:tcW w:w="2986"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EC6939" w:rsidP="00EC6939">
            <w:pPr>
              <w:pStyle w:val="TableTextEntries"/>
              <w:rPr>
                <w:lang w:val="en-US"/>
              </w:rPr>
            </w:pPr>
            <w:r>
              <w:t>(new) to calculate a compliant pressure drop of a system with a given selection of pipework May now be completed in-house</w:t>
            </w:r>
          </w:p>
        </w:tc>
      </w:tr>
      <w:tr w:rsidR="00EC6939" w:rsidTr="00EC6939">
        <w:tc>
          <w:tcPr>
            <w:tcW w:w="396"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A7111E" w:rsidP="00EC6939">
            <w:pPr>
              <w:pStyle w:val="TableTextEntries"/>
              <w:rPr>
                <w:lang w:val="en-US"/>
              </w:rPr>
            </w:pPr>
            <w:r>
              <w:rPr>
                <w:lang w:val="en-US"/>
              </w:rPr>
              <w:t>6</w:t>
            </w:r>
          </w:p>
        </w:tc>
        <w:tc>
          <w:tcPr>
            <w:tcW w:w="1435"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EC6939" w:rsidP="00EC6939">
            <w:pPr>
              <w:pStyle w:val="TableTextEntries"/>
              <w:rPr>
                <w:lang w:val="en-US"/>
              </w:rPr>
            </w:pPr>
            <w:r>
              <w:rPr>
                <w:lang w:val="en-US"/>
              </w:rPr>
              <w:t>Facades</w:t>
            </w:r>
          </w:p>
        </w:tc>
        <w:tc>
          <w:tcPr>
            <w:tcW w:w="1245"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EC6939" w:rsidP="00EC6939">
            <w:pPr>
              <w:pStyle w:val="TableTextEntries"/>
              <w:rPr>
                <w:lang w:val="en-US"/>
              </w:rPr>
            </w:pPr>
            <w:r>
              <w:t>Worked Examples</w:t>
            </w:r>
          </w:p>
        </w:tc>
        <w:tc>
          <w:tcPr>
            <w:tcW w:w="928"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EC6939" w:rsidP="00EC6939">
            <w:pPr>
              <w:pStyle w:val="TableTextEntries"/>
              <w:rPr>
                <w:lang w:val="en-US"/>
              </w:rPr>
            </w:pPr>
            <w:r>
              <w:rPr>
                <w:lang w:val="en-US"/>
              </w:rPr>
              <w:t>V High</w:t>
            </w:r>
          </w:p>
        </w:tc>
        <w:tc>
          <w:tcPr>
            <w:tcW w:w="948"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Pr="00EC6939" w:rsidRDefault="00EC6939" w:rsidP="00EC6939">
            <w:pPr>
              <w:pStyle w:val="TableTextEntries"/>
            </w:pPr>
            <w:r w:rsidRPr="00EC6939">
              <w:t>AWA, BPIC, AIBS, PCA</w:t>
            </w:r>
          </w:p>
        </w:tc>
        <w:tc>
          <w:tcPr>
            <w:tcW w:w="2986"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EC6939" w:rsidP="00EC6939">
            <w:pPr>
              <w:pStyle w:val="TableTextEntries"/>
              <w:rPr>
                <w:lang w:val="en-GB"/>
              </w:rPr>
            </w:pPr>
            <w:r>
              <w:rPr>
                <w:lang w:val="en-US"/>
              </w:rPr>
              <w:t>W</w:t>
            </w:r>
            <w:r>
              <w:t>all/ glazing façade of typical construction types (curtain wall, masonry/ punch wall) including a calculation of the effects of Thermal Bridging on façade performance.</w:t>
            </w:r>
          </w:p>
          <w:p w:rsidR="00EC6939" w:rsidRDefault="00EC6939" w:rsidP="00EC6939">
            <w:pPr>
              <w:pStyle w:val="TableTextEntries"/>
              <w:rPr>
                <w:lang w:val="en-US"/>
              </w:rPr>
            </w:pPr>
            <w:r>
              <w:rPr>
                <w:lang w:val="en-US"/>
              </w:rPr>
              <w:t>Provision of these worked examples will be added to the workload of the service provider and delivered with the tool.</w:t>
            </w:r>
          </w:p>
        </w:tc>
      </w:tr>
      <w:tr w:rsidR="00EC6939" w:rsidTr="00EC6939">
        <w:tc>
          <w:tcPr>
            <w:tcW w:w="396"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A7111E" w:rsidP="00EC6939">
            <w:pPr>
              <w:pStyle w:val="TableTextEntries"/>
              <w:rPr>
                <w:lang w:val="en-US"/>
              </w:rPr>
            </w:pPr>
            <w:r>
              <w:rPr>
                <w:lang w:val="en-US"/>
              </w:rPr>
              <w:t>7</w:t>
            </w:r>
          </w:p>
        </w:tc>
        <w:tc>
          <w:tcPr>
            <w:tcW w:w="1435"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EC6939" w:rsidP="00EC6939">
            <w:pPr>
              <w:pStyle w:val="TableTextEntries"/>
              <w:rPr>
                <w:lang w:val="en-US"/>
              </w:rPr>
            </w:pPr>
            <w:r>
              <w:t>Fans</w:t>
            </w:r>
          </w:p>
        </w:tc>
        <w:tc>
          <w:tcPr>
            <w:tcW w:w="1245"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EC6939" w:rsidP="00EC6939">
            <w:pPr>
              <w:pStyle w:val="TableTextEntries"/>
              <w:rPr>
                <w:lang w:val="en-GB"/>
              </w:rPr>
            </w:pPr>
            <w:r>
              <w:t>Worked Examples</w:t>
            </w:r>
          </w:p>
        </w:tc>
        <w:tc>
          <w:tcPr>
            <w:tcW w:w="928"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EC6939" w:rsidP="00EC6939">
            <w:pPr>
              <w:pStyle w:val="TableTextEntries"/>
              <w:rPr>
                <w:lang w:val="en-US"/>
              </w:rPr>
            </w:pPr>
            <w:r>
              <w:rPr>
                <w:lang w:val="en-US"/>
              </w:rPr>
              <w:t>high</w:t>
            </w:r>
          </w:p>
        </w:tc>
        <w:tc>
          <w:tcPr>
            <w:tcW w:w="948"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EC6939" w:rsidP="00EC6939">
            <w:pPr>
              <w:pStyle w:val="TableTextEntries"/>
              <w:rPr>
                <w:lang w:val="en-US"/>
              </w:rPr>
            </w:pPr>
            <w:r>
              <w:rPr>
                <w:lang w:val="en-US"/>
              </w:rPr>
              <w:t>FMAANZ</w:t>
            </w:r>
          </w:p>
        </w:tc>
        <w:tc>
          <w:tcPr>
            <w:tcW w:w="2986"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EC6939" w:rsidP="00EC6939">
            <w:pPr>
              <w:pStyle w:val="TableTextEntries"/>
              <w:rPr>
                <w:lang w:val="en-US"/>
              </w:rPr>
            </w:pPr>
            <w:r>
              <w:t>Four examples: a simple system following fan Method 1 (component level DTS) and Method 2 (system level DTS); and a more complex system following Method 1 and 2.</w:t>
            </w:r>
          </w:p>
        </w:tc>
      </w:tr>
      <w:tr w:rsidR="00EC6939" w:rsidTr="00EC6939">
        <w:tc>
          <w:tcPr>
            <w:tcW w:w="396"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A7111E" w:rsidP="00EC6939">
            <w:pPr>
              <w:pStyle w:val="TableTextEntries"/>
              <w:rPr>
                <w:lang w:val="en-US"/>
              </w:rPr>
            </w:pPr>
            <w:r>
              <w:rPr>
                <w:lang w:val="en-US"/>
              </w:rPr>
              <w:t>8</w:t>
            </w:r>
          </w:p>
        </w:tc>
        <w:tc>
          <w:tcPr>
            <w:tcW w:w="1435"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EC6939" w:rsidP="00EC6939">
            <w:pPr>
              <w:pStyle w:val="TableTextEntries"/>
              <w:rPr>
                <w:lang w:val="en-GB"/>
              </w:rPr>
            </w:pPr>
            <w:r>
              <w:t>Pumps pipework.</w:t>
            </w:r>
          </w:p>
        </w:tc>
        <w:tc>
          <w:tcPr>
            <w:tcW w:w="1245"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EC6939" w:rsidP="00EC6939">
            <w:pPr>
              <w:pStyle w:val="TableTextEntries"/>
            </w:pPr>
            <w:r>
              <w:t>Worked Examples</w:t>
            </w:r>
          </w:p>
        </w:tc>
        <w:tc>
          <w:tcPr>
            <w:tcW w:w="928"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EC6939" w:rsidP="00EC6939">
            <w:pPr>
              <w:pStyle w:val="TableTextEntries"/>
              <w:rPr>
                <w:lang w:val="en-US"/>
              </w:rPr>
            </w:pPr>
            <w:r>
              <w:rPr>
                <w:lang w:val="en-US"/>
              </w:rPr>
              <w:t>med</w:t>
            </w:r>
          </w:p>
        </w:tc>
        <w:tc>
          <w:tcPr>
            <w:tcW w:w="948"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EC6939" w:rsidP="00EC6939">
            <w:pPr>
              <w:pStyle w:val="TableTextEntries"/>
              <w:rPr>
                <w:lang w:val="en-US"/>
              </w:rPr>
            </w:pPr>
            <w:r>
              <w:rPr>
                <w:lang w:val="en-US"/>
              </w:rPr>
              <w:t>PIA</w:t>
            </w:r>
          </w:p>
        </w:tc>
        <w:tc>
          <w:tcPr>
            <w:tcW w:w="2986"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EC6939" w:rsidP="00EC6939">
            <w:pPr>
              <w:pStyle w:val="TableTextEntries"/>
              <w:rPr>
                <w:lang w:val="en-US"/>
              </w:rPr>
            </w:pPr>
            <w:r>
              <w:t>(as per fans)</w:t>
            </w:r>
          </w:p>
        </w:tc>
      </w:tr>
      <w:tr w:rsidR="00EC6939" w:rsidTr="00EC6939">
        <w:tc>
          <w:tcPr>
            <w:tcW w:w="396"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A7111E" w:rsidP="00EC6939">
            <w:pPr>
              <w:pStyle w:val="TableTextEntries"/>
              <w:rPr>
                <w:lang w:val="en-US"/>
              </w:rPr>
            </w:pPr>
            <w:r>
              <w:rPr>
                <w:lang w:val="en-US"/>
              </w:rPr>
              <w:t>9</w:t>
            </w:r>
          </w:p>
        </w:tc>
        <w:tc>
          <w:tcPr>
            <w:tcW w:w="1435"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EC6939" w:rsidP="00EC6939">
            <w:pPr>
              <w:pStyle w:val="TableTextEntries"/>
              <w:rPr>
                <w:lang w:val="en-GB"/>
              </w:rPr>
            </w:pPr>
            <w:r>
              <w:t xml:space="preserve">Lighting, </w:t>
            </w:r>
          </w:p>
        </w:tc>
        <w:tc>
          <w:tcPr>
            <w:tcW w:w="1245"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EC6939" w:rsidP="00EC6939">
            <w:pPr>
              <w:pStyle w:val="TableTextEntries"/>
            </w:pPr>
            <w:r>
              <w:t>Worked Examples</w:t>
            </w:r>
          </w:p>
        </w:tc>
        <w:tc>
          <w:tcPr>
            <w:tcW w:w="928"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EC6939" w:rsidP="00EC6939">
            <w:pPr>
              <w:pStyle w:val="TableTextEntries"/>
              <w:rPr>
                <w:lang w:val="en-US"/>
              </w:rPr>
            </w:pPr>
            <w:r>
              <w:rPr>
                <w:lang w:val="en-US"/>
              </w:rPr>
              <w:t>high</w:t>
            </w:r>
          </w:p>
        </w:tc>
        <w:tc>
          <w:tcPr>
            <w:tcW w:w="948"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EC6939" w:rsidP="00EC6939">
            <w:pPr>
              <w:pStyle w:val="TableTextEntries"/>
              <w:rPr>
                <w:lang w:val="en-US"/>
              </w:rPr>
            </w:pPr>
            <w:r>
              <w:rPr>
                <w:lang w:val="en-US"/>
              </w:rPr>
              <w:t>IES, IALD</w:t>
            </w:r>
          </w:p>
        </w:tc>
        <w:tc>
          <w:tcPr>
            <w:tcW w:w="2986"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EC6939" w:rsidP="00EC6939">
            <w:pPr>
              <w:pStyle w:val="TableTextEntries"/>
              <w:rPr>
                <w:lang w:val="en-US"/>
              </w:rPr>
            </w:pPr>
            <w:r>
              <w:t>An example that uses each of the new adjustment factors available (e.g. colour temperature, new controls)</w:t>
            </w:r>
          </w:p>
        </w:tc>
      </w:tr>
      <w:tr w:rsidR="00EC6939" w:rsidTr="00EC6939">
        <w:tc>
          <w:tcPr>
            <w:tcW w:w="396"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A7111E" w:rsidP="00EC6939">
            <w:pPr>
              <w:pStyle w:val="TableTextEntries"/>
              <w:rPr>
                <w:lang w:val="en-US"/>
              </w:rPr>
            </w:pPr>
            <w:r>
              <w:rPr>
                <w:lang w:val="en-US"/>
              </w:rPr>
              <w:t>10</w:t>
            </w:r>
          </w:p>
        </w:tc>
        <w:tc>
          <w:tcPr>
            <w:tcW w:w="1435"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EC6939" w:rsidP="00EC6939">
            <w:pPr>
              <w:pStyle w:val="TableTextEntries"/>
              <w:rPr>
                <w:lang w:val="en-GB"/>
              </w:rPr>
            </w:pPr>
            <w:r>
              <w:t xml:space="preserve">JV1 </w:t>
            </w:r>
          </w:p>
        </w:tc>
        <w:tc>
          <w:tcPr>
            <w:tcW w:w="1245"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EC6939" w:rsidP="00EC6939">
            <w:pPr>
              <w:pStyle w:val="TableTextEntries"/>
            </w:pPr>
            <w:r>
              <w:t>Worked Examples</w:t>
            </w:r>
          </w:p>
        </w:tc>
        <w:tc>
          <w:tcPr>
            <w:tcW w:w="928"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EC6939" w:rsidP="00EC6939">
            <w:pPr>
              <w:pStyle w:val="TableTextEntries"/>
              <w:rPr>
                <w:lang w:val="en-US"/>
              </w:rPr>
            </w:pPr>
            <w:r>
              <w:rPr>
                <w:lang w:val="en-US"/>
              </w:rPr>
              <w:t>med</w:t>
            </w:r>
          </w:p>
        </w:tc>
        <w:tc>
          <w:tcPr>
            <w:tcW w:w="948"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EC6939" w:rsidP="00EC6939">
            <w:pPr>
              <w:pStyle w:val="TableTextEntries"/>
              <w:rPr>
                <w:lang w:val="en-US"/>
              </w:rPr>
            </w:pPr>
            <w:r>
              <w:rPr>
                <w:lang w:val="en-US"/>
              </w:rPr>
              <w:t>OEH</w:t>
            </w:r>
          </w:p>
        </w:tc>
        <w:tc>
          <w:tcPr>
            <w:tcW w:w="2986"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EC6939" w:rsidP="00EC6939">
            <w:pPr>
              <w:pStyle w:val="TableTextEntries"/>
              <w:rPr>
                <w:lang w:val="en-US"/>
              </w:rPr>
            </w:pPr>
            <w:r>
              <w:t>Use of NABERS as a VM</w:t>
            </w:r>
          </w:p>
        </w:tc>
      </w:tr>
      <w:tr w:rsidR="00EC6939" w:rsidTr="00EC6939">
        <w:tc>
          <w:tcPr>
            <w:tcW w:w="396"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EC6939" w:rsidP="00EC6939">
            <w:pPr>
              <w:pStyle w:val="TableTextEntries"/>
              <w:rPr>
                <w:lang w:val="en-US"/>
              </w:rPr>
            </w:pPr>
            <w:r>
              <w:rPr>
                <w:lang w:val="en-US"/>
              </w:rPr>
              <w:t>1</w:t>
            </w:r>
            <w:r w:rsidR="00A7111E">
              <w:rPr>
                <w:lang w:val="en-US"/>
              </w:rPr>
              <w:t>1</w:t>
            </w:r>
          </w:p>
        </w:tc>
        <w:tc>
          <w:tcPr>
            <w:tcW w:w="1435"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EC6939" w:rsidP="00EC6939">
            <w:pPr>
              <w:pStyle w:val="TableTextEntries"/>
              <w:rPr>
                <w:lang w:val="en-GB"/>
              </w:rPr>
            </w:pPr>
            <w:r>
              <w:t xml:space="preserve">JV2 </w:t>
            </w:r>
          </w:p>
        </w:tc>
        <w:tc>
          <w:tcPr>
            <w:tcW w:w="1245"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EC6939" w:rsidP="00EC6939">
            <w:pPr>
              <w:pStyle w:val="TableTextEntries"/>
            </w:pPr>
            <w:r>
              <w:t>Worked Examples</w:t>
            </w:r>
          </w:p>
        </w:tc>
        <w:tc>
          <w:tcPr>
            <w:tcW w:w="928"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EC6939" w:rsidP="00EC6939">
            <w:pPr>
              <w:pStyle w:val="TableTextEntries"/>
              <w:rPr>
                <w:lang w:val="en-US"/>
              </w:rPr>
            </w:pPr>
            <w:r>
              <w:rPr>
                <w:lang w:val="en-US"/>
              </w:rPr>
              <w:t>med</w:t>
            </w:r>
          </w:p>
        </w:tc>
        <w:tc>
          <w:tcPr>
            <w:tcW w:w="948"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EC6939" w:rsidP="00EC6939">
            <w:pPr>
              <w:pStyle w:val="TableTextEntries"/>
              <w:rPr>
                <w:lang w:val="en-US"/>
              </w:rPr>
            </w:pPr>
            <w:r>
              <w:rPr>
                <w:lang w:val="en-US"/>
              </w:rPr>
              <w:t>GBCA</w:t>
            </w:r>
          </w:p>
        </w:tc>
        <w:tc>
          <w:tcPr>
            <w:tcW w:w="2986"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EC6939" w:rsidP="00EC6939">
            <w:pPr>
              <w:pStyle w:val="TableTextEntries"/>
              <w:rPr>
                <w:lang w:val="en-US"/>
              </w:rPr>
            </w:pPr>
            <w:r>
              <w:t>Use of Green Star as a VM– multiple building type examples (if possible)</w:t>
            </w:r>
          </w:p>
        </w:tc>
      </w:tr>
      <w:tr w:rsidR="00EC6939" w:rsidTr="00EC6939">
        <w:tc>
          <w:tcPr>
            <w:tcW w:w="396"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EC6939" w:rsidP="00EC6939">
            <w:pPr>
              <w:pStyle w:val="TableTextEntries"/>
              <w:rPr>
                <w:lang w:val="en-US"/>
              </w:rPr>
            </w:pPr>
            <w:r>
              <w:rPr>
                <w:lang w:val="en-US"/>
              </w:rPr>
              <w:t>1</w:t>
            </w:r>
            <w:r w:rsidR="00A7111E">
              <w:rPr>
                <w:lang w:val="en-US"/>
              </w:rPr>
              <w:t>2</w:t>
            </w:r>
          </w:p>
        </w:tc>
        <w:tc>
          <w:tcPr>
            <w:tcW w:w="1435"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EC6939" w:rsidP="00EC6939">
            <w:pPr>
              <w:pStyle w:val="TableTextEntries"/>
              <w:rPr>
                <w:lang w:val="en-GB"/>
              </w:rPr>
            </w:pPr>
            <w:r>
              <w:t xml:space="preserve">Class 2 </w:t>
            </w:r>
          </w:p>
        </w:tc>
        <w:tc>
          <w:tcPr>
            <w:tcW w:w="1245"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EC6939" w:rsidP="00EC6939">
            <w:pPr>
              <w:pStyle w:val="TableTextEntries"/>
            </w:pPr>
            <w:r>
              <w:t>Worked Examples</w:t>
            </w:r>
          </w:p>
        </w:tc>
        <w:tc>
          <w:tcPr>
            <w:tcW w:w="928"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EC6939" w:rsidP="00EC6939">
            <w:pPr>
              <w:pStyle w:val="TableTextEntries"/>
              <w:rPr>
                <w:lang w:val="en-US"/>
              </w:rPr>
            </w:pPr>
            <w:r>
              <w:rPr>
                <w:lang w:val="en-US"/>
              </w:rPr>
              <w:t>high</w:t>
            </w:r>
          </w:p>
        </w:tc>
        <w:tc>
          <w:tcPr>
            <w:tcW w:w="948"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tcPr>
          <w:p w:rsidR="00EC6939" w:rsidRDefault="00EC6939" w:rsidP="00EC6939">
            <w:pPr>
              <w:pStyle w:val="TableTextEntries"/>
              <w:rPr>
                <w:lang w:val="en-US"/>
              </w:rPr>
            </w:pPr>
          </w:p>
        </w:tc>
        <w:tc>
          <w:tcPr>
            <w:tcW w:w="2986"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EC6939" w:rsidP="00EC6939">
            <w:pPr>
              <w:pStyle w:val="TableTextEntries"/>
              <w:rPr>
                <w:lang w:val="en-US"/>
              </w:rPr>
            </w:pPr>
            <w:r>
              <w:t>A DTS compliance pathway for a Class 2 building, including how the common areas are to show compliance.</w:t>
            </w:r>
          </w:p>
        </w:tc>
      </w:tr>
      <w:tr w:rsidR="00EC6939" w:rsidTr="00EC6939">
        <w:tc>
          <w:tcPr>
            <w:tcW w:w="396"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EC6939" w:rsidP="00EC6939">
            <w:pPr>
              <w:pStyle w:val="TableTextEntries"/>
              <w:rPr>
                <w:lang w:val="en-US"/>
              </w:rPr>
            </w:pPr>
            <w:r>
              <w:rPr>
                <w:lang w:val="en-US"/>
              </w:rPr>
              <w:t>1</w:t>
            </w:r>
            <w:r w:rsidR="00A7111E">
              <w:rPr>
                <w:lang w:val="en-US"/>
              </w:rPr>
              <w:t>3</w:t>
            </w:r>
          </w:p>
        </w:tc>
        <w:tc>
          <w:tcPr>
            <w:tcW w:w="1435"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EC6939" w:rsidP="00EC6939">
            <w:pPr>
              <w:pStyle w:val="TableTextEntries"/>
              <w:rPr>
                <w:lang w:val="en-GB"/>
              </w:rPr>
            </w:pPr>
            <w:r>
              <w:t>Solar PV</w:t>
            </w:r>
          </w:p>
        </w:tc>
        <w:tc>
          <w:tcPr>
            <w:tcW w:w="1245"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EC6939" w:rsidP="00EC6939">
            <w:pPr>
              <w:pStyle w:val="TableTextEntries"/>
            </w:pPr>
            <w:r>
              <w:t>Worked Examples</w:t>
            </w:r>
          </w:p>
        </w:tc>
        <w:tc>
          <w:tcPr>
            <w:tcW w:w="928"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EC6939" w:rsidP="00EC6939">
            <w:pPr>
              <w:pStyle w:val="TableTextEntries"/>
              <w:rPr>
                <w:lang w:val="en-US"/>
              </w:rPr>
            </w:pPr>
            <w:r>
              <w:rPr>
                <w:lang w:val="en-US"/>
              </w:rPr>
              <w:t>high</w:t>
            </w:r>
          </w:p>
        </w:tc>
        <w:tc>
          <w:tcPr>
            <w:tcW w:w="948"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tcPr>
          <w:p w:rsidR="00EC6939" w:rsidRDefault="00EC6939" w:rsidP="00EC6939">
            <w:pPr>
              <w:pStyle w:val="TableTextEntries"/>
              <w:rPr>
                <w:lang w:val="en-US"/>
              </w:rPr>
            </w:pPr>
          </w:p>
        </w:tc>
        <w:tc>
          <w:tcPr>
            <w:tcW w:w="2986"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EC6939" w:rsidP="00EC6939">
            <w:pPr>
              <w:pStyle w:val="TableTextEntries"/>
              <w:rPr>
                <w:lang w:val="en-US"/>
              </w:rPr>
            </w:pPr>
            <w:r>
              <w:t>How to properly account for a PV system in a JV3 scenario (i.e. establishing how much of the energy generated will be used on site in order to offset the energy in a proposed building). Can build on existing ABCB documentation.</w:t>
            </w:r>
          </w:p>
        </w:tc>
      </w:tr>
      <w:tr w:rsidR="00EC6939" w:rsidTr="00EC6939">
        <w:tc>
          <w:tcPr>
            <w:tcW w:w="396"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EC6939" w:rsidP="00EC6939">
            <w:pPr>
              <w:pStyle w:val="TableTextEntries"/>
              <w:rPr>
                <w:lang w:val="en-US"/>
              </w:rPr>
            </w:pPr>
            <w:r>
              <w:rPr>
                <w:lang w:val="en-US"/>
              </w:rPr>
              <w:t>1</w:t>
            </w:r>
            <w:r w:rsidR="00A7111E">
              <w:rPr>
                <w:lang w:val="en-US"/>
              </w:rPr>
              <w:t>4</w:t>
            </w:r>
          </w:p>
        </w:tc>
        <w:tc>
          <w:tcPr>
            <w:tcW w:w="1435"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EC6939" w:rsidP="00EC6939">
            <w:pPr>
              <w:pStyle w:val="TableTextEntries"/>
              <w:rPr>
                <w:lang w:val="en-GB"/>
              </w:rPr>
            </w:pPr>
            <w:r>
              <w:t>Ground Source Heat pump</w:t>
            </w:r>
          </w:p>
        </w:tc>
        <w:tc>
          <w:tcPr>
            <w:tcW w:w="1245"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EC6939" w:rsidP="00EC6939">
            <w:pPr>
              <w:pStyle w:val="TableTextEntries"/>
            </w:pPr>
            <w:r>
              <w:t>Worked Examples</w:t>
            </w:r>
          </w:p>
        </w:tc>
        <w:tc>
          <w:tcPr>
            <w:tcW w:w="928"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EC6939" w:rsidP="00EC6939">
            <w:pPr>
              <w:pStyle w:val="TableTextEntries"/>
              <w:rPr>
                <w:lang w:val="en-US"/>
              </w:rPr>
            </w:pPr>
            <w:r>
              <w:rPr>
                <w:lang w:val="en-US"/>
              </w:rPr>
              <w:t>low</w:t>
            </w:r>
          </w:p>
        </w:tc>
        <w:tc>
          <w:tcPr>
            <w:tcW w:w="948"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tcPr>
          <w:p w:rsidR="00EC6939" w:rsidRDefault="00EC6939" w:rsidP="00EC6939">
            <w:pPr>
              <w:pStyle w:val="TableTextEntries"/>
              <w:rPr>
                <w:lang w:val="en-US"/>
              </w:rPr>
            </w:pPr>
          </w:p>
        </w:tc>
        <w:tc>
          <w:tcPr>
            <w:tcW w:w="2986"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EC6939" w:rsidP="00EC6939">
            <w:pPr>
              <w:pStyle w:val="TableTextEntries"/>
              <w:rPr>
                <w:lang w:val="en-US"/>
              </w:rPr>
            </w:pPr>
            <w:r>
              <w:t>An example of a compliant ground source heating system</w:t>
            </w:r>
          </w:p>
        </w:tc>
      </w:tr>
      <w:tr w:rsidR="00EC6939" w:rsidTr="00EC6939">
        <w:tc>
          <w:tcPr>
            <w:tcW w:w="396"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EC6939" w:rsidP="00EC6939">
            <w:pPr>
              <w:pStyle w:val="TableTextEntries"/>
              <w:rPr>
                <w:lang w:val="en-US"/>
              </w:rPr>
            </w:pPr>
            <w:r>
              <w:rPr>
                <w:lang w:val="en-US"/>
              </w:rPr>
              <w:t>1</w:t>
            </w:r>
            <w:r w:rsidR="00A7111E">
              <w:rPr>
                <w:lang w:val="en-US"/>
              </w:rPr>
              <w:t>5</w:t>
            </w:r>
          </w:p>
        </w:tc>
        <w:tc>
          <w:tcPr>
            <w:tcW w:w="1435"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EC6939" w:rsidP="00EC6939">
            <w:pPr>
              <w:pStyle w:val="TableTextEntries"/>
              <w:rPr>
                <w:lang w:val="en-GB"/>
              </w:rPr>
            </w:pPr>
            <w:r>
              <w:t>Campus type sites with central thermal plant</w:t>
            </w:r>
          </w:p>
        </w:tc>
        <w:tc>
          <w:tcPr>
            <w:tcW w:w="1245"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EC6939" w:rsidP="00EC6939">
            <w:pPr>
              <w:pStyle w:val="TableTextEntries"/>
            </w:pPr>
            <w:r>
              <w:t>Worked Examples</w:t>
            </w:r>
          </w:p>
        </w:tc>
        <w:tc>
          <w:tcPr>
            <w:tcW w:w="928"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EC6939" w:rsidP="00EC6939">
            <w:pPr>
              <w:pStyle w:val="TableTextEntries"/>
              <w:rPr>
                <w:lang w:val="en-US"/>
              </w:rPr>
            </w:pPr>
            <w:r>
              <w:rPr>
                <w:lang w:val="en-US"/>
              </w:rPr>
              <w:t>low</w:t>
            </w:r>
          </w:p>
        </w:tc>
        <w:tc>
          <w:tcPr>
            <w:tcW w:w="948"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tcPr>
          <w:p w:rsidR="00EC6939" w:rsidRDefault="00EC6939" w:rsidP="00EC6939">
            <w:pPr>
              <w:pStyle w:val="TableTextEntries"/>
              <w:rPr>
                <w:sz w:val="24"/>
                <w:szCs w:val="24"/>
                <w:lang w:val="en-GB"/>
              </w:rPr>
            </w:pPr>
          </w:p>
        </w:tc>
        <w:tc>
          <w:tcPr>
            <w:tcW w:w="2986"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EC6939" w:rsidP="00EC6939">
            <w:pPr>
              <w:pStyle w:val="TableTextEntries"/>
              <w:rPr>
                <w:sz w:val="22"/>
                <w:szCs w:val="22"/>
              </w:rPr>
            </w:pPr>
            <w:r>
              <w:t>An example of a compliant HVAC system in a precinct scenario.</w:t>
            </w:r>
          </w:p>
        </w:tc>
      </w:tr>
      <w:tr w:rsidR="00EC6939" w:rsidTr="00EC6939">
        <w:tc>
          <w:tcPr>
            <w:tcW w:w="396"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EC6939" w:rsidP="00EC6939">
            <w:pPr>
              <w:pStyle w:val="TableTextEntries"/>
              <w:rPr>
                <w:lang w:val="en-US"/>
              </w:rPr>
            </w:pPr>
            <w:r>
              <w:rPr>
                <w:lang w:val="en-US"/>
              </w:rPr>
              <w:t>1</w:t>
            </w:r>
            <w:r w:rsidR="00A7111E">
              <w:rPr>
                <w:lang w:val="en-US"/>
              </w:rPr>
              <w:t>6</w:t>
            </w:r>
          </w:p>
        </w:tc>
        <w:tc>
          <w:tcPr>
            <w:tcW w:w="1435"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EC6939" w:rsidP="00EC6939">
            <w:pPr>
              <w:pStyle w:val="TableTextEntries"/>
              <w:rPr>
                <w:lang w:val="en-GB"/>
              </w:rPr>
            </w:pPr>
            <w:r>
              <w:t>Awareness Raising</w:t>
            </w:r>
          </w:p>
        </w:tc>
        <w:tc>
          <w:tcPr>
            <w:tcW w:w="1245"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EC6939" w:rsidP="00EC6939">
            <w:pPr>
              <w:pStyle w:val="TableTextEntries"/>
            </w:pPr>
            <w:r>
              <w:t>various</w:t>
            </w:r>
          </w:p>
        </w:tc>
        <w:tc>
          <w:tcPr>
            <w:tcW w:w="928"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EC6939" w:rsidP="00EC6939">
            <w:pPr>
              <w:pStyle w:val="TableTextEntries"/>
              <w:rPr>
                <w:lang w:val="en-US"/>
              </w:rPr>
            </w:pPr>
            <w:r>
              <w:rPr>
                <w:lang w:val="en-US"/>
              </w:rPr>
              <w:t>High</w:t>
            </w:r>
          </w:p>
        </w:tc>
        <w:tc>
          <w:tcPr>
            <w:tcW w:w="948"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tcPr>
          <w:p w:rsidR="00EC6939" w:rsidRDefault="00EC6939" w:rsidP="00EC6939">
            <w:pPr>
              <w:pStyle w:val="TableTextEntries"/>
              <w:rPr>
                <w:lang w:val="en-US"/>
              </w:rPr>
            </w:pPr>
          </w:p>
        </w:tc>
        <w:tc>
          <w:tcPr>
            <w:tcW w:w="2986"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EC6939" w:rsidP="00EC6939">
            <w:pPr>
              <w:pStyle w:val="TableTextEntries"/>
              <w:rPr>
                <w:lang w:val="en-GB"/>
              </w:rPr>
            </w:pPr>
            <w:r>
              <w:t>Social Media, Roadshow, Webinar, Merchandise, Industry Association Seminars (PIA, IBSA, PCA, MBA, etc).</w:t>
            </w:r>
          </w:p>
          <w:p w:rsidR="00EC6939" w:rsidRDefault="00EC6939" w:rsidP="00EC6939">
            <w:pPr>
              <w:pStyle w:val="TableTextEntries"/>
              <w:rPr>
                <w:lang w:val="en-US"/>
              </w:rPr>
            </w:pPr>
            <w:r>
              <w:t>ABCB has meetings/ presentations scheduled with AREMA, PIA, AIRAH and the PCA in August/ September</w:t>
            </w:r>
          </w:p>
        </w:tc>
      </w:tr>
      <w:tr w:rsidR="00EC6939" w:rsidTr="00EC6939">
        <w:tc>
          <w:tcPr>
            <w:tcW w:w="396"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EC6939" w:rsidP="00EC6939">
            <w:pPr>
              <w:pStyle w:val="TableTextEntries"/>
              <w:rPr>
                <w:lang w:val="en-US"/>
              </w:rPr>
            </w:pPr>
            <w:r>
              <w:rPr>
                <w:lang w:val="en-US"/>
              </w:rPr>
              <w:t>1</w:t>
            </w:r>
            <w:r w:rsidR="00A7111E">
              <w:rPr>
                <w:lang w:val="en-US"/>
              </w:rPr>
              <w:t>7</w:t>
            </w:r>
          </w:p>
        </w:tc>
        <w:tc>
          <w:tcPr>
            <w:tcW w:w="1435"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EC6939" w:rsidP="00EC6939">
            <w:pPr>
              <w:pStyle w:val="TableTextEntries"/>
              <w:rPr>
                <w:lang w:val="en-GB"/>
              </w:rPr>
            </w:pPr>
            <w:r>
              <w:t>Compliance Pathways</w:t>
            </w:r>
          </w:p>
        </w:tc>
        <w:tc>
          <w:tcPr>
            <w:tcW w:w="1245"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EC6939" w:rsidP="00EC6939">
            <w:pPr>
              <w:pStyle w:val="TableTextEntries"/>
            </w:pPr>
            <w:r>
              <w:t>Fact sheets</w:t>
            </w:r>
          </w:p>
        </w:tc>
        <w:tc>
          <w:tcPr>
            <w:tcW w:w="928"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EC6939" w:rsidP="00EC6939">
            <w:pPr>
              <w:pStyle w:val="TableTextEntries"/>
              <w:rPr>
                <w:lang w:val="en-US"/>
              </w:rPr>
            </w:pPr>
            <w:r>
              <w:rPr>
                <w:lang w:val="en-US"/>
              </w:rPr>
              <w:t>Med</w:t>
            </w:r>
          </w:p>
        </w:tc>
        <w:tc>
          <w:tcPr>
            <w:tcW w:w="948"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tcPr>
          <w:p w:rsidR="00EC6939" w:rsidRDefault="00EC6939" w:rsidP="00EC6939">
            <w:pPr>
              <w:pStyle w:val="TableTextEntries"/>
              <w:rPr>
                <w:lang w:val="en-US"/>
              </w:rPr>
            </w:pPr>
          </w:p>
        </w:tc>
        <w:tc>
          <w:tcPr>
            <w:tcW w:w="2986"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EC6939" w:rsidP="00EC6939">
            <w:pPr>
              <w:pStyle w:val="TableTextEntries"/>
              <w:rPr>
                <w:lang w:val="en-GB"/>
              </w:rPr>
            </w:pPr>
            <w:r>
              <w:t>Building on existing ABCB materials on the various pathways by which a building can comply, focus on hybrid versions.</w:t>
            </w:r>
          </w:p>
          <w:p w:rsidR="00EC6939" w:rsidRDefault="00EC6939" w:rsidP="00EC6939">
            <w:pPr>
              <w:pStyle w:val="TableTextEntries"/>
              <w:rPr>
                <w:lang w:val="en-US"/>
              </w:rPr>
            </w:pPr>
            <w:r>
              <w:t>Can build on existing ABCB documentation</w:t>
            </w:r>
          </w:p>
        </w:tc>
      </w:tr>
      <w:tr w:rsidR="00EC6939" w:rsidTr="00EC6939">
        <w:tc>
          <w:tcPr>
            <w:tcW w:w="396"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EC6939" w:rsidP="00EC6939">
            <w:pPr>
              <w:pStyle w:val="TableTextEntries"/>
              <w:rPr>
                <w:lang w:val="en-US"/>
              </w:rPr>
            </w:pPr>
            <w:r>
              <w:rPr>
                <w:lang w:val="en-US"/>
              </w:rPr>
              <w:t>1</w:t>
            </w:r>
            <w:r w:rsidR="00A7111E">
              <w:rPr>
                <w:lang w:val="en-US"/>
              </w:rPr>
              <w:t>8</w:t>
            </w:r>
          </w:p>
        </w:tc>
        <w:tc>
          <w:tcPr>
            <w:tcW w:w="1435"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EC6939" w:rsidP="00EC6939">
            <w:pPr>
              <w:pStyle w:val="TableTextEntries"/>
              <w:rPr>
                <w:lang w:val="en-GB"/>
              </w:rPr>
            </w:pPr>
            <w:r>
              <w:t>Thermal Bridging</w:t>
            </w:r>
          </w:p>
        </w:tc>
        <w:tc>
          <w:tcPr>
            <w:tcW w:w="1245"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EC6939" w:rsidP="00EC6939">
            <w:pPr>
              <w:pStyle w:val="TableTextEntries"/>
            </w:pPr>
            <w:r>
              <w:t>Fact sheets</w:t>
            </w:r>
          </w:p>
        </w:tc>
        <w:tc>
          <w:tcPr>
            <w:tcW w:w="928"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EC6939" w:rsidP="00EC6939">
            <w:pPr>
              <w:pStyle w:val="TableTextEntries"/>
              <w:rPr>
                <w:lang w:val="en-US"/>
              </w:rPr>
            </w:pPr>
            <w:r>
              <w:rPr>
                <w:lang w:val="en-US"/>
              </w:rPr>
              <w:t>High</w:t>
            </w:r>
          </w:p>
        </w:tc>
        <w:tc>
          <w:tcPr>
            <w:tcW w:w="948"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tcPr>
          <w:p w:rsidR="00EC6939" w:rsidRDefault="00EC6939" w:rsidP="00EC6939">
            <w:pPr>
              <w:pStyle w:val="TableTextEntries"/>
              <w:rPr>
                <w:lang w:val="en-US"/>
              </w:rPr>
            </w:pPr>
          </w:p>
        </w:tc>
        <w:tc>
          <w:tcPr>
            <w:tcW w:w="2986"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EC6939" w:rsidP="00EC6939">
            <w:pPr>
              <w:pStyle w:val="TableTextEntries"/>
              <w:rPr>
                <w:lang w:val="en-US"/>
              </w:rPr>
            </w:pPr>
            <w:r>
              <w:t>What it is, how it affects R or U values, how to avoid it. Tables that convert material R value to Total R value in common construction types that take into account thermal bridging that can be used when calculating total façade U value.</w:t>
            </w:r>
          </w:p>
        </w:tc>
      </w:tr>
      <w:tr w:rsidR="00EC6939" w:rsidTr="00EC6939">
        <w:tc>
          <w:tcPr>
            <w:tcW w:w="396"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A7111E" w:rsidP="00EC6939">
            <w:pPr>
              <w:pStyle w:val="TableTextEntries"/>
              <w:rPr>
                <w:lang w:val="en-US"/>
              </w:rPr>
            </w:pPr>
            <w:r>
              <w:rPr>
                <w:lang w:val="en-US"/>
              </w:rPr>
              <w:t>19</w:t>
            </w:r>
          </w:p>
        </w:tc>
        <w:tc>
          <w:tcPr>
            <w:tcW w:w="1435"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EC6939" w:rsidP="00EC6939">
            <w:pPr>
              <w:pStyle w:val="TableTextEntries"/>
              <w:rPr>
                <w:lang w:val="en-GB"/>
              </w:rPr>
            </w:pPr>
            <w:r>
              <w:t xml:space="preserve">Lighting </w:t>
            </w:r>
          </w:p>
        </w:tc>
        <w:tc>
          <w:tcPr>
            <w:tcW w:w="1245"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EC6939" w:rsidP="00EC6939">
            <w:pPr>
              <w:pStyle w:val="TableTextEntries"/>
            </w:pPr>
            <w:r>
              <w:t>Guidance Material on Performance Solutions</w:t>
            </w:r>
          </w:p>
        </w:tc>
        <w:tc>
          <w:tcPr>
            <w:tcW w:w="928"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EC6939" w:rsidP="00EC6939">
            <w:pPr>
              <w:pStyle w:val="TableTextEntries"/>
              <w:rPr>
                <w:lang w:val="en-US"/>
              </w:rPr>
            </w:pPr>
            <w:r>
              <w:rPr>
                <w:lang w:val="en-US"/>
              </w:rPr>
              <w:t>High</w:t>
            </w:r>
          </w:p>
        </w:tc>
        <w:tc>
          <w:tcPr>
            <w:tcW w:w="948"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EC6939" w:rsidP="00EC6939">
            <w:pPr>
              <w:pStyle w:val="TableTextEntries"/>
              <w:rPr>
                <w:lang w:val="en-US"/>
              </w:rPr>
            </w:pPr>
            <w:r>
              <w:rPr>
                <w:lang w:val="en-US"/>
              </w:rPr>
              <w:t>IES</w:t>
            </w:r>
          </w:p>
        </w:tc>
        <w:tc>
          <w:tcPr>
            <w:tcW w:w="2986"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EC6939" w:rsidP="00EC6939">
            <w:pPr>
              <w:pStyle w:val="TableTextEntries"/>
              <w:rPr>
                <w:lang w:val="en-US"/>
              </w:rPr>
            </w:pPr>
            <w:r>
              <w:t>The relationship between the IPD values in the code and AS NZ 1680.1, and where it may be appropriate to increase an IPD for a space when 1680.1 specifies higher lux levels are required.</w:t>
            </w:r>
          </w:p>
        </w:tc>
      </w:tr>
      <w:tr w:rsidR="00EC6939" w:rsidTr="00EC6939">
        <w:trPr>
          <w:trHeight w:val="1024"/>
        </w:trPr>
        <w:tc>
          <w:tcPr>
            <w:tcW w:w="396"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A7111E" w:rsidP="00EC6939">
            <w:pPr>
              <w:pStyle w:val="TableTextEntries"/>
              <w:rPr>
                <w:lang w:val="en-US"/>
              </w:rPr>
            </w:pPr>
            <w:r>
              <w:rPr>
                <w:lang w:val="en-US"/>
              </w:rPr>
              <w:t>20</w:t>
            </w:r>
          </w:p>
        </w:tc>
        <w:tc>
          <w:tcPr>
            <w:tcW w:w="1435"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EC6939" w:rsidP="00EC6939">
            <w:pPr>
              <w:pStyle w:val="TableTextEntries"/>
              <w:rPr>
                <w:lang w:val="en-GB"/>
              </w:rPr>
            </w:pPr>
            <w:r>
              <w:t>Comfort/PMV</w:t>
            </w:r>
          </w:p>
        </w:tc>
        <w:tc>
          <w:tcPr>
            <w:tcW w:w="1245"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EC6939" w:rsidP="00EC6939">
            <w:pPr>
              <w:pStyle w:val="TableTextEntries"/>
            </w:pPr>
            <w:r>
              <w:t>Guidance Material on Performance Solutions</w:t>
            </w:r>
          </w:p>
        </w:tc>
        <w:tc>
          <w:tcPr>
            <w:tcW w:w="928"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EC6939" w:rsidP="00EC6939">
            <w:pPr>
              <w:pStyle w:val="TableTextEntries"/>
              <w:rPr>
                <w:lang w:val="en-US"/>
              </w:rPr>
            </w:pPr>
            <w:r>
              <w:rPr>
                <w:lang w:val="en-US"/>
              </w:rPr>
              <w:t>High</w:t>
            </w:r>
          </w:p>
        </w:tc>
        <w:tc>
          <w:tcPr>
            <w:tcW w:w="948"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tcPr>
          <w:p w:rsidR="00EC6939" w:rsidRDefault="00EC6939" w:rsidP="00EC6939">
            <w:pPr>
              <w:pStyle w:val="TableTextEntries"/>
              <w:rPr>
                <w:lang w:val="en-US"/>
              </w:rPr>
            </w:pPr>
          </w:p>
        </w:tc>
        <w:tc>
          <w:tcPr>
            <w:tcW w:w="2986"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EC6939" w:rsidP="00EC6939">
            <w:pPr>
              <w:pStyle w:val="TableTextEntries"/>
              <w:rPr>
                <w:lang w:val="en-US"/>
              </w:rPr>
            </w:pPr>
            <w:r>
              <w:t>Use of the Adaptive Comfort standard in place of PMV for mixed mode and naturally ventilated buildings</w:t>
            </w:r>
          </w:p>
        </w:tc>
      </w:tr>
      <w:tr w:rsidR="00EC6939" w:rsidTr="00EC6939">
        <w:tc>
          <w:tcPr>
            <w:tcW w:w="396"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A7111E" w:rsidP="00EC6939">
            <w:pPr>
              <w:pStyle w:val="TableTextEntries"/>
              <w:rPr>
                <w:lang w:val="en-US"/>
              </w:rPr>
            </w:pPr>
            <w:r>
              <w:rPr>
                <w:lang w:val="en-US"/>
              </w:rPr>
              <w:t>21</w:t>
            </w:r>
          </w:p>
        </w:tc>
        <w:tc>
          <w:tcPr>
            <w:tcW w:w="1435"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EC6939" w:rsidP="00EC6939">
            <w:pPr>
              <w:pStyle w:val="TableTextEntries"/>
              <w:rPr>
                <w:lang w:val="en-GB"/>
              </w:rPr>
            </w:pPr>
            <w:r>
              <w:t xml:space="preserve">Chillers </w:t>
            </w:r>
          </w:p>
        </w:tc>
        <w:tc>
          <w:tcPr>
            <w:tcW w:w="1245"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EC6939" w:rsidP="00EC6939">
            <w:pPr>
              <w:pStyle w:val="TableTextEntries"/>
            </w:pPr>
            <w:r>
              <w:t>Guidance Material on Performance Solutions</w:t>
            </w:r>
          </w:p>
        </w:tc>
        <w:tc>
          <w:tcPr>
            <w:tcW w:w="928"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EC6939" w:rsidP="00EC6939">
            <w:pPr>
              <w:pStyle w:val="TableTextEntries"/>
              <w:rPr>
                <w:lang w:val="en-US"/>
              </w:rPr>
            </w:pPr>
            <w:r>
              <w:rPr>
                <w:lang w:val="en-US"/>
              </w:rPr>
              <w:t>Med</w:t>
            </w:r>
          </w:p>
        </w:tc>
        <w:tc>
          <w:tcPr>
            <w:tcW w:w="948"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tcPr>
          <w:p w:rsidR="00EC6939" w:rsidRDefault="00EC6939" w:rsidP="00EC6939">
            <w:pPr>
              <w:pStyle w:val="TableTextEntries"/>
              <w:rPr>
                <w:lang w:val="en-US"/>
              </w:rPr>
            </w:pPr>
          </w:p>
        </w:tc>
        <w:tc>
          <w:tcPr>
            <w:tcW w:w="2986"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EC6939" w:rsidP="00EC6939">
            <w:pPr>
              <w:pStyle w:val="TableTextEntries"/>
              <w:rPr>
                <w:lang w:val="en-GB"/>
              </w:rPr>
            </w:pPr>
            <w:r>
              <w:t>Use of the Euro vent standard in place of AHRI to show compliance with the DTS requirements for chillers.</w:t>
            </w:r>
          </w:p>
          <w:p w:rsidR="00EC6939" w:rsidRDefault="00EC6939" w:rsidP="00EC6939">
            <w:pPr>
              <w:pStyle w:val="TableTextEntries"/>
              <w:rPr>
                <w:lang w:val="en-US"/>
              </w:rPr>
            </w:pPr>
            <w:r>
              <w:t>Will build on materials being developed as part of the MEPs process for Chillers and released as part of the MEPs Position Paper.</w:t>
            </w:r>
          </w:p>
        </w:tc>
      </w:tr>
      <w:tr w:rsidR="00EC6939" w:rsidTr="00EC6939">
        <w:tc>
          <w:tcPr>
            <w:tcW w:w="396"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A7111E" w:rsidP="00EC6939">
            <w:pPr>
              <w:pStyle w:val="TableTextEntries"/>
              <w:rPr>
                <w:lang w:val="en-US"/>
              </w:rPr>
            </w:pPr>
            <w:r>
              <w:rPr>
                <w:lang w:val="en-US"/>
              </w:rPr>
              <w:t>22</w:t>
            </w:r>
          </w:p>
        </w:tc>
        <w:tc>
          <w:tcPr>
            <w:tcW w:w="1435"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EC6939" w:rsidP="00EC6939">
            <w:pPr>
              <w:pStyle w:val="TableTextEntries"/>
              <w:rPr>
                <w:lang w:val="en-GB"/>
              </w:rPr>
            </w:pPr>
            <w:r>
              <w:t xml:space="preserve">Fans </w:t>
            </w:r>
          </w:p>
        </w:tc>
        <w:tc>
          <w:tcPr>
            <w:tcW w:w="1245"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EC6939" w:rsidP="00EC6939">
            <w:pPr>
              <w:pStyle w:val="TableTextEntries"/>
            </w:pPr>
            <w:r>
              <w:t>Guidance Material on Performance Solutions</w:t>
            </w:r>
          </w:p>
        </w:tc>
        <w:tc>
          <w:tcPr>
            <w:tcW w:w="928"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EC6939" w:rsidP="00EC6939">
            <w:pPr>
              <w:pStyle w:val="TableTextEntries"/>
              <w:rPr>
                <w:lang w:val="en-US"/>
              </w:rPr>
            </w:pPr>
            <w:r>
              <w:rPr>
                <w:lang w:val="en-US"/>
              </w:rPr>
              <w:t>High</w:t>
            </w:r>
          </w:p>
        </w:tc>
        <w:tc>
          <w:tcPr>
            <w:tcW w:w="948"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EC6939" w:rsidP="00EC6939">
            <w:pPr>
              <w:pStyle w:val="TableTextEntries"/>
              <w:rPr>
                <w:lang w:val="en-US"/>
              </w:rPr>
            </w:pPr>
            <w:r>
              <w:rPr>
                <w:lang w:val="en-US"/>
              </w:rPr>
              <w:t>FMAANZ</w:t>
            </w:r>
          </w:p>
        </w:tc>
        <w:tc>
          <w:tcPr>
            <w:tcW w:w="2986"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EC6939" w:rsidP="00EC6939">
            <w:pPr>
              <w:pStyle w:val="TableTextEntries"/>
              <w:rPr>
                <w:lang w:val="en-US"/>
              </w:rPr>
            </w:pPr>
            <w:r>
              <w:t>(TBA) – use of the FMAANZ efficiency curve to show compliance with the DTS for fans</w:t>
            </w:r>
          </w:p>
        </w:tc>
      </w:tr>
      <w:tr w:rsidR="00EC6939" w:rsidTr="00EC6939">
        <w:tc>
          <w:tcPr>
            <w:tcW w:w="396"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A7111E" w:rsidP="00EC6939">
            <w:pPr>
              <w:pStyle w:val="TableTextEntries"/>
              <w:rPr>
                <w:lang w:val="en-US"/>
              </w:rPr>
            </w:pPr>
            <w:r>
              <w:rPr>
                <w:lang w:val="en-US"/>
              </w:rPr>
              <w:t>23</w:t>
            </w:r>
          </w:p>
        </w:tc>
        <w:tc>
          <w:tcPr>
            <w:tcW w:w="1435"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EC6939" w:rsidP="00EC6939">
            <w:pPr>
              <w:pStyle w:val="TableTextEntries"/>
              <w:rPr>
                <w:lang w:val="en-GB"/>
              </w:rPr>
            </w:pPr>
            <w:r>
              <w:t>Section J - Guide to Reference Documents.</w:t>
            </w:r>
          </w:p>
        </w:tc>
        <w:tc>
          <w:tcPr>
            <w:tcW w:w="1245"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EC6939" w:rsidP="00EC6939">
            <w:pPr>
              <w:pStyle w:val="TableTextEntries"/>
            </w:pPr>
            <w:r>
              <w:t>Fact Sheets</w:t>
            </w:r>
          </w:p>
        </w:tc>
        <w:tc>
          <w:tcPr>
            <w:tcW w:w="928"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EC6939" w:rsidP="00EC6939">
            <w:pPr>
              <w:pStyle w:val="TableTextEntries"/>
              <w:rPr>
                <w:lang w:val="en-US"/>
              </w:rPr>
            </w:pPr>
            <w:r>
              <w:rPr>
                <w:lang w:val="en-US"/>
              </w:rPr>
              <w:t>Med</w:t>
            </w:r>
          </w:p>
        </w:tc>
        <w:tc>
          <w:tcPr>
            <w:tcW w:w="948"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tcPr>
          <w:p w:rsidR="00EC6939" w:rsidRDefault="00EC6939" w:rsidP="00EC6939">
            <w:pPr>
              <w:pStyle w:val="TableTextEntries"/>
              <w:rPr>
                <w:lang w:val="en-US"/>
              </w:rPr>
            </w:pPr>
          </w:p>
        </w:tc>
        <w:tc>
          <w:tcPr>
            <w:tcW w:w="2986"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EC6939" w:rsidP="00EC6939">
            <w:pPr>
              <w:pStyle w:val="TableTextEntries"/>
              <w:rPr>
                <w:lang w:val="en-US"/>
              </w:rPr>
            </w:pPr>
            <w:r>
              <w:t>Lists of the documents, standards etc. referenced in Section J.</w:t>
            </w:r>
          </w:p>
        </w:tc>
      </w:tr>
      <w:tr w:rsidR="00EC6939" w:rsidTr="00EC6939">
        <w:tc>
          <w:tcPr>
            <w:tcW w:w="396"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A7111E" w:rsidP="00EC6939">
            <w:pPr>
              <w:pStyle w:val="TableTextEntries"/>
              <w:rPr>
                <w:lang w:val="en-US"/>
              </w:rPr>
            </w:pPr>
            <w:r>
              <w:rPr>
                <w:lang w:val="en-US"/>
              </w:rPr>
              <w:t>24</w:t>
            </w:r>
          </w:p>
        </w:tc>
        <w:tc>
          <w:tcPr>
            <w:tcW w:w="1435"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EC6939" w:rsidP="00EC6939">
            <w:pPr>
              <w:pStyle w:val="TableTextEntries"/>
              <w:rPr>
                <w:lang w:val="en-GB"/>
              </w:rPr>
            </w:pPr>
            <w:r>
              <w:t>Update/re-write existing based on the new provisions.</w:t>
            </w:r>
          </w:p>
        </w:tc>
        <w:tc>
          <w:tcPr>
            <w:tcW w:w="1245"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EC6939" w:rsidP="00EC6939">
            <w:pPr>
              <w:pStyle w:val="TableTextEntries"/>
            </w:pPr>
            <w:r>
              <w:t>Training materials</w:t>
            </w:r>
          </w:p>
        </w:tc>
        <w:tc>
          <w:tcPr>
            <w:tcW w:w="928"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EC6939" w:rsidP="00EC6939">
            <w:pPr>
              <w:pStyle w:val="TableTextEntries"/>
              <w:rPr>
                <w:lang w:val="en-US"/>
              </w:rPr>
            </w:pPr>
            <w:r>
              <w:rPr>
                <w:lang w:val="en-US"/>
              </w:rPr>
              <w:t>Low</w:t>
            </w:r>
          </w:p>
        </w:tc>
        <w:tc>
          <w:tcPr>
            <w:tcW w:w="948"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tcPr>
          <w:p w:rsidR="00EC6939" w:rsidRDefault="00EC6939" w:rsidP="00EC6939">
            <w:pPr>
              <w:pStyle w:val="TableTextEntries"/>
              <w:rPr>
                <w:lang w:val="en-US"/>
              </w:rPr>
            </w:pPr>
          </w:p>
        </w:tc>
        <w:tc>
          <w:tcPr>
            <w:tcW w:w="2986"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EC6939" w:rsidP="00EC6939">
            <w:pPr>
              <w:pStyle w:val="TableTextEntries"/>
              <w:rPr>
                <w:lang w:val="en-GB"/>
              </w:rPr>
            </w:pPr>
            <w:r>
              <w:t>Review the existing energy efficiency NCC Tutor documentation and adapt/ replace as needed.</w:t>
            </w:r>
          </w:p>
        </w:tc>
      </w:tr>
      <w:tr w:rsidR="00EC6939" w:rsidTr="00EC6939">
        <w:tc>
          <w:tcPr>
            <w:tcW w:w="396"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A7111E" w:rsidP="00EC6939">
            <w:pPr>
              <w:pStyle w:val="TableTextEntries"/>
              <w:rPr>
                <w:lang w:val="en-US"/>
              </w:rPr>
            </w:pPr>
            <w:r>
              <w:rPr>
                <w:lang w:val="en-US"/>
              </w:rPr>
              <w:t>25</w:t>
            </w:r>
          </w:p>
        </w:tc>
        <w:tc>
          <w:tcPr>
            <w:tcW w:w="1435"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EC6939" w:rsidP="00EC6939">
            <w:pPr>
              <w:pStyle w:val="TableTextEntries"/>
              <w:rPr>
                <w:lang w:val="en-GB"/>
              </w:rPr>
            </w:pPr>
            <w:r>
              <w:t>Small class 5 office that “just complies” with the DTS 2019 provisions</w:t>
            </w:r>
          </w:p>
        </w:tc>
        <w:tc>
          <w:tcPr>
            <w:tcW w:w="1245"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EC6939" w:rsidP="00EC6939">
            <w:pPr>
              <w:pStyle w:val="TableTextEntries"/>
            </w:pPr>
            <w:r>
              <w:t>Case Studies</w:t>
            </w:r>
          </w:p>
        </w:tc>
        <w:tc>
          <w:tcPr>
            <w:tcW w:w="928"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EC6939" w:rsidP="00EC6939">
            <w:pPr>
              <w:pStyle w:val="TableTextEntries"/>
              <w:rPr>
                <w:lang w:val="en-US"/>
              </w:rPr>
            </w:pPr>
            <w:r>
              <w:rPr>
                <w:lang w:val="en-US"/>
              </w:rPr>
              <w:t>Med</w:t>
            </w:r>
          </w:p>
        </w:tc>
        <w:tc>
          <w:tcPr>
            <w:tcW w:w="948"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EC6939" w:rsidP="00EC6939">
            <w:pPr>
              <w:pStyle w:val="TableTextEntries"/>
              <w:rPr>
                <w:lang w:val="en-US"/>
              </w:rPr>
            </w:pPr>
            <w:r>
              <w:rPr>
                <w:lang w:val="en-US"/>
              </w:rPr>
              <w:t>PCA</w:t>
            </w:r>
          </w:p>
        </w:tc>
        <w:tc>
          <w:tcPr>
            <w:tcW w:w="2986"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EC6939" w:rsidP="00EC6939">
            <w:pPr>
              <w:pStyle w:val="TableTextEntries"/>
              <w:rPr>
                <w:lang w:val="en-GB"/>
              </w:rPr>
            </w:pPr>
            <w:r>
              <w:t>Based on an actual building, to shows a design that complies “just” via the DTS for 2019.</w:t>
            </w:r>
          </w:p>
        </w:tc>
      </w:tr>
      <w:tr w:rsidR="00EC6939" w:rsidTr="00EC6939">
        <w:tc>
          <w:tcPr>
            <w:tcW w:w="396"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A7111E" w:rsidP="00EC6939">
            <w:pPr>
              <w:pStyle w:val="TableTextEntries"/>
              <w:rPr>
                <w:lang w:val="en-US"/>
              </w:rPr>
            </w:pPr>
            <w:r>
              <w:rPr>
                <w:lang w:val="en-US"/>
              </w:rPr>
              <w:t>26</w:t>
            </w:r>
          </w:p>
        </w:tc>
        <w:tc>
          <w:tcPr>
            <w:tcW w:w="1435"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EC6939" w:rsidP="00EC6939">
            <w:pPr>
              <w:pStyle w:val="TableTextEntries"/>
              <w:rPr>
                <w:lang w:val="en-GB"/>
              </w:rPr>
            </w:pPr>
            <w:r>
              <w:t>Retail at base of a Class 2/ mixed use high rise</w:t>
            </w:r>
          </w:p>
        </w:tc>
        <w:tc>
          <w:tcPr>
            <w:tcW w:w="1245"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EC6939" w:rsidP="00EC6939">
            <w:pPr>
              <w:pStyle w:val="TableTextEntries"/>
            </w:pPr>
            <w:r>
              <w:t>Case Studies</w:t>
            </w:r>
          </w:p>
        </w:tc>
        <w:tc>
          <w:tcPr>
            <w:tcW w:w="928"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EC6939" w:rsidP="00EC6939">
            <w:pPr>
              <w:pStyle w:val="TableTextEntries"/>
              <w:rPr>
                <w:lang w:val="en-US"/>
              </w:rPr>
            </w:pPr>
            <w:r>
              <w:rPr>
                <w:lang w:val="en-US"/>
              </w:rPr>
              <w:t>Med</w:t>
            </w:r>
          </w:p>
        </w:tc>
        <w:tc>
          <w:tcPr>
            <w:tcW w:w="948"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EC6939" w:rsidP="00EC6939">
            <w:pPr>
              <w:pStyle w:val="TableTextEntries"/>
              <w:rPr>
                <w:lang w:val="en-US"/>
              </w:rPr>
            </w:pPr>
            <w:r>
              <w:rPr>
                <w:lang w:val="en-US"/>
              </w:rPr>
              <w:t>PCA</w:t>
            </w:r>
          </w:p>
        </w:tc>
        <w:tc>
          <w:tcPr>
            <w:tcW w:w="2986"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EC6939" w:rsidP="00EC6939">
            <w:pPr>
              <w:pStyle w:val="TableTextEntries"/>
              <w:rPr>
                <w:lang w:val="en-GB"/>
              </w:rPr>
            </w:pPr>
            <w:r>
              <w:t>Based on an actual building, shows the compliance pathways available in a mixed use scenario</w:t>
            </w:r>
          </w:p>
        </w:tc>
      </w:tr>
      <w:tr w:rsidR="00EC6939" w:rsidTr="00EC6939">
        <w:tc>
          <w:tcPr>
            <w:tcW w:w="396"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A7111E" w:rsidP="00EC6939">
            <w:pPr>
              <w:pStyle w:val="TableTextEntries"/>
              <w:rPr>
                <w:lang w:val="en-US"/>
              </w:rPr>
            </w:pPr>
            <w:r>
              <w:rPr>
                <w:lang w:val="en-US"/>
              </w:rPr>
              <w:t>27</w:t>
            </w:r>
          </w:p>
        </w:tc>
        <w:tc>
          <w:tcPr>
            <w:tcW w:w="1435"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EC6939" w:rsidP="00EC6939">
            <w:pPr>
              <w:pStyle w:val="TableTextEntries"/>
              <w:rPr>
                <w:lang w:val="en-GB"/>
              </w:rPr>
            </w:pPr>
            <w:r>
              <w:t>Lighting Refurbishment in a class 5 office</w:t>
            </w:r>
          </w:p>
        </w:tc>
        <w:tc>
          <w:tcPr>
            <w:tcW w:w="1245"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EC6939" w:rsidP="00EC6939">
            <w:pPr>
              <w:pStyle w:val="TableTextEntries"/>
            </w:pPr>
            <w:r>
              <w:t>Case Studies</w:t>
            </w:r>
          </w:p>
        </w:tc>
        <w:tc>
          <w:tcPr>
            <w:tcW w:w="928"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EC6939" w:rsidP="00EC6939">
            <w:pPr>
              <w:pStyle w:val="TableTextEntries"/>
              <w:rPr>
                <w:lang w:val="en-US"/>
              </w:rPr>
            </w:pPr>
            <w:r>
              <w:rPr>
                <w:lang w:val="en-US"/>
              </w:rPr>
              <w:t>Med</w:t>
            </w:r>
          </w:p>
        </w:tc>
        <w:tc>
          <w:tcPr>
            <w:tcW w:w="948"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EC6939" w:rsidP="00EC6939">
            <w:pPr>
              <w:pStyle w:val="TableTextEntries"/>
              <w:rPr>
                <w:lang w:val="en-US"/>
              </w:rPr>
            </w:pPr>
            <w:r>
              <w:rPr>
                <w:lang w:val="en-US"/>
              </w:rPr>
              <w:t>IES</w:t>
            </w:r>
          </w:p>
        </w:tc>
        <w:tc>
          <w:tcPr>
            <w:tcW w:w="2986"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EC6939" w:rsidP="00EC6939">
            <w:pPr>
              <w:pStyle w:val="TableTextEntries"/>
              <w:rPr>
                <w:lang w:val="en-GB"/>
              </w:rPr>
            </w:pPr>
            <w:r>
              <w:t>Based on an actual building, shows options for compliant designs in a refurbishment scenarios for lighting.</w:t>
            </w:r>
          </w:p>
        </w:tc>
      </w:tr>
      <w:tr w:rsidR="00EC6939" w:rsidTr="00EC6939">
        <w:tc>
          <w:tcPr>
            <w:tcW w:w="396"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A7111E" w:rsidP="00EC6939">
            <w:pPr>
              <w:pStyle w:val="TableTextEntries"/>
              <w:rPr>
                <w:lang w:val="en-US"/>
              </w:rPr>
            </w:pPr>
            <w:r>
              <w:rPr>
                <w:lang w:val="en-US"/>
              </w:rPr>
              <w:t>28</w:t>
            </w:r>
          </w:p>
        </w:tc>
        <w:tc>
          <w:tcPr>
            <w:tcW w:w="1435"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EC6939" w:rsidP="00EC6939">
            <w:pPr>
              <w:pStyle w:val="TableTextEntries"/>
              <w:rPr>
                <w:lang w:val="en-GB"/>
              </w:rPr>
            </w:pPr>
            <w:r>
              <w:t xml:space="preserve">Medium to large Class 3 hotel </w:t>
            </w:r>
          </w:p>
        </w:tc>
        <w:tc>
          <w:tcPr>
            <w:tcW w:w="1245"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EC6939" w:rsidP="00EC6939">
            <w:pPr>
              <w:pStyle w:val="TableTextEntries"/>
            </w:pPr>
            <w:r>
              <w:t>Case Studies</w:t>
            </w:r>
          </w:p>
        </w:tc>
        <w:tc>
          <w:tcPr>
            <w:tcW w:w="928"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EC6939" w:rsidP="00EC6939">
            <w:pPr>
              <w:pStyle w:val="TableTextEntries"/>
              <w:rPr>
                <w:lang w:val="en-US"/>
              </w:rPr>
            </w:pPr>
            <w:r>
              <w:rPr>
                <w:lang w:val="en-US"/>
              </w:rPr>
              <w:t>Med</w:t>
            </w:r>
          </w:p>
        </w:tc>
        <w:tc>
          <w:tcPr>
            <w:tcW w:w="948"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EC6939" w:rsidP="00EC6939">
            <w:pPr>
              <w:pStyle w:val="TableTextEntries"/>
              <w:rPr>
                <w:lang w:val="en-US"/>
              </w:rPr>
            </w:pPr>
            <w:r>
              <w:rPr>
                <w:lang w:val="en-US"/>
              </w:rPr>
              <w:t>PCA</w:t>
            </w:r>
          </w:p>
        </w:tc>
        <w:tc>
          <w:tcPr>
            <w:tcW w:w="2986"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rsidR="00EC6939" w:rsidRDefault="00EC6939" w:rsidP="00EC6939">
            <w:pPr>
              <w:pStyle w:val="TableTextEntries"/>
              <w:rPr>
                <w:lang w:val="en-GB"/>
              </w:rPr>
            </w:pPr>
            <w:r>
              <w:t xml:space="preserve">Based on an actual building, shows compliance options for a highly glazed façade </w:t>
            </w:r>
          </w:p>
        </w:tc>
      </w:tr>
      <w:tr w:rsidR="00EC6939" w:rsidTr="00EC6939">
        <w:tc>
          <w:tcPr>
            <w:tcW w:w="396" w:type="dxa"/>
            <w:tcBorders>
              <w:top w:val="single" w:sz="8" w:space="0" w:color="FFFFFF" w:themeColor="background1"/>
              <w:bottom w:val="single" w:sz="6" w:space="0" w:color="6F6652"/>
            </w:tcBorders>
            <w:shd w:val="clear" w:color="auto" w:fill="E9E8E5" w:themeFill="background2"/>
            <w:tcMar>
              <w:top w:w="0" w:type="dxa"/>
              <w:left w:w="57" w:type="dxa"/>
              <w:bottom w:w="0" w:type="dxa"/>
              <w:right w:w="57" w:type="dxa"/>
            </w:tcMar>
            <w:hideMark/>
          </w:tcPr>
          <w:p w:rsidR="00EC6939" w:rsidRDefault="00A7111E" w:rsidP="00EC6939">
            <w:pPr>
              <w:pStyle w:val="TableTextEntries"/>
              <w:rPr>
                <w:lang w:val="en-US"/>
              </w:rPr>
            </w:pPr>
            <w:r>
              <w:rPr>
                <w:lang w:val="en-US"/>
              </w:rPr>
              <w:t>29</w:t>
            </w:r>
          </w:p>
        </w:tc>
        <w:tc>
          <w:tcPr>
            <w:tcW w:w="1435" w:type="dxa"/>
            <w:tcBorders>
              <w:top w:val="single" w:sz="8" w:space="0" w:color="FFFFFF" w:themeColor="background1"/>
              <w:bottom w:val="single" w:sz="6" w:space="0" w:color="6F6652"/>
            </w:tcBorders>
            <w:shd w:val="clear" w:color="auto" w:fill="E9E8E5" w:themeFill="background2"/>
            <w:tcMar>
              <w:top w:w="0" w:type="dxa"/>
              <w:left w:w="57" w:type="dxa"/>
              <w:bottom w:w="0" w:type="dxa"/>
              <w:right w:w="57" w:type="dxa"/>
            </w:tcMar>
            <w:hideMark/>
          </w:tcPr>
          <w:p w:rsidR="00EC6939" w:rsidRDefault="00EC6939" w:rsidP="00EC6939">
            <w:pPr>
              <w:pStyle w:val="TableTextEntries"/>
              <w:rPr>
                <w:lang w:val="en-GB"/>
              </w:rPr>
            </w:pPr>
            <w:r>
              <w:t>University or school building</w:t>
            </w:r>
          </w:p>
        </w:tc>
        <w:tc>
          <w:tcPr>
            <w:tcW w:w="1245" w:type="dxa"/>
            <w:tcBorders>
              <w:top w:val="single" w:sz="8" w:space="0" w:color="FFFFFF" w:themeColor="background1"/>
              <w:bottom w:val="single" w:sz="6" w:space="0" w:color="6F6652"/>
            </w:tcBorders>
            <w:shd w:val="clear" w:color="auto" w:fill="E9E8E5" w:themeFill="background2"/>
            <w:tcMar>
              <w:top w:w="0" w:type="dxa"/>
              <w:left w:w="57" w:type="dxa"/>
              <w:bottom w:w="0" w:type="dxa"/>
              <w:right w:w="57" w:type="dxa"/>
            </w:tcMar>
            <w:hideMark/>
          </w:tcPr>
          <w:p w:rsidR="00EC6939" w:rsidRDefault="00EC6939" w:rsidP="00EC6939">
            <w:pPr>
              <w:pStyle w:val="TableTextEntries"/>
            </w:pPr>
            <w:r>
              <w:t>Case Studies</w:t>
            </w:r>
          </w:p>
        </w:tc>
        <w:tc>
          <w:tcPr>
            <w:tcW w:w="928" w:type="dxa"/>
            <w:tcBorders>
              <w:top w:val="single" w:sz="8" w:space="0" w:color="FFFFFF" w:themeColor="background1"/>
              <w:bottom w:val="single" w:sz="6" w:space="0" w:color="6F6652"/>
            </w:tcBorders>
            <w:shd w:val="clear" w:color="auto" w:fill="E9E8E5" w:themeFill="background2"/>
            <w:tcMar>
              <w:top w:w="0" w:type="dxa"/>
              <w:left w:w="57" w:type="dxa"/>
              <w:bottom w:w="0" w:type="dxa"/>
              <w:right w:w="57" w:type="dxa"/>
            </w:tcMar>
            <w:hideMark/>
          </w:tcPr>
          <w:p w:rsidR="00EC6939" w:rsidRDefault="00EC6939" w:rsidP="00EC6939">
            <w:pPr>
              <w:pStyle w:val="TableTextEntries"/>
              <w:rPr>
                <w:lang w:val="en-US"/>
              </w:rPr>
            </w:pPr>
            <w:r>
              <w:rPr>
                <w:lang w:val="en-US"/>
              </w:rPr>
              <w:t>low</w:t>
            </w:r>
          </w:p>
        </w:tc>
        <w:tc>
          <w:tcPr>
            <w:tcW w:w="948" w:type="dxa"/>
            <w:tcBorders>
              <w:top w:val="single" w:sz="8" w:space="0" w:color="FFFFFF" w:themeColor="background1"/>
              <w:bottom w:val="single" w:sz="6" w:space="0" w:color="6F6652"/>
            </w:tcBorders>
            <w:shd w:val="clear" w:color="auto" w:fill="E9E8E5" w:themeFill="background2"/>
            <w:tcMar>
              <w:top w:w="0" w:type="dxa"/>
              <w:left w:w="57" w:type="dxa"/>
              <w:bottom w:w="0" w:type="dxa"/>
              <w:right w:w="57" w:type="dxa"/>
            </w:tcMar>
          </w:tcPr>
          <w:p w:rsidR="00EC6939" w:rsidRDefault="00EC6939" w:rsidP="00EC6939">
            <w:pPr>
              <w:pStyle w:val="TableTextEntries"/>
              <w:rPr>
                <w:lang w:val="en-US"/>
              </w:rPr>
            </w:pPr>
          </w:p>
        </w:tc>
        <w:tc>
          <w:tcPr>
            <w:tcW w:w="2986" w:type="dxa"/>
            <w:tcBorders>
              <w:top w:val="single" w:sz="8" w:space="0" w:color="FFFFFF" w:themeColor="background1"/>
              <w:bottom w:val="single" w:sz="6" w:space="0" w:color="6F6652"/>
            </w:tcBorders>
            <w:shd w:val="clear" w:color="auto" w:fill="E9E8E5" w:themeFill="background2"/>
            <w:tcMar>
              <w:top w:w="0" w:type="dxa"/>
              <w:left w:w="57" w:type="dxa"/>
              <w:bottom w:w="0" w:type="dxa"/>
              <w:right w:w="57" w:type="dxa"/>
            </w:tcMar>
            <w:hideMark/>
          </w:tcPr>
          <w:p w:rsidR="00EC6939" w:rsidRDefault="00EC6939" w:rsidP="00EC6939">
            <w:pPr>
              <w:pStyle w:val="TableTextEntries"/>
              <w:rPr>
                <w:lang w:val="en-GB"/>
              </w:rPr>
            </w:pPr>
            <w:r>
              <w:t>Based on an actual building, shows options for a building seeking to meet other environmental accreditations for an educational facility (WELL, GreenStar)</w:t>
            </w:r>
          </w:p>
        </w:tc>
      </w:tr>
    </w:tbl>
    <w:p w:rsidR="00BF269B" w:rsidRDefault="00BF269B" w:rsidP="00BF269B">
      <w:pPr>
        <w:pStyle w:val="Source"/>
      </w:pPr>
      <w:r>
        <w:rPr>
          <w:i/>
        </w:rPr>
        <w:t>Source</w:t>
      </w:r>
      <w:r w:rsidRPr="00E4232C">
        <w:rPr>
          <w:i/>
        </w:rPr>
        <w:t>:</w:t>
      </w:r>
      <w:r>
        <w:t xml:space="preserve"> </w:t>
      </w:r>
      <w:r w:rsidR="00EC6939">
        <w:t>ABCB.</w:t>
      </w:r>
    </w:p>
    <w:p w:rsidR="00BF269B" w:rsidRDefault="00BF269B" w:rsidP="002B3C0A">
      <w:pPr>
        <w:pStyle w:val="Heading2"/>
      </w:pPr>
      <w:bookmarkStart w:id="4655" w:name="_Toc529869866"/>
      <w:bookmarkStart w:id="4656" w:name="_Toc530748584"/>
      <w:r>
        <w:t>Review</w:t>
      </w:r>
      <w:r w:rsidR="00F64D13">
        <w:t xml:space="preserve"> of the new minimum standards</w:t>
      </w:r>
      <w:bookmarkEnd w:id="4655"/>
      <w:bookmarkEnd w:id="4656"/>
    </w:p>
    <w:p w:rsidR="00BF269B" w:rsidRPr="00E844D5" w:rsidRDefault="00BF269B" w:rsidP="00BF269B">
      <w:pPr>
        <w:pStyle w:val="BodyText"/>
        <w:rPr>
          <w:rFonts w:eastAsia="Calibri"/>
        </w:rPr>
      </w:pPr>
      <w:r>
        <w:rPr>
          <w:rFonts w:eastAsia="Calibri"/>
        </w:rPr>
        <w:t xml:space="preserve">The </w:t>
      </w:r>
      <w:r w:rsidR="00F64D13">
        <w:rPr>
          <w:rFonts w:eastAsia="Calibri"/>
        </w:rPr>
        <w:t>revised minimum energy efficiency standards</w:t>
      </w:r>
      <w:r>
        <w:rPr>
          <w:rFonts w:eastAsia="Calibri"/>
        </w:rPr>
        <w:t xml:space="preserve"> </w:t>
      </w:r>
      <w:r w:rsidR="00F64D13">
        <w:rPr>
          <w:rFonts w:eastAsia="Calibri"/>
        </w:rPr>
        <w:t xml:space="preserve">for commercial buildings </w:t>
      </w:r>
      <w:r>
        <w:rPr>
          <w:rFonts w:eastAsia="Calibri"/>
        </w:rPr>
        <w:t xml:space="preserve">would be subject to review in the same way as any provision in the NCC. The ABCB allows interested parties to initiate a Proposal for Change (PFC) process to propose changes to the NCC. </w:t>
      </w:r>
      <w:r w:rsidRPr="00E844D5">
        <w:rPr>
          <w:rFonts w:eastAsia="Calibri"/>
        </w:rPr>
        <w:t>This is a formal process which requires proponents of change to provide justification to support their proposal.</w:t>
      </w:r>
    </w:p>
    <w:p w:rsidR="00BF269B" w:rsidRPr="00E844D5" w:rsidRDefault="00BF269B" w:rsidP="00BF269B">
      <w:pPr>
        <w:pStyle w:val="BodyText"/>
        <w:rPr>
          <w:rFonts w:eastAsia="Calibri"/>
        </w:rPr>
      </w:pPr>
      <w:r w:rsidRPr="00E844D5">
        <w:rPr>
          <w:rFonts w:eastAsia="Calibri"/>
        </w:rPr>
        <w:t xml:space="preserve">PFCs are considered by the ABCB's Building Codes Committee (BCC) each time it meets. The role of the BCC, which consists of representatives of all levels of government as well as industry representatives, is to provide advice, guidance, and make recommendations relating technical matters relevant to the </w:t>
      </w:r>
      <w:r>
        <w:rPr>
          <w:rFonts w:eastAsia="Calibri"/>
        </w:rPr>
        <w:t>NCC</w:t>
      </w:r>
      <w:r w:rsidRPr="00E844D5">
        <w:rPr>
          <w:rFonts w:eastAsia="Calibri"/>
        </w:rPr>
        <w:t xml:space="preserve">. If the proposal is considered to have merit, the BCC may recommend that changes be included in the next public comment draft of the </w:t>
      </w:r>
      <w:r>
        <w:rPr>
          <w:rFonts w:eastAsia="Calibri"/>
        </w:rPr>
        <w:t>NCC</w:t>
      </w:r>
      <w:r w:rsidRPr="00E844D5">
        <w:rPr>
          <w:rFonts w:eastAsia="Calibri"/>
        </w:rPr>
        <w:t>, or for more complex proposals, it may</w:t>
      </w:r>
      <w:r w:rsidRPr="00E844D5">
        <w:t xml:space="preserve"> </w:t>
      </w:r>
      <w:r w:rsidRPr="00E844D5">
        <w:rPr>
          <w:rFonts w:eastAsia="Calibri"/>
        </w:rPr>
        <w:t>recommend that the proposal be included on the ABCB's work program for further research, analysis and consultation.</w:t>
      </w:r>
    </w:p>
    <w:p w:rsidR="00BF269B" w:rsidRPr="00E844D5" w:rsidRDefault="00BF269B" w:rsidP="00BF269B">
      <w:pPr>
        <w:pStyle w:val="BodyText"/>
        <w:rPr>
          <w:rFonts w:eastAsia="Calibri"/>
        </w:rPr>
      </w:pPr>
      <w:r w:rsidRPr="00E844D5">
        <w:rPr>
          <w:rFonts w:eastAsia="Calibri"/>
        </w:rPr>
        <w:t xml:space="preserve">This process means that if the </w:t>
      </w:r>
      <w:r>
        <w:rPr>
          <w:rFonts w:eastAsia="Calibri"/>
        </w:rPr>
        <w:t xml:space="preserve">proposed </w:t>
      </w:r>
      <w:r w:rsidR="00F64D13">
        <w:rPr>
          <w:rFonts w:eastAsia="Calibri"/>
        </w:rPr>
        <w:t>minimum energy efficiency standards for commercial buildings</w:t>
      </w:r>
      <w:r w:rsidRPr="00E844D5">
        <w:rPr>
          <w:rFonts w:eastAsia="Calibri"/>
        </w:rPr>
        <w:t xml:space="preserve"> are found to be more costly than expected, difficult to administer or deficient in some other way, it is open to aff</w:t>
      </w:r>
      <w:r>
        <w:rPr>
          <w:rFonts w:eastAsia="Calibri"/>
        </w:rPr>
        <w:t>ected parties to initiate a PFC</w:t>
      </w:r>
      <w:r w:rsidRPr="00E844D5">
        <w:rPr>
          <w:rFonts w:eastAsia="Calibri"/>
        </w:rPr>
        <w:t>.</w:t>
      </w:r>
    </w:p>
    <w:p w:rsidR="00BF269B" w:rsidRPr="00E844D5" w:rsidRDefault="00BF269B" w:rsidP="00BF269B">
      <w:pPr>
        <w:pStyle w:val="BodyText"/>
        <w:rPr>
          <w:rFonts w:eastAsia="Calibri"/>
        </w:rPr>
      </w:pPr>
      <w:r w:rsidRPr="00E844D5">
        <w:rPr>
          <w:rFonts w:eastAsia="Calibri"/>
        </w:rPr>
        <w:t>Additionally, to encourage continuous review and feedback</w:t>
      </w:r>
      <w:r>
        <w:rPr>
          <w:rFonts w:eastAsia="Calibri"/>
        </w:rPr>
        <w:t>,</w:t>
      </w:r>
      <w:r w:rsidRPr="00E844D5">
        <w:rPr>
          <w:rFonts w:eastAsia="Calibri"/>
        </w:rPr>
        <w:t xml:space="preserve"> the ABCB maintains regular and extensive consultative relationships with a wide range of stakeholders. In particular, a continuous feedback mechanism exists and is maintained through State and Territory building control administrations and industry through the BCC. These mechanisms ensure that opportunities for regulatory reform are identified and assessed for implementation in a timely manner.</w:t>
      </w:r>
    </w:p>
    <w:p w:rsidR="00BF269B" w:rsidRDefault="00BF269B" w:rsidP="00BF269B">
      <w:pPr>
        <w:pStyle w:val="BodyText"/>
        <w:rPr>
          <w:rFonts w:eastAsia="Calibri"/>
        </w:rPr>
      </w:pPr>
      <w:r w:rsidRPr="00E844D5">
        <w:rPr>
          <w:rFonts w:eastAsia="Calibri"/>
        </w:rPr>
        <w:t xml:space="preserve">As with all other aspects of the </w:t>
      </w:r>
      <w:r>
        <w:rPr>
          <w:rFonts w:eastAsia="Calibri"/>
        </w:rPr>
        <w:t>NCC</w:t>
      </w:r>
      <w:r w:rsidRPr="00E844D5">
        <w:rPr>
          <w:rFonts w:eastAsia="Calibri"/>
        </w:rPr>
        <w:t>, the effectiveness and observed impacts of the proposed measures should be monitored. The analysis in this RIS has been undertaken based on the best information currently available and it will be necessary to verify how the building industry do in fact respond.</w:t>
      </w:r>
      <w:r>
        <w:rPr>
          <w:rFonts w:eastAsia="Calibri"/>
        </w:rPr>
        <w:t xml:space="preserve"> The ABCB will seek regular feedback from industry, building administrators, and </w:t>
      </w:r>
      <w:r w:rsidR="00F64D13">
        <w:rPr>
          <w:rFonts w:eastAsia="Calibri"/>
        </w:rPr>
        <w:t>other stakeholders</w:t>
      </w:r>
      <w:r>
        <w:rPr>
          <w:rFonts w:eastAsia="Calibri"/>
        </w:rPr>
        <w:t xml:space="preserve"> in relation to the implementation of the new requirements.</w:t>
      </w:r>
    </w:p>
    <w:p w:rsidR="00612FD3" w:rsidRDefault="00612FD3" w:rsidP="00612FD3">
      <w:pPr>
        <w:pStyle w:val="BodyText"/>
        <w:rPr>
          <w:lang w:eastAsia="en-US"/>
        </w:rPr>
      </w:pPr>
    </w:p>
    <w:p w:rsidR="00612FD3" w:rsidRPr="001D2DA4" w:rsidRDefault="00612FD3" w:rsidP="00612FD3">
      <w:pPr>
        <w:pStyle w:val="BodyText"/>
        <w:rPr>
          <w:lang w:eastAsia="en-US"/>
        </w:rPr>
      </w:pPr>
    </w:p>
    <w:p w:rsidR="00612FD3" w:rsidRPr="00E83B21" w:rsidRDefault="002A77AA" w:rsidP="00612FD3">
      <w:pPr>
        <w:pStyle w:val="Heading1"/>
        <w:numPr>
          <w:ilvl w:val="0"/>
          <w:numId w:val="5"/>
        </w:numPr>
      </w:pPr>
      <w:bookmarkStart w:id="4657" w:name="_Toc507523762"/>
      <w:bookmarkStart w:id="4658" w:name="_Toc509220797"/>
      <w:bookmarkStart w:id="4659" w:name="_Toc529869867"/>
      <w:bookmarkStart w:id="4660" w:name="_Toc530748585"/>
      <w:r w:rsidRPr="00E83B21">
        <w:t>C</w:t>
      </w:r>
      <w:r w:rsidR="00612FD3" w:rsidRPr="00E83B21">
        <w:t>onclusions</w:t>
      </w:r>
      <w:bookmarkEnd w:id="4657"/>
      <w:bookmarkEnd w:id="4658"/>
      <w:bookmarkEnd w:id="4659"/>
      <w:bookmarkEnd w:id="4660"/>
    </w:p>
    <w:p w:rsidR="00CB2FFE" w:rsidRDefault="00CB2FFE" w:rsidP="00CB2FFE">
      <w:pPr>
        <w:pStyle w:val="BodyText"/>
      </w:pPr>
      <w:r>
        <w:t xml:space="preserve">Based on the analysis presented in the RIS, the proposed changes to the NCC is the preferred option </w:t>
      </w:r>
      <w:r w:rsidR="00863464">
        <w:t>to</w:t>
      </w:r>
      <w:r>
        <w:t xml:space="preserve"> improv</w:t>
      </w:r>
      <w:r w:rsidR="00863464">
        <w:t>e</w:t>
      </w:r>
      <w:r>
        <w:t xml:space="preserve"> the energy efficiency of </w:t>
      </w:r>
      <w:r w:rsidR="00863464">
        <w:t xml:space="preserve">new </w:t>
      </w:r>
      <w:r>
        <w:t>commercial buildings.</w:t>
      </w:r>
    </w:p>
    <w:p w:rsidR="002E19D0" w:rsidRDefault="003F28DD" w:rsidP="002E19D0">
      <w:pPr>
        <w:pStyle w:val="BodyText"/>
      </w:pPr>
      <w:r>
        <w:t>EA</w:t>
      </w:r>
      <w:r w:rsidR="00105BB0">
        <w:t xml:space="preserve">’s modelling suggests that significant energy efficiency improvements can be made in commercial buildings at a relatively modest additional cost. </w:t>
      </w:r>
      <w:r w:rsidR="002E19D0">
        <w:t>This is largely due to improvements in the methodology of setting the stringency for the facade</w:t>
      </w:r>
      <w:r w:rsidR="00E97C4E">
        <w:t>s</w:t>
      </w:r>
      <w:r w:rsidR="002E19D0">
        <w:t xml:space="preserve">. </w:t>
      </w:r>
      <w:r>
        <w:t>EA</w:t>
      </w:r>
      <w:r w:rsidR="002E19D0">
        <w:t xml:space="preserve">’s analysis found that the solar heat gain coefficient (SHGC) is a more important parameter for window performance than </w:t>
      </w:r>
      <w:r w:rsidR="006F1C6A">
        <w:t>U-Value</w:t>
      </w:r>
      <w:r w:rsidR="006C6ABD">
        <w:t>,</w:t>
      </w:r>
      <w:r w:rsidR="002E19D0">
        <w:t xml:space="preserve"> while the</w:t>
      </w:r>
      <w:r w:rsidR="006C6ABD">
        <w:t xml:space="preserve"> cost of</w:t>
      </w:r>
      <w:r w:rsidR="002E19D0">
        <w:t xml:space="preserve"> window products in the market appear</w:t>
      </w:r>
      <w:r w:rsidR="006C6ABD">
        <w:t>s</w:t>
      </w:r>
      <w:r w:rsidR="002E19D0">
        <w:t xml:space="preserve"> to be highly related to </w:t>
      </w:r>
      <w:r w:rsidR="006F1C6A">
        <w:t>U-Value</w:t>
      </w:r>
      <w:r w:rsidR="002E19D0">
        <w:t xml:space="preserve"> rather than SHGC. By changing the focus of the code from </w:t>
      </w:r>
      <w:r w:rsidR="006F1C6A">
        <w:t>U-Value</w:t>
      </w:r>
      <w:r w:rsidR="002E19D0">
        <w:t xml:space="preserve"> to SHGC, the proposed change in specifying the stringency for glazing enables cost savings by choosing a window with better SHGC and relatively poorer </w:t>
      </w:r>
      <w:r w:rsidR="006F1C6A">
        <w:t>U-Value</w:t>
      </w:r>
      <w:r w:rsidR="002E19D0">
        <w:t xml:space="preserve"> measure. Furthermore, stringency is proposed to</w:t>
      </w:r>
      <w:r w:rsidR="006C6ABD">
        <w:t xml:space="preserve"> be</w:t>
      </w:r>
      <w:r w:rsidR="002E19D0">
        <w:t xml:space="preserve"> set for whole façade rather than separately for wall and glazing as in the current </w:t>
      </w:r>
      <w:r w:rsidR="00EB5964">
        <w:t>code</w:t>
      </w:r>
      <w:r w:rsidR="002E19D0">
        <w:t>. In this way, substitution between glazing and insulation is possible and could further reduce construction cost.</w:t>
      </w:r>
    </w:p>
    <w:p w:rsidR="00CB2FFE" w:rsidRDefault="00CE7A9A" w:rsidP="00CB2FFE">
      <w:pPr>
        <w:pStyle w:val="BodyText"/>
      </w:pPr>
      <w:r>
        <w:t xml:space="preserve">If </w:t>
      </w:r>
      <w:r w:rsidR="00105BB0">
        <w:t>these</w:t>
      </w:r>
      <w:r>
        <w:t xml:space="preserve"> modelling </w:t>
      </w:r>
      <w:r w:rsidR="00105BB0">
        <w:t>results are</w:t>
      </w:r>
      <w:r>
        <w:t xml:space="preserve"> broadly representative of the impacts of the proposed changes </w:t>
      </w:r>
      <w:r w:rsidR="00824A16">
        <w:t xml:space="preserve">to the NCC </w:t>
      </w:r>
      <w:r>
        <w:t xml:space="preserve">across </w:t>
      </w:r>
      <w:r w:rsidR="00105BB0">
        <w:t xml:space="preserve">all </w:t>
      </w:r>
      <w:r>
        <w:t>buildings, t</w:t>
      </w:r>
      <w:r w:rsidR="00CB2FFE">
        <w:t xml:space="preserve">he CBA results suggest that </w:t>
      </w:r>
      <w:r w:rsidR="00824A16">
        <w:t>these</w:t>
      </w:r>
      <w:r w:rsidR="00CB2FFE">
        <w:t xml:space="preserve"> changes </w:t>
      </w:r>
      <w:r w:rsidR="00370399">
        <w:t xml:space="preserve">could deliver significant net benefits </w:t>
      </w:r>
      <w:r w:rsidR="0033648C">
        <w:t xml:space="preserve">across all </w:t>
      </w:r>
      <w:r w:rsidR="006C6ABD">
        <w:t>jurisdictions</w:t>
      </w:r>
      <w:r w:rsidR="0033648C">
        <w:t xml:space="preserve">, </w:t>
      </w:r>
      <w:r w:rsidR="00370399">
        <w:t>even if the modelled energy savings are not fully realised in practice (as appears likely</w:t>
      </w:r>
      <w:r w:rsidR="00863464">
        <w:t xml:space="preserve"> based on the evidence available</w:t>
      </w:r>
      <w:r w:rsidR="00370399">
        <w:t>).</w:t>
      </w:r>
    </w:p>
    <w:p w:rsidR="00370399" w:rsidRDefault="00370399" w:rsidP="002B3C0A">
      <w:pPr>
        <w:pStyle w:val="ListBullet"/>
      </w:pPr>
      <w:r>
        <w:t xml:space="preserve">The net benefits </w:t>
      </w:r>
      <w:r w:rsidR="005C0FDC">
        <w:t xml:space="preserve">to the Australian community </w:t>
      </w:r>
      <w:r>
        <w:t>are estimated to range between around $</w:t>
      </w:r>
      <w:r w:rsidR="00E96608">
        <w:t>769</w:t>
      </w:r>
      <w:r>
        <w:t> </w:t>
      </w:r>
      <w:r w:rsidR="00E96608">
        <w:t>m</w:t>
      </w:r>
      <w:r>
        <w:t>illion and $</w:t>
      </w:r>
      <w:r w:rsidR="00251538">
        <w:t>1.42</w:t>
      </w:r>
      <w:r>
        <w:t> billion in net present value terms over the assumed 40</w:t>
      </w:r>
      <w:r>
        <w:noBreakHyphen/>
        <w:t>year life of commercial buildings constructed over the ten</w:t>
      </w:r>
      <w:r w:rsidR="0033648C">
        <w:noBreakHyphen/>
      </w:r>
      <w:r>
        <w:t xml:space="preserve">year regulatory period (using a discount rate of 7 per cent). These estimates assume that </w:t>
      </w:r>
      <w:r w:rsidR="00E31EE8">
        <w:t>49</w:t>
      </w:r>
      <w:r>
        <w:noBreakHyphen/>
        <w:t>75 per cent of modelled energy savings will be achieved in practice.</w:t>
      </w:r>
    </w:p>
    <w:p w:rsidR="005C0FDC" w:rsidRDefault="005C0FDC" w:rsidP="002B3C0A">
      <w:pPr>
        <w:pStyle w:val="ListBullet"/>
      </w:pPr>
      <w:r>
        <w:t>In addition the global benefits of reduced GHG emissions are estimated to range between around $369 million and $553 million.</w:t>
      </w:r>
    </w:p>
    <w:p w:rsidR="00370399" w:rsidRDefault="00370399" w:rsidP="002B3C0A">
      <w:pPr>
        <w:pStyle w:val="ListBullet"/>
      </w:pPr>
      <w:r>
        <w:t>The benefit</w:t>
      </w:r>
      <w:r>
        <w:noBreakHyphen/>
        <w:t xml:space="preserve">cost ratios (BCRs) for the proposed changes are estimated to range between </w:t>
      </w:r>
      <w:r w:rsidR="005C0FDC">
        <w:t>2.4</w:t>
      </w:r>
      <w:r>
        <w:t xml:space="preserve"> and </w:t>
      </w:r>
      <w:r w:rsidR="005C0FDC">
        <w:t>3.6 (excluding the global benefits of reduced GHG emissions)</w:t>
      </w:r>
      <w:r>
        <w:t>.</w:t>
      </w:r>
    </w:p>
    <w:p w:rsidR="00370399" w:rsidRDefault="0033648C" w:rsidP="002B3C0A">
      <w:pPr>
        <w:pStyle w:val="ListBullet"/>
      </w:pPr>
      <w:r>
        <w:t>Sensitivity testing suggests that t</w:t>
      </w:r>
      <w:r w:rsidR="00370399">
        <w:t xml:space="preserve">hese findings </w:t>
      </w:r>
      <w:r w:rsidR="00ED05A9">
        <w:t>are</w:t>
      </w:r>
      <w:r w:rsidR="00370399">
        <w:t xml:space="preserve"> robust</w:t>
      </w:r>
      <w:r>
        <w:t xml:space="preserve"> to alternative assumptions around compliance costs, energy prices, emissions, the social cost of carbon and discount rates.</w:t>
      </w:r>
    </w:p>
    <w:p w:rsidR="00105BB0" w:rsidRDefault="0033648C" w:rsidP="00CB2FFE">
      <w:pPr>
        <w:pStyle w:val="BodyText"/>
      </w:pPr>
      <w:r>
        <w:t>The alternative non</w:t>
      </w:r>
      <w:r>
        <w:noBreakHyphen/>
        <w:t xml:space="preserve">regulatory option considered involved </w:t>
      </w:r>
      <w:r w:rsidR="00CE7A9A">
        <w:t>turning the work that underpins the proposed changes into</w:t>
      </w:r>
      <w:r>
        <w:t xml:space="preserve"> a handbook </w:t>
      </w:r>
      <w:r w:rsidR="00CE7A9A">
        <w:t>to encourage voluntary uptake of cost</w:t>
      </w:r>
      <w:r w:rsidR="00CE7A9A">
        <w:noBreakHyphen/>
        <w:t>effective energy efficiency opportunities.</w:t>
      </w:r>
    </w:p>
    <w:p w:rsidR="00105BB0" w:rsidRDefault="00CE7A9A" w:rsidP="002B3C0A">
      <w:pPr>
        <w:pStyle w:val="ListBullet"/>
      </w:pPr>
      <w:r>
        <w:t xml:space="preserve">However, there is already significant information on the benefits of energy efficiency available. This includes free </w:t>
      </w:r>
      <w:r w:rsidR="00105BB0">
        <w:t>general information, while project</w:t>
      </w:r>
      <w:r w:rsidR="00105BB0">
        <w:noBreakHyphen/>
        <w:t>specific information is available commercially.</w:t>
      </w:r>
    </w:p>
    <w:p w:rsidR="00370399" w:rsidRDefault="00105BB0" w:rsidP="002B3C0A">
      <w:pPr>
        <w:pStyle w:val="ListBullet"/>
      </w:pPr>
      <w:r>
        <w:t>As such, the barrier to the voluntary uptake of cost</w:t>
      </w:r>
      <w:r>
        <w:noBreakHyphen/>
        <w:t>effective energy efficiency opportunities in commercial buildings is not the availability of information. Rather, the main barrier appears to be a failure to use the available information to make privately optimal decisions (due to bounded rationality and/or heuristic decision</w:t>
      </w:r>
      <w:r>
        <w:noBreakHyphen/>
        <w:t>making).</w:t>
      </w:r>
    </w:p>
    <w:p w:rsidR="00105BB0" w:rsidRDefault="00105BB0" w:rsidP="00105BB0">
      <w:pPr>
        <w:pStyle w:val="ListBullet"/>
      </w:pPr>
      <w:r>
        <w:t>Providing additional information would therefore do little to address the main barrier to the voluntary uptake of cost</w:t>
      </w:r>
      <w:r>
        <w:noBreakHyphen/>
        <w:t>effective energy efficiency opportunities. The impacts of this option are therefore likely to be relatively small.</w:t>
      </w:r>
    </w:p>
    <w:p w:rsidR="00105BB0" w:rsidRDefault="00105BB0" w:rsidP="002B3C0A">
      <w:pPr>
        <w:pStyle w:val="ListBullet"/>
      </w:pPr>
      <w:r>
        <w:t xml:space="preserve">Furthermore, this option would not address identified inefficiencies </w:t>
      </w:r>
      <w:r w:rsidR="00863464">
        <w:t>in</w:t>
      </w:r>
      <w:r>
        <w:t xml:space="preserve"> the existing code.</w:t>
      </w:r>
    </w:p>
    <w:p w:rsidR="00370399" w:rsidRDefault="00824A16" w:rsidP="00CB2FFE">
      <w:pPr>
        <w:pStyle w:val="BodyText"/>
      </w:pPr>
      <w:r>
        <w:t xml:space="preserve">Although the proposed changes to the NCC </w:t>
      </w:r>
      <w:r w:rsidR="00863464">
        <w:t>are</w:t>
      </w:r>
      <w:r>
        <w:t xml:space="preserve"> likely to deliver the largest net benefit to the community, there are some potential downsides, including the following.</w:t>
      </w:r>
    </w:p>
    <w:p w:rsidR="003746C2" w:rsidRDefault="00824A16" w:rsidP="002B3C0A">
      <w:pPr>
        <w:pStyle w:val="ListBullet"/>
      </w:pPr>
      <w:r>
        <w:t>The proposed changes are likely to result in net costs for some buildings</w:t>
      </w:r>
      <w:r w:rsidR="00FA610A">
        <w:t>, albeit marginal</w:t>
      </w:r>
      <w:r>
        <w:t>.</w:t>
      </w:r>
      <w:r w:rsidR="00863464">
        <w:t xml:space="preserve"> Our analysis suggests that between </w:t>
      </w:r>
      <w:r w:rsidR="00BD28D0" w:rsidRPr="002B3C0A">
        <w:t>5</w:t>
      </w:r>
      <w:r w:rsidR="00863464" w:rsidRPr="00BD28D0">
        <w:t xml:space="preserve"> and </w:t>
      </w:r>
      <w:r w:rsidR="00BD28D0" w:rsidRPr="002B3C0A">
        <w:t>24</w:t>
      </w:r>
      <w:r w:rsidR="00863464">
        <w:t xml:space="preserve"> per cent of buildings could incur a net cost</w:t>
      </w:r>
      <w:r w:rsidR="00D65C34">
        <w:t xml:space="preserve"> under the DTS pathway</w:t>
      </w:r>
      <w:r w:rsidR="00863464">
        <w:t>, although these net costs would be significantly outweighed by those buildings that benefit.</w:t>
      </w:r>
    </w:p>
    <w:p w:rsidR="00824A16" w:rsidRDefault="003746C2" w:rsidP="002B3C0A">
      <w:pPr>
        <w:pStyle w:val="ListBullet2"/>
      </w:pPr>
      <w:r>
        <w:t xml:space="preserve">The modelling results suggest there may be net costs on average for healthcare buildings in </w:t>
      </w:r>
      <w:r w:rsidR="00E31EE8">
        <w:t>Climate Zone</w:t>
      </w:r>
      <w:r>
        <w:t xml:space="preserve">s 6 and 7 (and possibly </w:t>
      </w:r>
      <w:r w:rsidR="00E31EE8">
        <w:t>Climate Zone</w:t>
      </w:r>
      <w:r>
        <w:t xml:space="preserve">s 4 and 5, depending on the extent to which modelled energy savings are realised) and for retail buildings in </w:t>
      </w:r>
      <w:r w:rsidR="00E31EE8">
        <w:t>Climate Zone</w:t>
      </w:r>
      <w:r>
        <w:t xml:space="preserve"> 7.</w:t>
      </w:r>
    </w:p>
    <w:p w:rsidR="00863464" w:rsidRDefault="003746C2" w:rsidP="002B3C0A">
      <w:pPr>
        <w:pStyle w:val="ListBullet2"/>
      </w:pPr>
      <w:r>
        <w:t xml:space="preserve">In addition, </w:t>
      </w:r>
      <w:r w:rsidR="0086519C">
        <w:t xml:space="preserve">the (limited) data available suggests that </w:t>
      </w:r>
      <w:r w:rsidR="00ED05A9">
        <w:t>the relationship between modelled and actual energy performance is relatively weak. While the CBA take</w:t>
      </w:r>
      <w:r w:rsidR="00E97C4E">
        <w:t>s</w:t>
      </w:r>
      <w:r w:rsidR="00ED05A9">
        <w:t xml:space="preserve"> into account the average realisation rate (under the low and medium scenarios), there also appears to be significant ‘scatter’ around the average (see appendix D). This suggests that the realisation rate for some buildings will be above the average, while others will be below average. Where buildings incur the cost of complying with the new code requirements, but </w:t>
      </w:r>
      <w:r w:rsidR="00863464">
        <w:t>the improvement in energy performance is below the average realisation rate they may incur a net cost.</w:t>
      </w:r>
    </w:p>
    <w:p w:rsidR="00863464" w:rsidRDefault="00863464" w:rsidP="00863464">
      <w:pPr>
        <w:pStyle w:val="ListBullet"/>
      </w:pPr>
      <w:r>
        <w:t xml:space="preserve">More stringent minimum energy efficiency standards also restricts choice and is therefore a greater restriction </w:t>
      </w:r>
      <w:r w:rsidR="00FA610A">
        <w:t xml:space="preserve">to </w:t>
      </w:r>
      <w:r>
        <w:t>competition</w:t>
      </w:r>
      <w:r w:rsidR="00EC5020">
        <w:t xml:space="preserve"> under a DTS pathway</w:t>
      </w:r>
      <w:r>
        <w:t>. That said, the proposed changes to the NCC</w:t>
      </w:r>
      <w:r w:rsidR="00FA610A">
        <w:t xml:space="preserve"> provide more opportunities for performance solutions and</w:t>
      </w:r>
      <w:r>
        <w:t xml:space="preserve"> satisf</w:t>
      </w:r>
      <w:r w:rsidR="00FA610A">
        <w:t>y</w:t>
      </w:r>
      <w:r>
        <w:t xml:space="preserve"> the competition test specified in the COAG Guidelines.</w:t>
      </w:r>
    </w:p>
    <w:p w:rsidR="00863464" w:rsidRDefault="00863464" w:rsidP="00863464">
      <w:pPr>
        <w:pStyle w:val="BodyText"/>
      </w:pPr>
    </w:p>
    <w:p w:rsidR="00612FD3" w:rsidRDefault="00612FD3" w:rsidP="00612FD3">
      <w:pPr>
        <w:pStyle w:val="Heading6"/>
        <w:numPr>
          <w:ilvl w:val="5"/>
          <w:numId w:val="5"/>
        </w:numPr>
      </w:pPr>
      <w:bookmarkStart w:id="4661" w:name="_Toc499847010"/>
      <w:bookmarkStart w:id="4662" w:name="_Toc505120606"/>
      <w:bookmarkStart w:id="4663" w:name="_Toc507523763"/>
      <w:bookmarkStart w:id="4664" w:name="_Toc509220802"/>
      <w:bookmarkStart w:id="4665" w:name="_Toc529869868"/>
      <w:bookmarkStart w:id="4666" w:name="_Toc530748586"/>
      <w:r>
        <w:t xml:space="preserve">Review of direct evidence on </w:t>
      </w:r>
      <w:bookmarkEnd w:id="4661"/>
      <w:bookmarkEnd w:id="4662"/>
      <w:bookmarkEnd w:id="4663"/>
      <w:bookmarkEnd w:id="4664"/>
      <w:r w:rsidR="006D54D5">
        <w:t>causes of the energy efficiency gap</w:t>
      </w:r>
      <w:bookmarkEnd w:id="4665"/>
      <w:bookmarkEnd w:id="4666"/>
    </w:p>
    <w:p w:rsidR="00612FD3" w:rsidRDefault="00612FD3" w:rsidP="002B3C0A">
      <w:pPr>
        <w:pStyle w:val="Heading7"/>
      </w:pPr>
      <w:bookmarkStart w:id="4667" w:name="_Toc509220803"/>
      <w:r>
        <w:t>Direct evidence of market failures</w:t>
      </w:r>
      <w:bookmarkEnd w:id="4667"/>
      <w:r w:rsidR="00AD335C">
        <w:t xml:space="preserve"> and behavioural anomalies</w:t>
      </w:r>
    </w:p>
    <w:p w:rsidR="00612FD3" w:rsidRDefault="00612FD3" w:rsidP="00612FD3">
      <w:pPr>
        <w:pStyle w:val="Heading3"/>
        <w:numPr>
          <w:ilvl w:val="2"/>
          <w:numId w:val="5"/>
        </w:numPr>
      </w:pPr>
      <w:r>
        <w:t>Greenhouse gas emissions</w:t>
      </w:r>
    </w:p>
    <w:p w:rsidR="00612FD3" w:rsidRDefault="00612FD3" w:rsidP="00612FD3">
      <w:pPr>
        <w:pStyle w:val="BodyText"/>
      </w:pPr>
      <w:r>
        <w:t>In the current policy environment, the lack of an economy wide carbon price is the clearest market failure in relation to energy consumption. There are various approaches to valuing greenhouse gas emissions (see appendix </w:t>
      </w:r>
      <w:r w:rsidR="00AD335C">
        <w:t xml:space="preserve">H </w:t>
      </w:r>
      <w:r>
        <w:t>for further details). Using the</w:t>
      </w:r>
      <w:r w:rsidRPr="005F3A9F">
        <w:t xml:space="preserve"> </w:t>
      </w:r>
      <w:r>
        <w:t>internationally recognised approach of the social cost of carbon (SCC), the external cost of carbon emissions associated with electricity consumption is estimated at around 5 c/KWh based on:</w:t>
      </w:r>
    </w:p>
    <w:p w:rsidR="00612FD3" w:rsidRDefault="00612FD3" w:rsidP="00612FD3">
      <w:pPr>
        <w:pStyle w:val="ListBullet"/>
        <w:numPr>
          <w:ilvl w:val="0"/>
          <w:numId w:val="36"/>
        </w:numPr>
      </w:pPr>
      <w:r>
        <w:t>a social cost of carbon of around $60 per tonne of CO</w:t>
      </w:r>
      <w:r w:rsidRPr="0045771B">
        <w:rPr>
          <w:vertAlign w:val="subscript"/>
        </w:rPr>
        <w:t>2</w:t>
      </w:r>
      <w:r w:rsidRPr="00660F24">
        <w:noBreakHyphen/>
        <w:t>e</w:t>
      </w:r>
      <w:r>
        <w:t xml:space="preserve"> — this is based on a SCC of US$36 per tonne of CO</w:t>
      </w:r>
      <w:r w:rsidRPr="00755ACF">
        <w:rPr>
          <w:vertAlign w:val="subscript"/>
        </w:rPr>
        <w:t>2</w:t>
      </w:r>
      <w:r w:rsidRPr="00660F24">
        <w:noBreakHyphen/>
        <w:t>e</w:t>
      </w:r>
      <w:r>
        <w:t xml:space="preserve"> (expressed in 2007 dollar terms), as estimated by the United State Environment Protection Agency (based on the 2015 estimate using the 3 per cent discount rate).</w:t>
      </w:r>
      <w:r>
        <w:rPr>
          <w:rStyle w:val="FootnoteReference"/>
        </w:rPr>
        <w:footnoteReference w:id="70"/>
      </w:r>
      <w:r>
        <w:t xml:space="preserve"> This converted to Australian dollar terms, using an average exchange rate of US$0.76 per Australian dollar (based on the post-float average) and then inflated to 2017 dollar terms using the CPI; and</w:t>
      </w:r>
    </w:p>
    <w:p w:rsidR="00612FD3" w:rsidRDefault="00612FD3" w:rsidP="00612FD3">
      <w:pPr>
        <w:pStyle w:val="ListBullet"/>
        <w:numPr>
          <w:ilvl w:val="0"/>
          <w:numId w:val="36"/>
        </w:numPr>
      </w:pPr>
      <w:r>
        <w:t>an average carbon intensity of electricity of around 0.8 tonnes of CO</w:t>
      </w:r>
      <w:r w:rsidRPr="0045771B">
        <w:rPr>
          <w:vertAlign w:val="subscript"/>
        </w:rPr>
        <w:t>2</w:t>
      </w:r>
      <w:r w:rsidRPr="00660F24">
        <w:noBreakHyphen/>
        <w:t>e</w:t>
      </w:r>
      <w:r>
        <w:t xml:space="preserve"> per MWh across the National Electricity Market (NEM).</w:t>
      </w:r>
    </w:p>
    <w:p w:rsidR="00612FD3" w:rsidRDefault="00612FD3" w:rsidP="00612FD3">
      <w:pPr>
        <w:pStyle w:val="BodyText"/>
      </w:pPr>
      <w:r>
        <w:t>Internalising the social cost of carbon would therefore increase current retail energy prices by around 30 per cent.</w:t>
      </w:r>
    </w:p>
    <w:p w:rsidR="00612FD3" w:rsidRDefault="00612FD3" w:rsidP="00612FD3">
      <w:pPr>
        <w:pStyle w:val="BodyText"/>
      </w:pPr>
      <w:r>
        <w:t>While the carbon intensity of electricity generation is expected to decline over time, USEPA estimates suggest that the SCC will increase.</w:t>
      </w:r>
    </w:p>
    <w:p w:rsidR="00612FD3" w:rsidRDefault="00612FD3" w:rsidP="00612FD3">
      <w:pPr>
        <w:pStyle w:val="Heading3"/>
        <w:numPr>
          <w:ilvl w:val="2"/>
          <w:numId w:val="5"/>
        </w:numPr>
      </w:pPr>
      <w:r>
        <w:t>Externalities associated with peak demand</w:t>
      </w:r>
    </w:p>
    <w:p w:rsidR="00612FD3" w:rsidRDefault="00612FD3" w:rsidP="00612FD3">
      <w:pPr>
        <w:pStyle w:val="BodyText"/>
      </w:pPr>
      <w:r>
        <w:t>As electricity network capacity is driven by peak demand, reducing peaks through energy efficiency can potentially defer or remove the need for additional investment to expand network capacity.</w:t>
      </w:r>
    </w:p>
    <w:p w:rsidR="00612FD3" w:rsidRDefault="00612FD3" w:rsidP="00612FD3">
      <w:pPr>
        <w:pStyle w:val="BodyText"/>
      </w:pPr>
      <w:r>
        <w:t>However, to a significant extent, the cost of supply during peak periods is reflected in energy prices. As a natural monopoly, network charges are regulated by the Australian Energy Regulator (AER). Under the AER’s pricing principles, network tariffs must reflect the long run marginal cost (LRMC) of supply.</w:t>
      </w:r>
    </w:p>
    <w:p w:rsidR="00612FD3" w:rsidRDefault="00612FD3" w:rsidP="00612FD3">
      <w:pPr>
        <w:pStyle w:val="BodyText"/>
      </w:pPr>
      <w:r>
        <w:t>For network services, the LRMC is a forward</w:t>
      </w:r>
      <w:r>
        <w:noBreakHyphen/>
        <w:t xml:space="preserve">looking concept reflecting both the operating costs associated with an additional unit supplied, and any network expansion costs (see appendix </w:t>
      </w:r>
      <w:r>
        <w:fldChar w:fldCharType="begin"/>
      </w:r>
      <w:r>
        <w:instrText xml:space="preserve"> REF _Ref508112277 \n \h </w:instrText>
      </w:r>
      <w:r>
        <w:fldChar w:fldCharType="separate"/>
      </w:r>
      <w:r w:rsidR="006B79B8">
        <w:t>H</w:t>
      </w:r>
      <w:r>
        <w:fldChar w:fldCharType="end"/>
      </w:r>
      <w:r>
        <w:t xml:space="preserve"> for further details). As such, the LRMC reflects the avoidable network costs from reducing energy consumption.</w:t>
      </w:r>
    </w:p>
    <w:p w:rsidR="00612FD3" w:rsidRDefault="00612FD3" w:rsidP="00612FD3">
      <w:pPr>
        <w:pStyle w:val="BodyText"/>
      </w:pPr>
      <w:r>
        <w:t>In many cases, retail tariffs have different peak and off peak rates to reflect differences in the cost of supply during peak and non</w:t>
      </w:r>
      <w:r>
        <w:noBreakHyphen/>
        <w:t>peak rates. To a large extent, network</w:t>
      </w:r>
      <w:r>
        <w:noBreakHyphen/>
        <w:t>related costs are therefore reflected in retail prices.</w:t>
      </w:r>
    </w:p>
    <w:p w:rsidR="00612FD3" w:rsidRDefault="00612FD3" w:rsidP="00612FD3">
      <w:pPr>
        <w:pStyle w:val="Heading3"/>
        <w:numPr>
          <w:ilvl w:val="2"/>
          <w:numId w:val="5"/>
        </w:numPr>
      </w:pPr>
      <w:r>
        <w:t>Information failures</w:t>
      </w:r>
    </w:p>
    <w:p w:rsidR="00612FD3" w:rsidRDefault="00612FD3" w:rsidP="00612FD3">
      <w:pPr>
        <w:pStyle w:val="BodyText"/>
      </w:pPr>
      <w:r>
        <w:t>One form of information failure would arise when the party that makes decisions on the energy efficiency of the building design and the associated services installed (such as building owners or developers, architects and engineers acting on their behalf) do not have access to sufficient information to make fully informed decisions when the building is designed and constructed.</w:t>
      </w:r>
    </w:p>
    <w:p w:rsidR="00612FD3" w:rsidRDefault="00612FD3" w:rsidP="00612FD3">
      <w:pPr>
        <w:pStyle w:val="BodyText"/>
      </w:pPr>
      <w:r>
        <w:t>General information on the potential benefits of improving energy efficiency in commercial buildings is freely available through a range of sources, including:</w:t>
      </w:r>
    </w:p>
    <w:p w:rsidR="00612FD3" w:rsidRDefault="00612FD3" w:rsidP="00612FD3">
      <w:pPr>
        <w:pStyle w:val="ListBullet"/>
        <w:numPr>
          <w:ilvl w:val="0"/>
          <w:numId w:val="36"/>
        </w:numPr>
      </w:pPr>
      <w:r>
        <w:t>the Energy Efficiency Exchange, a Commonwealth Government website;</w:t>
      </w:r>
      <w:r>
        <w:rPr>
          <w:rStyle w:val="FootnoteReference"/>
        </w:rPr>
        <w:footnoteReference w:id="71"/>
      </w:r>
      <w:r>
        <w:t xml:space="preserve"> and</w:t>
      </w:r>
    </w:p>
    <w:p w:rsidR="00612FD3" w:rsidRDefault="00612FD3" w:rsidP="00612FD3">
      <w:pPr>
        <w:pStyle w:val="ListBullet"/>
        <w:numPr>
          <w:ilvl w:val="0"/>
          <w:numId w:val="36"/>
        </w:numPr>
      </w:pPr>
      <w:r>
        <w:t>case studies published by the Green Building Council of Australia (GBCA) and others.</w:t>
      </w:r>
    </w:p>
    <w:p w:rsidR="00612FD3" w:rsidRDefault="00612FD3" w:rsidP="00612FD3">
      <w:pPr>
        <w:pStyle w:val="BodyText"/>
      </w:pPr>
      <w:r>
        <w:t>More project</w:t>
      </w:r>
      <w:r>
        <w:noBreakHyphen/>
        <w:t>specific information is commercially available from specialist consultants and energy efficiency modellers. Stakeholders suggested that Performance Solutions, which involve energy efficiency modelling, are frequently used to comply with Section J of the NCC (although some stakeholders reported that the DTS pathway continues to be used for some buildings). Nevertheless, this suggests that energy efficiency modelling is an established part of the building design and construction process.</w:t>
      </w:r>
    </w:p>
    <w:p w:rsidR="00612FD3" w:rsidRDefault="00612FD3" w:rsidP="00612FD3">
      <w:pPr>
        <w:pStyle w:val="BodyText"/>
      </w:pPr>
      <w:r>
        <w:t>This suggests that relevant information is potentially available, albeit at some cost; and that relevant information may come at a cost is not necessarily a market failure. The extent to which this information is accessed and acted upon is a separate issue addressed below.</w:t>
      </w:r>
    </w:p>
    <w:p w:rsidR="00612FD3" w:rsidRDefault="00612FD3" w:rsidP="00612FD3">
      <w:pPr>
        <w:pStyle w:val="BodyText"/>
      </w:pPr>
      <w:r>
        <w:t>Another form of information failure is an ‘information asymmetry’. This occurs where one party in a transaction has more information than another. In the context of energy efficiency in commercial buildings, an information asymmetry would arise where a building (or part of a building) is sold or rented and the seller/landlord has information on the associated energy bills, while the buyer/tenant does not. Under these circumstances the buyer/tenant may not be in a position to make informed decisions and higher levels of energy efficiency would not be reflected in leases or sale prices.</w:t>
      </w:r>
    </w:p>
    <w:p w:rsidR="00612FD3" w:rsidRDefault="00612FD3" w:rsidP="00612FD3">
      <w:pPr>
        <w:pStyle w:val="BodyText"/>
      </w:pPr>
      <w:r>
        <w:t>That said, there are several existing mechanisms to address the potential for these information asymmetries to arise:</w:t>
      </w:r>
    </w:p>
    <w:p w:rsidR="00612FD3" w:rsidRDefault="00612FD3" w:rsidP="00612FD3">
      <w:pPr>
        <w:pStyle w:val="ListBullet"/>
        <w:numPr>
          <w:ilvl w:val="0"/>
          <w:numId w:val="36"/>
        </w:numPr>
      </w:pPr>
      <w:r>
        <w:t>Energy efficiency rating tools allow building owners/operators to obtain a rating for their building from an accredited assessor using an established methodology. These arrangements mean that buyers/tenants can have confidence in the energy efficiency rating provided by the seller/landlord. Existing energy efficiency rating tools include:</w:t>
      </w:r>
    </w:p>
    <w:p w:rsidR="00612FD3" w:rsidRDefault="00612FD3" w:rsidP="00612FD3">
      <w:pPr>
        <w:pStyle w:val="ListBullet2"/>
        <w:numPr>
          <w:ilvl w:val="1"/>
          <w:numId w:val="36"/>
        </w:numPr>
      </w:pPr>
      <w:r>
        <w:t>The National Australian Built Environment Rating System (NABERS) operated by the NSW Office of Environment and Heritage (OEH) on behalf of Federal, State and Territory Governments. There are currently NABERS tools available for:</w:t>
      </w:r>
    </w:p>
    <w:p w:rsidR="00612FD3" w:rsidRDefault="00612FD3" w:rsidP="00612FD3">
      <w:pPr>
        <w:pStyle w:val="ListBullet3"/>
        <w:numPr>
          <w:ilvl w:val="2"/>
          <w:numId w:val="36"/>
        </w:numPr>
      </w:pPr>
      <w:r>
        <w:t>Office buildings — the tool for office buildings is widely used</w:t>
      </w:r>
    </w:p>
    <w:p w:rsidR="00612FD3" w:rsidRDefault="00612FD3" w:rsidP="00612FD3">
      <w:pPr>
        <w:pStyle w:val="ListBullet3"/>
        <w:numPr>
          <w:ilvl w:val="2"/>
          <w:numId w:val="36"/>
        </w:numPr>
      </w:pPr>
      <w:r>
        <w:t>Shopping centres</w:t>
      </w:r>
    </w:p>
    <w:p w:rsidR="00612FD3" w:rsidRDefault="00612FD3" w:rsidP="00612FD3">
      <w:pPr>
        <w:pStyle w:val="ListBullet3"/>
        <w:numPr>
          <w:ilvl w:val="2"/>
          <w:numId w:val="36"/>
        </w:numPr>
      </w:pPr>
      <w:r>
        <w:t>Hotels</w:t>
      </w:r>
    </w:p>
    <w:p w:rsidR="00612FD3" w:rsidRDefault="00612FD3" w:rsidP="00612FD3">
      <w:pPr>
        <w:pStyle w:val="ListBullet3"/>
        <w:numPr>
          <w:ilvl w:val="2"/>
          <w:numId w:val="36"/>
        </w:numPr>
      </w:pPr>
      <w:r>
        <w:t>Data centres.</w:t>
      </w:r>
      <w:r>
        <w:rPr>
          <w:rStyle w:val="FootnoteReference"/>
        </w:rPr>
        <w:footnoteReference w:id="72"/>
      </w:r>
    </w:p>
    <w:p w:rsidR="00612FD3" w:rsidRDefault="00612FD3" w:rsidP="00612FD3">
      <w:pPr>
        <w:pStyle w:val="ListBullet2"/>
        <w:numPr>
          <w:ilvl w:val="1"/>
          <w:numId w:val="36"/>
        </w:numPr>
      </w:pPr>
      <w:r>
        <w:t>The Green Star rating system operated by the Green Building Council of Australia (GBCA). Green Star is a holistic sustainability rating system.</w:t>
      </w:r>
    </w:p>
    <w:p w:rsidR="00612FD3" w:rsidRDefault="00612FD3" w:rsidP="00612FD3">
      <w:pPr>
        <w:pStyle w:val="ListBullet"/>
        <w:numPr>
          <w:ilvl w:val="0"/>
          <w:numId w:val="36"/>
        </w:numPr>
      </w:pPr>
      <w:r>
        <w:t>In addition, the Commercial Building Disclosure (CBD) program requires that sellers and lessors of office space of 1 000 m</w:t>
      </w:r>
      <w:r w:rsidRPr="000C416C">
        <w:rPr>
          <w:vertAlign w:val="superscript"/>
        </w:rPr>
        <w:t>2</w:t>
      </w:r>
      <w:r>
        <w:t xml:space="preserve"> or more to obtain a Building Energy Efficiency Certificate — which includes the building’s NABERS Energy for Offices star rating and a tenancy lighting assessment of the relevant area of the building — before the building goes on the market for sale, lease or sublease.</w:t>
      </w:r>
      <w:r>
        <w:rPr>
          <w:rStyle w:val="FootnoteReference"/>
        </w:rPr>
        <w:footnoteReference w:id="73"/>
      </w:r>
      <w:r>
        <w:t xml:space="preserve"> The CBD program commenced in </w:t>
      </w:r>
      <w:r w:rsidRPr="00EA6419">
        <w:t>July 2010</w:t>
      </w:r>
      <w:r>
        <w:t xml:space="preserve"> with a minimum threshold of 2 000 m</w:t>
      </w:r>
      <w:r w:rsidRPr="000C416C">
        <w:rPr>
          <w:vertAlign w:val="superscript"/>
        </w:rPr>
        <w:t>2</w:t>
      </w:r>
      <w:r>
        <w:t>.</w:t>
      </w:r>
      <w:r>
        <w:rPr>
          <w:rStyle w:val="FootnoteReference"/>
        </w:rPr>
        <w:footnoteReference w:id="74"/>
      </w:r>
      <w:r>
        <w:t xml:space="preserve"> This was decreased to 1 000 m</w:t>
      </w:r>
      <w:r w:rsidRPr="000C416C">
        <w:rPr>
          <w:vertAlign w:val="superscript"/>
        </w:rPr>
        <w:t>2</w:t>
      </w:r>
      <w:r>
        <w:t xml:space="preserve"> from </w:t>
      </w:r>
      <w:r w:rsidRPr="0045771B">
        <w:t>July 2017</w:t>
      </w:r>
      <w:r>
        <w:t>. The aim is to encourage all parties in a purchase or lease transaction to consider energy efficiency.</w:t>
      </w:r>
    </w:p>
    <w:p w:rsidR="00612FD3" w:rsidRDefault="00612FD3" w:rsidP="00612FD3">
      <w:pPr>
        <w:pStyle w:val="BodyText"/>
      </w:pPr>
      <w:r>
        <w:t>Stakeholders also reported that investor demand for green buildings provides a significant incentive to achieve high levels of energy efficiency at the premium end of the office market. Investor demand for green buildings is driven by the recognition of the commercial benefits of better energy efficiency (such as lower energy bills, higher rents and lower vacancy rates) as well as corporate social responsibility requirements of large investors. Some stakeholders also reported that NABERS or Green Star ratings are often used as a market proxy for overall building quality.</w:t>
      </w:r>
    </w:p>
    <w:p w:rsidR="00612FD3" w:rsidRDefault="00612FD3" w:rsidP="00612FD3">
      <w:pPr>
        <w:pStyle w:val="BodyText"/>
      </w:pPr>
      <w:r>
        <w:t>A recent review found that the CBD program had been successful in encouraging energy efficiency improvements, particularly in the least efficient buildings.</w:t>
      </w:r>
      <w:r>
        <w:rPr>
          <w:rStyle w:val="FootnoteReference"/>
        </w:rPr>
        <w:footnoteReference w:id="75"/>
      </w:r>
      <w:r>
        <w:t xml:space="preserve"> While the focus of the CBD program is on existing buildings, it nevertheless suggests that existing mechanisms go some way to addressing the information asymmetry problem. However, as noted above, mandatory disclosure of the NABERS energy efficiency rating is applied only to a subset of commercial buildings. As a result, the problem of information failure should be addressed for those commercial buildings not being covered by the CBD. </w:t>
      </w:r>
    </w:p>
    <w:p w:rsidR="00AD335C" w:rsidRDefault="00AD335C" w:rsidP="00AD335C">
      <w:pPr>
        <w:pStyle w:val="Heading3"/>
        <w:numPr>
          <w:ilvl w:val="2"/>
          <w:numId w:val="5"/>
        </w:numPr>
      </w:pPr>
      <w:r>
        <w:t>Split incentives</w:t>
      </w:r>
    </w:p>
    <w:p w:rsidR="00AD335C" w:rsidRDefault="00AD335C" w:rsidP="00AD335C">
      <w:pPr>
        <w:pStyle w:val="BodyText"/>
      </w:pPr>
      <w:r>
        <w:t>A subset of the information problems discussed above is the issue of split incentives. Split incentives occur when the party making the decision on whether to invest in energy efficiency are not responsible for energy bills.</w:t>
      </w:r>
    </w:p>
    <w:p w:rsidR="00AD335C" w:rsidRDefault="00AD335C" w:rsidP="00AD335C">
      <w:pPr>
        <w:pStyle w:val="Heading4"/>
        <w:numPr>
          <w:ilvl w:val="3"/>
          <w:numId w:val="5"/>
        </w:numPr>
      </w:pPr>
      <w:r>
        <w:t>Landlord</w:t>
      </w:r>
      <w:r>
        <w:noBreakHyphen/>
        <w:t>tenant problem¤</w:t>
      </w:r>
    </w:p>
    <w:p w:rsidR="00AD335C" w:rsidRDefault="00AD335C" w:rsidP="00AD335C">
      <w:pPr>
        <w:pStyle w:val="BodyText"/>
      </w:pPr>
      <w:r>
        <w:t>The most commonly cited split incentive in relation to commercial buildings is the landlord</w:t>
      </w:r>
      <w:r>
        <w:noBreakHyphen/>
        <w:t>tenant problem. This problem potentially applies to leased buildings where:</w:t>
      </w:r>
    </w:p>
    <w:p w:rsidR="00AD335C" w:rsidRDefault="00AD335C" w:rsidP="00AD335C">
      <w:pPr>
        <w:pStyle w:val="ListBullet"/>
        <w:numPr>
          <w:ilvl w:val="0"/>
          <w:numId w:val="36"/>
        </w:numPr>
      </w:pPr>
      <w:r>
        <w:t>the building owner (the landlord) bears the cost of any investment in energy efficiency (including the building façade and central services); and</w:t>
      </w:r>
    </w:p>
    <w:p w:rsidR="00AD335C" w:rsidRDefault="00AD335C" w:rsidP="00AD335C">
      <w:pPr>
        <w:pStyle w:val="ListBullet"/>
        <w:numPr>
          <w:ilvl w:val="0"/>
          <w:numId w:val="36"/>
        </w:numPr>
      </w:pPr>
      <w:r>
        <w:t>energy bills are passed onto tenants (although this is not always the case).</w:t>
      </w:r>
    </w:p>
    <w:p w:rsidR="00AD335C" w:rsidRDefault="00AD335C" w:rsidP="00AD335C">
      <w:pPr>
        <w:pStyle w:val="BodyText"/>
      </w:pPr>
      <w:r>
        <w:t>The landlord-tenant problem is more relevant to office and retail buildings which are the largest commercial users of energy, together accounting for over 40 per cent of the total energy consumed by commercial buildings.</w:t>
      </w:r>
    </w:p>
    <w:p w:rsidR="00AD335C" w:rsidRDefault="00AD335C" w:rsidP="00AD335C">
      <w:pPr>
        <w:pStyle w:val="BodyText"/>
      </w:pPr>
      <w:r>
        <w:t>It is less relevant to other types of commercial buildings, such as educational facilities, health-care facilities and hotels, where the building owner and operator are more likely to be the same entity and responsible for both decisions on whether to invest in energy efficiency, and energy bills. However, there may be organisational inefficiencies that limit the appropriate consideration of the longer term operating cost implications at various levels of capital expenditure decisions for these types of commercial buildings.</w:t>
      </w:r>
    </w:p>
    <w:p w:rsidR="00AD335C" w:rsidRDefault="00AD335C" w:rsidP="00AD335C">
      <w:pPr>
        <w:pStyle w:val="BodyText"/>
      </w:pPr>
      <w:r>
        <w:t>The landlord</w:t>
      </w:r>
      <w:r>
        <w:noBreakHyphen/>
        <w:t>tenant problem is essentially an information or behavioural failure on the part of tenants. Where energy bill savings are understood by tenants, they are likely to be willing to pay higher rents in more energy efficient buildings (i.e. bill savings are likely to be capitalised into rents). In these circumstances, the benefits of better energy efficiency are passed back to the building owner/manager. The capacity to achieve higher rents would also be reflected in the value of the building.</w:t>
      </w:r>
    </w:p>
    <w:p w:rsidR="00AD335C" w:rsidRDefault="00AD335C" w:rsidP="00AD335C">
      <w:pPr>
        <w:pStyle w:val="BodyText"/>
      </w:pPr>
      <w:r>
        <w:t>To some extent, the existing mechanisms outlined above address these information failures for tenants in the buildings where the landlord</w:t>
      </w:r>
      <w:r>
        <w:noBreakHyphen/>
        <w:t>tenant problem are most likely to arise. In particular:</w:t>
      </w:r>
    </w:p>
    <w:p w:rsidR="00AD335C" w:rsidRDefault="00AD335C" w:rsidP="00AD335C">
      <w:pPr>
        <w:pStyle w:val="ListBullet"/>
        <w:numPr>
          <w:ilvl w:val="0"/>
          <w:numId w:val="36"/>
        </w:numPr>
      </w:pPr>
      <w:r>
        <w:t>it is mandatory for all office buildings with an area greater than 1 000 m</w:t>
      </w:r>
      <w:r w:rsidRPr="001122BD">
        <w:rPr>
          <w:vertAlign w:val="superscript"/>
        </w:rPr>
        <w:t>2</w:t>
      </w:r>
      <w:r>
        <w:t xml:space="preserve"> to obtain a NABERS rating when sold or leased under the CBD program; and</w:t>
      </w:r>
    </w:p>
    <w:p w:rsidR="00AD335C" w:rsidRDefault="00AD335C" w:rsidP="00AD335C">
      <w:pPr>
        <w:pStyle w:val="ListBullet"/>
        <w:numPr>
          <w:ilvl w:val="0"/>
          <w:numId w:val="36"/>
        </w:numPr>
      </w:pPr>
      <w:r>
        <w:t>voluntary NABERS and/or Green Star rating tools are also available for office buildings and shopping centres.</w:t>
      </w:r>
    </w:p>
    <w:p w:rsidR="00AD335C" w:rsidRDefault="00AD335C" w:rsidP="00AD335C">
      <w:pPr>
        <w:pStyle w:val="BodyText"/>
      </w:pPr>
      <w:r>
        <w:t>Evidence of energy bill savings being capitalised into rents and building values would be an indicator that tenants and buyers have sufficient information to make informed decisions.</w:t>
      </w:r>
    </w:p>
    <w:p w:rsidR="00AD335C" w:rsidRDefault="00AD335C" w:rsidP="00AD335C">
      <w:pPr>
        <w:pStyle w:val="BodyText"/>
      </w:pPr>
      <w:r>
        <w:t>A number of international studies have found evidence that returns to more energy efficient buildings are higher than less energy efficient buildings.</w:t>
      </w:r>
      <w:r>
        <w:rPr>
          <w:rStyle w:val="FootnoteReference"/>
        </w:rPr>
        <w:footnoteReference w:id="76"/>
      </w:r>
      <w:r>
        <w:t xml:space="preserve"> In particular, Papineau (2015) found that in the US office market, on average unlabelled buildings constructed under a more stringent energy code are associated with statistically significant rent premiums of around 4 per cent and price premiums of around 9 per cent. These premiums were considered to plausibly represent complete capitalisation of estimated energy savings in rents and prices.</w:t>
      </w:r>
      <w:r>
        <w:rPr>
          <w:rStyle w:val="FootnoteReference"/>
        </w:rPr>
        <w:footnoteReference w:id="77"/>
      </w:r>
    </w:p>
    <w:p w:rsidR="00AD335C" w:rsidRDefault="00AD335C" w:rsidP="00AD335C">
      <w:pPr>
        <w:pStyle w:val="BodyText"/>
      </w:pPr>
      <w:r>
        <w:t>There is also Australian evidence of energy bill savings associated with higher levels of energy efficiency being capitalised into rents and prices (as well as lower vacancy rates). A study for the Australian Property Institute and Property Funds Association compared rents and prices of 206 NABERS</w:t>
      </w:r>
      <w:r>
        <w:noBreakHyphen/>
        <w:t>rated office buildings and 160 office buildings that did not have a NABERS rating in Sydney and Canberra. This study focused mostly (over 97 per cent) on office buildings with an area exceeding 2 000 m</w:t>
      </w:r>
      <w:r w:rsidRPr="00243D59">
        <w:rPr>
          <w:vertAlign w:val="superscript"/>
        </w:rPr>
        <w:t>2</w:t>
      </w:r>
      <w:r>
        <w:t>. A key feature of this study is that it controlled for differences in building characteristics to ensure that any identified ‘green premium’ is not a result of green buildings being newer.</w:t>
      </w:r>
      <w:r>
        <w:rPr>
          <w:rStyle w:val="FootnoteReference"/>
        </w:rPr>
        <w:footnoteReference w:id="78"/>
      </w:r>
    </w:p>
    <w:p w:rsidR="00AD335C" w:rsidRDefault="00AD335C" w:rsidP="00AD335C">
      <w:pPr>
        <w:pStyle w:val="BodyText"/>
      </w:pPr>
      <w:r>
        <w:t>The study found:</w:t>
      </w:r>
    </w:p>
    <w:p w:rsidR="00AD335C" w:rsidRDefault="00AD335C" w:rsidP="00AD335C">
      <w:pPr>
        <w:pStyle w:val="ListBullet"/>
        <w:numPr>
          <w:ilvl w:val="0"/>
          <w:numId w:val="36"/>
        </w:numPr>
      </w:pPr>
      <w:r>
        <w:t>Evidence of a green premium in values for buildings with higher NABERS ratings – the 5 star NABERS energy rating delivering a 9 per cent green premium in value and the 3-4.5 star NABERS rating delivering a 2-3 per cent green premium in value.</w:t>
      </w:r>
    </w:p>
    <w:p w:rsidR="00AD335C" w:rsidRDefault="00AD335C" w:rsidP="00AD335C">
      <w:pPr>
        <w:pStyle w:val="ListBullet"/>
        <w:numPr>
          <w:ilvl w:val="0"/>
          <w:numId w:val="36"/>
        </w:numPr>
      </w:pPr>
      <w:r>
        <w:t>These green premiums were most evident in the Canberra office market and the Sydney suburban office market (North Sydney, Parramatta, Chatswood, St Leonards, South Sydney, Norwest, Macquarie Park, Rhodes and Homebush Bay).</w:t>
      </w:r>
    </w:p>
    <w:p w:rsidR="00AD335C" w:rsidRDefault="00AD335C" w:rsidP="00AD335C">
      <w:pPr>
        <w:pStyle w:val="ListBullet"/>
        <w:numPr>
          <w:ilvl w:val="0"/>
          <w:numId w:val="36"/>
        </w:numPr>
      </w:pPr>
      <w:r>
        <w:t>Rents were lower in buildings with a low NABERS ratings.</w:t>
      </w:r>
    </w:p>
    <w:p w:rsidR="00AD335C" w:rsidRDefault="00AD335C" w:rsidP="00AD335C">
      <w:pPr>
        <w:pStyle w:val="ListBullet"/>
        <w:numPr>
          <w:ilvl w:val="0"/>
          <w:numId w:val="36"/>
        </w:numPr>
      </w:pPr>
      <w:r>
        <w:t>Green premiums were also evident in reduced vacancy rates and reduced outgoings.</w:t>
      </w:r>
      <w:r>
        <w:rPr>
          <w:rStyle w:val="FootnoteReference"/>
        </w:rPr>
        <w:footnoteReference w:id="79"/>
      </w:r>
    </w:p>
    <w:p w:rsidR="00AD335C" w:rsidRDefault="00AD335C" w:rsidP="00AD335C">
      <w:pPr>
        <w:pStyle w:val="BodyText"/>
      </w:pPr>
      <w:r>
        <w:t>This study suggests that where sufficient information is available, tenants and buyers can make informed decisions.</w:t>
      </w:r>
    </w:p>
    <w:p w:rsidR="00AD335C" w:rsidRDefault="00AD335C" w:rsidP="00AD335C">
      <w:pPr>
        <w:pStyle w:val="BodyText"/>
      </w:pPr>
      <w:r>
        <w:t>That said, it should be noted that the CBD currently covers offices with an area at or above 1 000 m</w:t>
      </w:r>
      <w:r>
        <w:rPr>
          <w:vertAlign w:val="superscript"/>
        </w:rPr>
        <w:t>2</w:t>
      </w:r>
      <w:r>
        <w:t xml:space="preserve">, and the rating schemes like NABERS are voluntary and/or not available for other building types. For them the landlord-tenant problem is still relevant. </w:t>
      </w:r>
    </w:p>
    <w:p w:rsidR="00AD335C" w:rsidRDefault="00AD335C" w:rsidP="00AD335C">
      <w:pPr>
        <w:pStyle w:val="Heading4"/>
        <w:numPr>
          <w:ilvl w:val="3"/>
          <w:numId w:val="5"/>
        </w:numPr>
      </w:pPr>
      <w:r>
        <w:t>Builder and end-user split incentive problem</w:t>
      </w:r>
    </w:p>
    <w:p w:rsidR="00AD335C" w:rsidRPr="00530AD8" w:rsidRDefault="00AD335C" w:rsidP="00AD335C">
      <w:pPr>
        <w:pStyle w:val="BodyText"/>
      </w:pPr>
      <w:r>
        <w:t xml:space="preserve">Another source of split incentives reported by stakeholders in Australia is between a building contractor and its owner/occupier. As discussed in the International Energy Agency’s 2007 report, </w:t>
      </w:r>
      <w:hyperlink r:id="rId55" w:history="1">
        <w:r w:rsidRPr="00157DCF">
          <w:rPr>
            <w:rStyle w:val="Hyperlink"/>
            <w:i/>
            <w:color w:val="000000" w:themeColor="text1"/>
          </w:rPr>
          <w:t>Mind the Gap: Quantifying Principal-Agent Problems</w:t>
        </w:r>
      </w:hyperlink>
      <w:r w:rsidRPr="00157DCF">
        <w:rPr>
          <w:rStyle w:val="Hyperlink"/>
          <w:i/>
          <w:color w:val="000000" w:themeColor="text1"/>
        </w:rPr>
        <w:t xml:space="preserve"> in Energy Efficiency</w:t>
      </w:r>
      <w:r w:rsidRPr="00157DCF">
        <w:rPr>
          <w:rStyle w:val="Hyperlink"/>
          <w:color w:val="000000" w:themeColor="text1"/>
        </w:rPr>
        <w:t>,</w:t>
      </w:r>
      <w:r>
        <w:rPr>
          <w:i/>
        </w:rPr>
        <w:t xml:space="preserve"> </w:t>
      </w:r>
      <w:r>
        <w:t xml:space="preserve">a </w:t>
      </w:r>
      <w:r w:rsidRPr="00530AD8">
        <w:t xml:space="preserve">building contractor makes many energy-related decisions, including the efficiency of the heating system and of the windows, and the building’s resistance to air infiltration. </w:t>
      </w:r>
      <w:r>
        <w:t xml:space="preserve">However, given these energy efficient </w:t>
      </w:r>
      <w:r w:rsidRPr="00530AD8">
        <w:t xml:space="preserve">alternatives usually increase the cost of construction, </w:t>
      </w:r>
      <w:r>
        <w:t>‘</w:t>
      </w:r>
      <w:r w:rsidRPr="00530AD8">
        <w:t>the building contractor has incentives to avoid these measures, especially if the measures are invisible to prospective buyers</w:t>
      </w:r>
      <w:r>
        <w:t>’</w:t>
      </w:r>
      <w:r w:rsidRPr="00530AD8">
        <w:t>.</w:t>
      </w:r>
      <w:r>
        <w:rPr>
          <w:rStyle w:val="FootnoteReference"/>
        </w:rPr>
        <w:footnoteReference w:id="80"/>
      </w:r>
      <w:r>
        <w:t xml:space="preserve"> That is, the </w:t>
      </w:r>
      <w:r w:rsidRPr="002813D9">
        <w:t>developer</w:t>
      </w:r>
      <w:r>
        <w:t xml:space="preserve"> is naturally</w:t>
      </w:r>
      <w:r w:rsidRPr="002813D9">
        <w:t xml:space="preserve"> trying to build for the lowest cost pos</w:t>
      </w:r>
      <w:r>
        <w:t>sible, and would incur the capital cost of energy efficiency investments, while</w:t>
      </w:r>
      <w:r w:rsidRPr="002813D9">
        <w:t xml:space="preserve"> the end user is not identified</w:t>
      </w:r>
      <w:r>
        <w:t xml:space="preserve"> and may potentially not pay the full cost of those investments.</w:t>
      </w:r>
      <w:r w:rsidRPr="002813D9">
        <w:t xml:space="preserve"> This applies to all building types and</w:t>
      </w:r>
      <w:r>
        <w:t>, particularly to those</w:t>
      </w:r>
      <w:r w:rsidRPr="002813D9">
        <w:t xml:space="preserve"> development</w:t>
      </w:r>
      <w:r>
        <w:t>s</w:t>
      </w:r>
      <w:r w:rsidRPr="002813D9">
        <w:t xml:space="preserve"> </w:t>
      </w:r>
      <w:r>
        <w:t xml:space="preserve">that are </w:t>
      </w:r>
      <w:r w:rsidRPr="002813D9">
        <w:t>completed speculatively or</w:t>
      </w:r>
      <w:r>
        <w:t>, where</w:t>
      </w:r>
      <w:r w:rsidRPr="002813D9">
        <w:t xml:space="preserve"> there is a fixed-price build an</w:t>
      </w:r>
      <w:r>
        <w:t>d energy efficiency measures may be ‘</w:t>
      </w:r>
      <w:r w:rsidRPr="002813D9">
        <w:t>val</w:t>
      </w:r>
      <w:r>
        <w:t>ue engineered’</w:t>
      </w:r>
      <w:r w:rsidRPr="002813D9">
        <w:t xml:space="preserve"> out to</w:t>
      </w:r>
      <w:r>
        <w:t xml:space="preserve"> increase the builder's margin. Due to the complexity of observing the compliance to design after building, it may be difficult for the owner to observe the difference between planned and actual building standard. </w:t>
      </w:r>
    </w:p>
    <w:p w:rsidR="00AD335C" w:rsidRDefault="00AD335C" w:rsidP="00AD335C">
      <w:pPr>
        <w:pStyle w:val="Heading4"/>
        <w:numPr>
          <w:ilvl w:val="3"/>
          <w:numId w:val="5"/>
        </w:numPr>
      </w:pPr>
      <w:r>
        <w:t>Other types of split incentives</w:t>
      </w:r>
    </w:p>
    <w:p w:rsidR="00AD335C" w:rsidRDefault="00AD335C" w:rsidP="00AD335C">
      <w:pPr>
        <w:pStyle w:val="BodyText"/>
      </w:pPr>
      <w:r>
        <w:t>Another type of split incentive could occur within large organisations, where separate parts of the organisation are responsible for capital budgets and paying energy bills. This is effectively an organisational failure</w:t>
      </w:r>
      <w:r w:rsidR="006D54D5">
        <w:t xml:space="preserve">, rather than a market failure </w:t>
      </w:r>
      <w:r w:rsidR="006D54D5" w:rsidRPr="002B3C0A">
        <w:rPr>
          <w:i/>
        </w:rPr>
        <w:t>per se</w:t>
      </w:r>
      <w:r>
        <w:t>. This type of split incentive as a result of government budgeting arrangements was identified during stakeholder consultations as a key barrier to improved energy efficiency in government buildings.</w:t>
      </w:r>
    </w:p>
    <w:p w:rsidR="00612FD3" w:rsidRDefault="00612FD3" w:rsidP="00612FD3">
      <w:pPr>
        <w:pStyle w:val="Heading3"/>
        <w:numPr>
          <w:ilvl w:val="2"/>
          <w:numId w:val="5"/>
        </w:numPr>
      </w:pPr>
      <w:r>
        <w:t>Bounded rationality and heuristic decision</w:t>
      </w:r>
      <w:r>
        <w:noBreakHyphen/>
        <w:t>making</w:t>
      </w:r>
    </w:p>
    <w:p w:rsidR="006D54D5" w:rsidRDefault="006D54D5" w:rsidP="00612FD3">
      <w:pPr>
        <w:pStyle w:val="BodyText"/>
      </w:pPr>
      <w:r>
        <w:t>In addition to the market failures discussed above, some studies cite behavioural anomalies/failures as a reason for under</w:t>
      </w:r>
      <w:r>
        <w:noBreakHyphen/>
        <w:t>investment in improved energy efficiency. Behavioural anomalies cited in the literature include bounded rationality and heuristic decision-making.</w:t>
      </w:r>
    </w:p>
    <w:p w:rsidR="006D54D5" w:rsidRDefault="006D54D5" w:rsidP="00612FD3">
      <w:pPr>
        <w:pStyle w:val="BodyText"/>
      </w:pPr>
      <w:r>
        <w:t xml:space="preserve">Energy efficiency </w:t>
      </w:r>
      <w:r w:rsidR="00E510B9">
        <w:t xml:space="preserve">choices </w:t>
      </w:r>
      <w:r>
        <w:t xml:space="preserve">in </w:t>
      </w:r>
      <w:r w:rsidR="00FE4A83">
        <w:t xml:space="preserve">commercial buildings </w:t>
      </w:r>
      <w:r w:rsidR="00E510B9">
        <w:t>may</w:t>
      </w:r>
      <w:r w:rsidR="00FE4A83">
        <w:t xml:space="preserve"> involve </w:t>
      </w:r>
      <w:r w:rsidR="00E510B9">
        <w:t xml:space="preserve">complex </w:t>
      </w:r>
      <w:r w:rsidR="00FE4A83">
        <w:t>trade</w:t>
      </w:r>
      <w:r w:rsidR="00FE4A83">
        <w:noBreakHyphen/>
        <w:t xml:space="preserve">offs with factors, such as design preferences as well as cost. In the face of this complexity, some </w:t>
      </w:r>
      <w:r w:rsidR="00DB2B55">
        <w:t>owners/developers</w:t>
      </w:r>
      <w:r w:rsidR="00FE4A83">
        <w:t xml:space="preserve"> may</w:t>
      </w:r>
      <w:r w:rsidR="00DB2B55">
        <w:t xml:space="preserve">: </w:t>
      </w:r>
      <w:r w:rsidR="00FE4A83">
        <w:t>make sub</w:t>
      </w:r>
      <w:r w:rsidR="00FE4A83">
        <w:noBreakHyphen/>
        <w:t>optimal decisions due to cognitive limitations</w:t>
      </w:r>
      <w:r w:rsidR="00DB2B55">
        <w:t>; and/</w:t>
      </w:r>
      <w:r w:rsidR="00FE4A83">
        <w:t>or rely on heuristics (mental short cuts) to make decisions.</w:t>
      </w:r>
    </w:p>
    <w:p w:rsidR="00612FD3" w:rsidRDefault="00612FD3" w:rsidP="00612FD3">
      <w:pPr>
        <w:pStyle w:val="BodyText"/>
      </w:pPr>
      <w:r>
        <w:t xml:space="preserve">In an assessment of the evidence on the causes of the energy efficiency gap, Gerarden </w:t>
      </w:r>
      <w:r w:rsidRPr="0045771B">
        <w:rPr>
          <w:i/>
        </w:rPr>
        <w:t>et. al.</w:t>
      </w:r>
      <w:r>
        <w:t xml:space="preserve"> (2015) noted that cognitive limitations could conceivably contribute to the energy efficiency gap by preventing individuals (or possibly firms) from properly balancing present value of benefits and costs when investing in energy</w:t>
      </w:r>
      <w:r>
        <w:noBreakHyphen/>
        <w:t>using capital goods.</w:t>
      </w:r>
      <w:r>
        <w:rPr>
          <w:rStyle w:val="FootnoteReference"/>
        </w:rPr>
        <w:footnoteReference w:id="81"/>
      </w:r>
    </w:p>
    <w:p w:rsidR="00612FD3" w:rsidRDefault="00612FD3" w:rsidP="00612FD3">
      <w:pPr>
        <w:pStyle w:val="BodyText"/>
      </w:pPr>
      <w:r>
        <w:t xml:space="preserve">Gerarden </w:t>
      </w:r>
      <w:r w:rsidRPr="0045771B">
        <w:rPr>
          <w:i/>
        </w:rPr>
        <w:t>et. al</w:t>
      </w:r>
      <w:r>
        <w:t>. (2015) note that many empirical studies are consistent with this explanation. However, it is difficult to disentangle the role of heuristics and bounded rationality from competing explanations because consumers’ decision</w:t>
      </w:r>
      <w:r>
        <w:noBreakHyphen/>
        <w:t>making processes cannot be directly observed.</w:t>
      </w:r>
      <w:r>
        <w:rPr>
          <w:rStyle w:val="FootnoteReference"/>
        </w:rPr>
        <w:footnoteReference w:id="82"/>
      </w:r>
    </w:p>
    <w:p w:rsidR="00612FD3" w:rsidRDefault="00612FD3" w:rsidP="00612FD3">
      <w:pPr>
        <w:pStyle w:val="BodyText"/>
      </w:pPr>
      <w:r>
        <w:t>Given these challenges, it is difficult to find direct evidence that bounded rationality and heuristic decision</w:t>
      </w:r>
      <w:r>
        <w:noBreakHyphen/>
        <w:t>making contributes to the energy efficiency paradox in relation to commercial buildings. That said, several stakeholders identified entrenched practices in the construction industry — a form of heuristic decision making — as a key barrier to greater uptake of energy efficiency in commercial buildings in Australia because energy efficiency is a relatively new design consideration and sometimes overlooked or ignored as a lower order imperative to life safety.</w:t>
      </w:r>
    </w:p>
    <w:p w:rsidR="00612FD3" w:rsidRDefault="00612FD3" w:rsidP="00612FD3">
      <w:pPr>
        <w:pStyle w:val="Heading3"/>
        <w:numPr>
          <w:ilvl w:val="2"/>
          <w:numId w:val="5"/>
        </w:numPr>
      </w:pPr>
      <w:r>
        <w:t>Inattention and non</w:t>
      </w:r>
      <w:r>
        <w:noBreakHyphen/>
        <w:t>salience of energy costs</w:t>
      </w:r>
    </w:p>
    <w:p w:rsidR="00612FD3" w:rsidRDefault="00612FD3" w:rsidP="00612FD3">
      <w:pPr>
        <w:pStyle w:val="BodyText"/>
      </w:pPr>
      <w:r>
        <w:t>Some studies have sought to explain the energy efficiency paradox due to the inattention of energy users and/or the salience of energy costs. As energy costs are relatively small component of total costs for many businesses, little attention is paid to them, leading to under</w:t>
      </w:r>
      <w:r>
        <w:noBreakHyphen/>
        <w:t>investment in energy efficiency.</w:t>
      </w:r>
    </w:p>
    <w:p w:rsidR="00612FD3" w:rsidRDefault="00612FD3" w:rsidP="00612FD3">
      <w:pPr>
        <w:pStyle w:val="BodyText"/>
      </w:pPr>
      <w:r>
        <w:t xml:space="preserve">Gerarden </w:t>
      </w:r>
      <w:r w:rsidRPr="0045771B">
        <w:rPr>
          <w:i/>
        </w:rPr>
        <w:t>et. al</w:t>
      </w:r>
      <w:r>
        <w:t>. (2015) find some evidence that consumer inattention to non</w:t>
      </w:r>
      <w:r>
        <w:noBreakHyphen/>
        <w:t>salient costs affects decisions.</w:t>
      </w:r>
      <w:r>
        <w:rPr>
          <w:rStyle w:val="FootnoteReference"/>
        </w:rPr>
        <w:footnoteReference w:id="83"/>
      </w:r>
      <w:r>
        <w:t xml:space="preserve"> However, most of the research cited relates to consumers rather than businesses.</w:t>
      </w:r>
    </w:p>
    <w:p w:rsidR="00612FD3" w:rsidRDefault="00612FD3" w:rsidP="00612FD3">
      <w:pPr>
        <w:pStyle w:val="BodyText"/>
      </w:pPr>
      <w:r>
        <w:t>While there is little direct evidence that inattention to energy costs leads to under</w:t>
      </w:r>
      <w:r>
        <w:noBreakHyphen/>
        <w:t>investment in energy efficiency, it is nonetheless a plausible explanation (particularly for small businesses), although several stakeholders noted that rising energy prices over recent years have focused greater attention on energy bills. That said, the extent to which the energy price increase has encouraged greater uptake of energy efficiency measures from design to construction to operation is not clear.</w:t>
      </w:r>
    </w:p>
    <w:p w:rsidR="00612FD3" w:rsidRDefault="00612FD3" w:rsidP="00612FD3">
      <w:pPr>
        <w:pStyle w:val="Heading2"/>
        <w:numPr>
          <w:ilvl w:val="1"/>
          <w:numId w:val="5"/>
        </w:numPr>
      </w:pPr>
      <w:bookmarkStart w:id="4668" w:name="_Toc509220804"/>
      <w:bookmarkStart w:id="4669" w:name="_Toc529869869"/>
      <w:bookmarkStart w:id="4670" w:name="_Toc530748587"/>
      <w:r>
        <w:t>Alternative explanations</w:t>
      </w:r>
      <w:bookmarkEnd w:id="4668"/>
      <w:bookmarkEnd w:id="4669"/>
      <w:bookmarkEnd w:id="4670"/>
    </w:p>
    <w:p w:rsidR="00612FD3" w:rsidRDefault="00612FD3" w:rsidP="00612FD3">
      <w:pPr>
        <w:pStyle w:val="BodyText"/>
      </w:pPr>
      <w:r>
        <w:t>As discussed above, the failure of industry (and government) to adopt energy efficiency opportunities that modelling shows is privately cost</w:t>
      </w:r>
      <w:r>
        <w:noBreakHyphen/>
        <w:t xml:space="preserve">effective is often explained through the market and behavioural failures. However, an alternative view in the international literature is that the perceived energy efficiency gap may be much smaller than it appears because the modelling may not always be accurately reflecting the true costs and benefits of energy efficiency measures. </w:t>
      </w:r>
    </w:p>
    <w:p w:rsidR="00612FD3" w:rsidRDefault="00612FD3" w:rsidP="00612FD3">
      <w:pPr>
        <w:pStyle w:val="BodyText"/>
      </w:pPr>
      <w:r>
        <w:t>Some of the potential modelling issues identified in the energy efficiency literature include the following:</w:t>
      </w:r>
    </w:p>
    <w:p w:rsidR="00612FD3" w:rsidRDefault="00612FD3" w:rsidP="00612FD3">
      <w:pPr>
        <w:pStyle w:val="ListBullet"/>
        <w:numPr>
          <w:ilvl w:val="0"/>
          <w:numId w:val="36"/>
        </w:numPr>
      </w:pPr>
      <w:r>
        <w:t>Over</w:t>
      </w:r>
      <w:r>
        <w:noBreakHyphen/>
        <w:t xml:space="preserve">estimation of energy savings — in many CBAs, energy saving estimates are based on engineering estimates, particularly in the case of </w:t>
      </w:r>
      <w:r w:rsidRPr="00157DCF">
        <w:rPr>
          <w:i/>
        </w:rPr>
        <w:t>ex</w:t>
      </w:r>
      <w:r w:rsidRPr="00157DCF">
        <w:rPr>
          <w:i/>
        </w:rPr>
        <w:noBreakHyphen/>
        <w:t>ante</w:t>
      </w:r>
      <w:r>
        <w:t xml:space="preserve"> CBAs where actual energy saving cannot be observed. There is some evidence that engineering estimates can significantly overstate the energy savings achieved from improved energy efficiency (see appendix D for further details). Studies that over</w:t>
      </w:r>
      <w:r>
        <w:noBreakHyphen/>
        <w:t xml:space="preserve">estimate energy savings have persisted, despite improvements in </w:t>
      </w:r>
      <w:r w:rsidRPr="00157DCF">
        <w:rPr>
          <w:i/>
        </w:rPr>
        <w:t>ex</w:t>
      </w:r>
      <w:r w:rsidRPr="00157DCF">
        <w:rPr>
          <w:i/>
        </w:rPr>
        <w:noBreakHyphen/>
        <w:t>ante</w:t>
      </w:r>
      <w:r>
        <w:t xml:space="preserve"> engineering</w:t>
      </w:r>
      <w:r>
        <w:noBreakHyphen/>
        <w:t>economic methods over time.</w:t>
      </w:r>
      <w:r>
        <w:rPr>
          <w:rStyle w:val="FootnoteReference"/>
        </w:rPr>
        <w:footnoteReference w:id="84"/>
      </w:r>
    </w:p>
    <w:p w:rsidR="00612FD3" w:rsidRDefault="00612FD3" w:rsidP="00612FD3">
      <w:pPr>
        <w:pStyle w:val="ListBullet"/>
        <w:numPr>
          <w:ilvl w:val="0"/>
          <w:numId w:val="36"/>
        </w:numPr>
      </w:pPr>
      <w:r>
        <w:t>Under</w:t>
      </w:r>
      <w:r>
        <w:noBreakHyphen/>
        <w:t>estimation of energy efficiency improvements under the baseline scenario — t</w:t>
      </w:r>
      <w:r w:rsidRPr="00365776">
        <w:t xml:space="preserve">he Productivity Commission </w:t>
      </w:r>
      <w:r>
        <w:t>has previously noted</w:t>
      </w:r>
      <w:r w:rsidRPr="00365776">
        <w:t xml:space="preserve"> that policy makers may overstate the potential for regulation to deliver cost-effective improvements in energy efficiency because their assumed business-as-usual improvements in energy efficiency are too pessimistic and fail to anticipate the responsiveness of consumers to future reductions in the prices of energy-efficient products.</w:t>
      </w:r>
      <w:r w:rsidRPr="003E4033">
        <w:rPr>
          <w:rStyle w:val="FootnoteReference"/>
        </w:rPr>
        <w:t xml:space="preserve"> </w:t>
      </w:r>
      <w:r w:rsidRPr="00365776">
        <w:rPr>
          <w:rStyle w:val="FootnoteReference"/>
        </w:rPr>
        <w:footnoteReference w:id="85"/>
      </w:r>
    </w:p>
    <w:p w:rsidR="00612FD3" w:rsidRDefault="00612FD3" w:rsidP="00612FD3">
      <w:pPr>
        <w:pStyle w:val="ListBullet"/>
        <w:numPr>
          <w:ilvl w:val="0"/>
          <w:numId w:val="36"/>
        </w:numPr>
      </w:pPr>
      <w:r>
        <w:t>Heterogeneity across buildings — investments in energy efficiency that appear privately cost effective for the average consumer (or developer in the case of commercial buildings) may not be cost-effective for some consumers due to different preferences, expected usage and the cost of borrowing.</w:t>
      </w:r>
      <w:r>
        <w:rPr>
          <w:rStyle w:val="FootnoteReference"/>
        </w:rPr>
        <w:footnoteReference w:id="86"/>
      </w:r>
    </w:p>
    <w:p w:rsidR="00612FD3" w:rsidRDefault="00612FD3" w:rsidP="00612FD3">
      <w:pPr>
        <w:pStyle w:val="ListBullet"/>
        <w:numPr>
          <w:ilvl w:val="0"/>
          <w:numId w:val="36"/>
        </w:numPr>
      </w:pPr>
      <w:r>
        <w:t>Risk and uncertainty — i</w:t>
      </w:r>
      <w:r w:rsidRPr="00365776">
        <w:t>nvestment in energy efficiency involves some degree of risk or uncertainty</w:t>
      </w:r>
      <w:r>
        <w:t>, including uncertainty in relation to energy savings and future energy prices</w:t>
      </w:r>
      <w:r w:rsidRPr="00365776">
        <w:t>.</w:t>
      </w:r>
      <w:r w:rsidRPr="00365776">
        <w:rPr>
          <w:rStyle w:val="FootnoteReference"/>
        </w:rPr>
        <w:footnoteReference w:id="87"/>
      </w:r>
      <w:r w:rsidRPr="00365776">
        <w:t xml:space="preserve"> Various studies have noted that risk is a common explanation for firms rejecting the recommendations from energy audits.</w:t>
      </w:r>
      <w:r w:rsidRPr="00365776">
        <w:rPr>
          <w:rStyle w:val="FootnoteReference"/>
        </w:rPr>
        <w:footnoteReference w:id="88"/>
      </w:r>
      <w:r>
        <w:t xml:space="preserve"> </w:t>
      </w:r>
      <w:r w:rsidRPr="00365776">
        <w:t>As noted by the Productivity Commission, if the degree of risk and uncertainty facing producers and consumers is not adequately recognised, estimates of the potential for taking up energy efficiency related investments will be overstated.</w:t>
      </w:r>
      <w:r w:rsidRPr="00365776">
        <w:rPr>
          <w:rStyle w:val="FootnoteReference"/>
        </w:rPr>
        <w:footnoteReference w:id="89"/>
      </w:r>
    </w:p>
    <w:p w:rsidR="00612FD3" w:rsidRDefault="00612FD3" w:rsidP="00612FD3">
      <w:pPr>
        <w:pStyle w:val="ListBullet"/>
        <w:numPr>
          <w:ilvl w:val="0"/>
          <w:numId w:val="36"/>
        </w:numPr>
      </w:pPr>
      <w:r>
        <w:t>Omitted and under</w:t>
      </w:r>
      <w:r>
        <w:noBreakHyphen/>
        <w:t xml:space="preserve">estimated costs — some studies argue that energy efficiency modelling can often omit costs and therefore overstate the net impact of investing in energy efficiency. </w:t>
      </w:r>
      <w:r w:rsidRPr="00365776">
        <w:t>As noted by the Productivity Commission, well-informed purchasers of non</w:t>
      </w:r>
      <w:r w:rsidRPr="00365776">
        <w:noBreakHyphen/>
        <w:t>residential buildings may want to forgo the energy savings from a building standard because the standard causes more highly valued characteristics to be lost.</w:t>
      </w:r>
      <w:r w:rsidRPr="00365776">
        <w:rPr>
          <w:rStyle w:val="FootnoteReference"/>
        </w:rPr>
        <w:footnoteReference w:id="90"/>
      </w:r>
    </w:p>
    <w:p w:rsidR="00612FD3" w:rsidRDefault="00612FD3" w:rsidP="00612FD3">
      <w:pPr>
        <w:pStyle w:val="BodyText"/>
      </w:pPr>
      <w:r>
        <w:t>If the apparent energy efficiency gap is due to these modelling issues, regulation could potentially impose a net cost on building owners (energy efficiency investment costs are bigger than the actual energy bill savings). The public benefits of reduced greenhouse gas emissions would therefore need to outweigh these private costs for energy efficiency regulations to deliver a net social benefit (the combined benefits of actual energy bill savings plus reduction in greenhouse gas emissions are larger than the energy efficiency investment costs).</w:t>
      </w:r>
      <w:r w:rsidR="0052768D">
        <w:t xml:space="preserve"> </w:t>
      </w:r>
      <w:r w:rsidR="00FB4379">
        <w:t xml:space="preserve">In this analysis we have </w:t>
      </w:r>
      <w:r w:rsidR="00537C50">
        <w:t>separated</w:t>
      </w:r>
      <w:r w:rsidR="00FB4379">
        <w:t xml:space="preserve"> the public benefits of emissions reduction from private benefits of energy saving and found that there are significant private net benefits. Furthermore, we have tested the impact on cost benefit analysis results of different values of emissions reduction (social cost of carbon) and found that the CBA results are robust against different assumptions of SCC.</w:t>
      </w:r>
    </w:p>
    <w:p w:rsidR="00612FD3" w:rsidRDefault="00612FD3" w:rsidP="00612FD3">
      <w:pPr>
        <w:pStyle w:val="BodyText"/>
      </w:pPr>
      <w:r>
        <w:t xml:space="preserve">There is some evidence of these modelling issues in previous studies. For example, the existing DTS simulations by </w:t>
      </w:r>
      <w:r w:rsidR="003F28DD">
        <w:t>EA</w:t>
      </w:r>
      <w:r>
        <w:t xml:space="preserve"> revealed that lighting contributed most to energy saving for all building types except Building 3A moving from NCC 2016 to NCC 2019. However, this finding was based on the assumption that the NCC 2016 required stringency would not be voluntarily exceeded and the market was only adopting lower efficiency and higher cost fluorescent lighting technology; whereas NCC 2019 compliance would require LED technology. In reality, most new commercial buildings are already using LED technology. Stakeholders expected that virtually all new commercial buildings will be using LED lighting by 2019, even with no changes to the NCC. If the current market practice is assumed in the baseline, the estimated energy saving would be significantly smaller – reduced by between 5 and 30 percentage points from what was reported in table 2.4</w:t>
      </w:r>
      <w:r>
        <w:rPr>
          <w:noProof/>
        </w:rPr>
        <w:t>.</w:t>
      </w:r>
    </w:p>
    <w:p w:rsidR="00612FD3" w:rsidRDefault="0052768D" w:rsidP="00612FD3">
      <w:pPr>
        <w:spacing w:before="140"/>
      </w:pPr>
      <w:r>
        <w:t xml:space="preserve">We have sought to address these </w:t>
      </w:r>
      <w:r w:rsidR="00612FD3">
        <w:t>potential modelling issues</w:t>
      </w:r>
      <w:r>
        <w:t xml:space="preserve"> through</w:t>
      </w:r>
      <w:r w:rsidR="00612FD3">
        <w:t xml:space="preserve"> careful selection of building models, input</w:t>
      </w:r>
      <w:r>
        <w:t>s</w:t>
      </w:r>
      <w:r w:rsidR="00612FD3">
        <w:t xml:space="preserve"> and </w:t>
      </w:r>
      <w:r>
        <w:t>assumptions</w:t>
      </w:r>
      <w:r w:rsidR="00612FD3">
        <w:t xml:space="preserve"> informed by evidence.</w:t>
      </w:r>
      <w:r>
        <w:t xml:space="preserve"> We have also conducted sensitivity testing to ensure that the findings are robust when alternative input assumptions are used.</w:t>
      </w:r>
    </w:p>
    <w:p w:rsidR="00612FD3" w:rsidRDefault="00612FD3" w:rsidP="00612FD3">
      <w:pPr>
        <w:spacing w:before="140"/>
      </w:pPr>
      <w:r>
        <w:t xml:space="preserve"> </w:t>
      </w:r>
    </w:p>
    <w:p w:rsidR="00612FD3" w:rsidRPr="00E372D7" w:rsidRDefault="00612FD3" w:rsidP="00612FD3">
      <w:pPr>
        <w:pStyle w:val="Heading6"/>
        <w:numPr>
          <w:ilvl w:val="5"/>
          <w:numId w:val="5"/>
        </w:numPr>
      </w:pPr>
      <w:bookmarkStart w:id="4671" w:name="_Toc499847011"/>
      <w:bookmarkStart w:id="4672" w:name="_Toc505120607"/>
      <w:bookmarkStart w:id="4673" w:name="_Toc507523764"/>
      <w:bookmarkStart w:id="4674" w:name="_Ref507605380"/>
      <w:bookmarkStart w:id="4675" w:name="_Toc509220805"/>
      <w:bookmarkStart w:id="4676" w:name="_Toc529869870"/>
      <w:bookmarkStart w:id="4677" w:name="_Toc530748588"/>
      <w:r w:rsidRPr="00E372D7">
        <w:t>Summary of proposed changes to the DTS Provisions</w:t>
      </w:r>
      <w:bookmarkEnd w:id="4671"/>
      <w:bookmarkEnd w:id="4672"/>
      <w:bookmarkEnd w:id="4673"/>
      <w:bookmarkEnd w:id="4674"/>
      <w:bookmarkEnd w:id="4675"/>
      <w:bookmarkEnd w:id="4676"/>
      <w:bookmarkEnd w:id="4677"/>
    </w:p>
    <w:p w:rsidR="00612FD3" w:rsidRDefault="00612FD3" w:rsidP="00612FD3">
      <w:pPr>
        <w:pStyle w:val="BodyText"/>
      </w:pPr>
      <w:r>
        <w:t>Proposed changes to the Deemed-to-Satisfy Provisions of the NCC are summarised in table </w:t>
      </w:r>
      <w:r>
        <w:rPr>
          <w:noProof/>
        </w:rPr>
        <w:fldChar w:fldCharType="begin"/>
      </w:r>
      <w:r>
        <w:rPr>
          <w:noProof/>
        </w:rPr>
        <w:instrText xml:space="preserve"> REF _Caption8305 </w:instrText>
      </w:r>
      <w:r>
        <w:rPr>
          <w:noProof/>
        </w:rPr>
        <w:fldChar w:fldCharType="separate"/>
      </w:r>
      <w:r w:rsidR="006B79B8">
        <w:rPr>
          <w:noProof/>
        </w:rPr>
        <w:t>B.1</w:t>
      </w:r>
      <w:r>
        <w:rPr>
          <w:noProof/>
        </w:rPr>
        <w:fldChar w:fldCharType="end"/>
      </w:r>
      <w:r>
        <w:t>.</w:t>
      </w:r>
    </w:p>
    <w:p w:rsidR="005A3FCF" w:rsidRDefault="005A3FCF" w:rsidP="005A3FCF">
      <w:pPr>
        <w:pStyle w:val="Caption"/>
        <w:numPr>
          <w:ilvl w:val="0"/>
          <w:numId w:val="7"/>
        </w:numPr>
      </w:pPr>
      <w:r>
        <w:fldChar w:fldCharType="begin"/>
      </w:r>
      <w:r>
        <w:instrText xml:space="preserve"> IF 1 = 1 "</w:instrText>
      </w:r>
      <w:r>
        <w:fldChar w:fldCharType="begin"/>
      </w:r>
      <w:r>
        <w:instrText xml:space="preserve"> IF </w:instrText>
      </w:r>
      <w:r>
        <w:rPr>
          <w:noProof/>
        </w:rPr>
        <w:fldChar w:fldCharType="begin"/>
      </w:r>
      <w:r>
        <w:rPr>
          <w:noProof/>
        </w:rPr>
        <w:instrText xml:space="preserve"> STYLEREF "Heading 6" \l \n </w:instrText>
      </w:r>
      <w:r>
        <w:rPr>
          <w:noProof/>
        </w:rPr>
        <w:fldChar w:fldCharType="separate"/>
      </w:r>
      <w:r w:rsidR="006B79B8">
        <w:rPr>
          <w:noProof/>
        </w:rPr>
        <w:instrText>B</w:instrText>
      </w:r>
      <w:r>
        <w:rPr>
          <w:noProof/>
        </w:rPr>
        <w:fldChar w:fldCharType="end"/>
      </w:r>
      <w:r>
        <w:instrText xml:space="preserve"> = 0 "</w:instrText>
      </w:r>
      <w:r>
        <w:fldChar w:fldCharType="begin"/>
      </w:r>
      <w:r>
        <w:instrText xml:space="preserve"> IF </w:instrText>
      </w:r>
      <w:r>
        <w:fldChar w:fldCharType="begin"/>
      </w:r>
      <w:r>
        <w:instrText xml:space="preserve"> STYLEREF "Heading 1" \l \n </w:instrText>
      </w:r>
      <w:r>
        <w:fldChar w:fldCharType="separate"/>
      </w:r>
      <w:r w:rsidRPr="00CA19A1">
        <w:rPr>
          <w:b/>
          <w:bCs/>
          <w:noProof/>
          <w:lang w:val="en-US"/>
        </w:rPr>
        <w:instrText>Error! No text of specified style in document.</w:instrText>
      </w:r>
      <w:r>
        <w:rPr>
          <w:noProof/>
        </w:rPr>
        <w:fldChar w:fldCharType="end"/>
      </w:r>
      <w:r>
        <w:instrText xml:space="preserve"> = 0 "" "</w:instrText>
      </w:r>
      <w:r>
        <w:fldChar w:fldCharType="begin"/>
      </w:r>
      <w:r>
        <w:instrText xml:space="preserve"> STYLEREF "Heading 1" \l \n </w:instrText>
      </w:r>
      <w:r>
        <w:fldChar w:fldCharType="separate"/>
      </w:r>
      <w:r w:rsidRPr="00CA19A1">
        <w:rPr>
          <w:b/>
          <w:bCs/>
          <w:noProof/>
          <w:lang w:val="en-US"/>
        </w:rPr>
        <w:instrText>Error! No text of specified style in document.</w:instrText>
      </w:r>
      <w:r>
        <w:rPr>
          <w:noProof/>
        </w:rPr>
        <w:fldChar w:fldCharType="end"/>
      </w:r>
      <w:r>
        <w:instrText xml:space="preserve">." </w:instrText>
      </w:r>
      <w:r>
        <w:fldChar w:fldCharType="separate"/>
      </w:r>
      <w:r w:rsidRPr="00CA19A1">
        <w:rPr>
          <w:b/>
          <w:bCs/>
          <w:noProof/>
          <w:lang w:val="en-US"/>
        </w:rPr>
        <w:instrText>Error! No text of specified style in document.</w:instrText>
      </w:r>
      <w:r>
        <w:rPr>
          <w:noProof/>
        </w:rPr>
        <w:instrText>.</w:instrText>
      </w:r>
      <w:r>
        <w:fldChar w:fldCharType="end"/>
      </w:r>
      <w:r>
        <w:instrText>" "</w:instrText>
      </w:r>
      <w:r>
        <w:rPr>
          <w:noProof/>
        </w:rPr>
        <w:fldChar w:fldCharType="begin"/>
      </w:r>
      <w:r>
        <w:rPr>
          <w:noProof/>
        </w:rPr>
        <w:instrText xml:space="preserve"> STYLEREF "Heading 6" \l \n </w:instrText>
      </w:r>
      <w:r>
        <w:rPr>
          <w:noProof/>
        </w:rPr>
        <w:fldChar w:fldCharType="separate"/>
      </w:r>
      <w:r w:rsidR="006B79B8">
        <w:rPr>
          <w:noProof/>
        </w:rPr>
        <w:instrText>B</w:instrText>
      </w:r>
      <w:r>
        <w:rPr>
          <w:noProof/>
        </w:rPr>
        <w:fldChar w:fldCharType="end"/>
      </w:r>
      <w:r>
        <w:instrText xml:space="preserve">." </w:instrText>
      </w:r>
      <w:r>
        <w:fldChar w:fldCharType="separate"/>
      </w:r>
      <w:r w:rsidR="006B79B8">
        <w:rPr>
          <w:noProof/>
        </w:rPr>
        <w:instrText>B.</w:instrText>
      </w:r>
      <w:r>
        <w:fldChar w:fldCharType="end"/>
      </w:r>
      <w:r>
        <w:instrText xml:space="preserve">1" "" </w:instrText>
      </w:r>
      <w:r>
        <w:fldChar w:fldCharType="separate"/>
      </w:r>
      <w:bookmarkStart w:id="4678" w:name="_Caption3566"/>
      <w:bookmarkStart w:id="4679" w:name="_Caption7128"/>
      <w:bookmarkStart w:id="4680" w:name="_Caption4826"/>
      <w:bookmarkStart w:id="4681" w:name="_Caption6917"/>
      <w:bookmarkStart w:id="4682" w:name="_Caption0046"/>
      <w:bookmarkStart w:id="4683" w:name="_Caption9785"/>
      <w:bookmarkStart w:id="4684" w:name="_Caption4356"/>
      <w:bookmarkStart w:id="4685" w:name="_Caption0361"/>
      <w:bookmarkStart w:id="4686" w:name="_Caption1188"/>
      <w:bookmarkStart w:id="4687" w:name="_Caption7333"/>
      <w:bookmarkStart w:id="4688" w:name="_Caption3617"/>
      <w:bookmarkStart w:id="4689" w:name="_Caption5229"/>
      <w:bookmarkStart w:id="4690" w:name="_Caption5006"/>
      <w:bookmarkStart w:id="4691" w:name="_Caption7362"/>
      <w:bookmarkStart w:id="4692" w:name="_Caption5857"/>
      <w:bookmarkStart w:id="4693" w:name="_Caption5477"/>
      <w:bookmarkStart w:id="4694" w:name="_Caption1077"/>
      <w:bookmarkStart w:id="4695" w:name="_Caption3053"/>
      <w:bookmarkStart w:id="4696" w:name="_Caption6453"/>
      <w:bookmarkStart w:id="4697" w:name="_Caption4495"/>
      <w:bookmarkStart w:id="4698" w:name="_Caption5766"/>
      <w:bookmarkStart w:id="4699" w:name="_Caption1879"/>
      <w:bookmarkStart w:id="4700" w:name="_Caption9953"/>
      <w:bookmarkStart w:id="4701" w:name="_Caption9989"/>
      <w:bookmarkStart w:id="4702" w:name="_Caption5372"/>
      <w:bookmarkStart w:id="4703" w:name="_Caption0098"/>
      <w:bookmarkStart w:id="4704" w:name="_Caption9948"/>
      <w:bookmarkStart w:id="4705" w:name="_Caption3446"/>
      <w:bookmarkStart w:id="4706" w:name="_Caption1981"/>
      <w:bookmarkStart w:id="4707" w:name="_Caption8380"/>
      <w:bookmarkStart w:id="4708" w:name="_Caption2059"/>
      <w:bookmarkStart w:id="4709" w:name="_Caption3430"/>
      <w:bookmarkStart w:id="4710" w:name="_Caption8073"/>
      <w:bookmarkStart w:id="4711" w:name="_Caption1541"/>
      <w:bookmarkStart w:id="4712" w:name="_Caption3873"/>
      <w:bookmarkStart w:id="4713" w:name="_Caption4093"/>
      <w:bookmarkStart w:id="4714" w:name="_Caption9137"/>
      <w:bookmarkStart w:id="4715" w:name="_Caption5743"/>
      <w:bookmarkStart w:id="4716" w:name="_Caption1715"/>
      <w:bookmarkStart w:id="4717" w:name="_Caption9764"/>
      <w:bookmarkStart w:id="4718" w:name="_Caption2615"/>
      <w:bookmarkStart w:id="4719" w:name="_Caption5150"/>
      <w:bookmarkStart w:id="4720" w:name="_Caption8809"/>
      <w:bookmarkStart w:id="4721" w:name="_Caption9744"/>
      <w:bookmarkStart w:id="4722" w:name="_Caption4565"/>
      <w:bookmarkStart w:id="4723" w:name="_Caption5941"/>
      <w:bookmarkStart w:id="4724" w:name="_Caption7628"/>
      <w:bookmarkStart w:id="4725" w:name="_Caption3960"/>
      <w:bookmarkStart w:id="4726" w:name="_Caption9001"/>
      <w:bookmarkStart w:id="4727" w:name="_Caption7248"/>
      <w:bookmarkStart w:id="4728" w:name="_Caption5953"/>
      <w:bookmarkStart w:id="4729" w:name="_Caption9679"/>
      <w:bookmarkStart w:id="4730" w:name="_Caption8617"/>
      <w:bookmarkStart w:id="4731" w:name="_Caption5438"/>
      <w:bookmarkStart w:id="4732" w:name="_Caption2510"/>
      <w:bookmarkStart w:id="4733" w:name="_Caption4156"/>
      <w:bookmarkStart w:id="4734" w:name="_Caption3563"/>
      <w:bookmarkStart w:id="4735" w:name="_Caption9591"/>
      <w:bookmarkStart w:id="4736" w:name="_Caption5835"/>
      <w:bookmarkStart w:id="4737" w:name="_Caption5952"/>
      <w:bookmarkStart w:id="4738" w:name="_Caption1334"/>
      <w:bookmarkStart w:id="4739" w:name="_Caption9175"/>
      <w:bookmarkStart w:id="4740" w:name="_Caption1055"/>
      <w:bookmarkStart w:id="4741" w:name="_Caption0936"/>
      <w:bookmarkStart w:id="4742" w:name="_Caption0100"/>
      <w:bookmarkStart w:id="4743" w:name="_Caption4622"/>
      <w:bookmarkStart w:id="4744" w:name="_Caption9525"/>
      <w:bookmarkStart w:id="4745" w:name="_Caption4672"/>
      <w:bookmarkStart w:id="4746" w:name="_Caption8305"/>
      <w:bookmarkStart w:id="4747" w:name="_Caption5562"/>
      <w:bookmarkStart w:id="4748" w:name="_Caption2567"/>
      <w:bookmarkStart w:id="4749" w:name="_Caption0200"/>
      <w:bookmarkStart w:id="4750" w:name="_Caption1381"/>
      <w:bookmarkStart w:id="4751" w:name="_Caption3546"/>
      <w:bookmarkStart w:id="4752" w:name="_Caption0654"/>
      <w:bookmarkStart w:id="4753" w:name="_Caption9664"/>
      <w:bookmarkStart w:id="4754" w:name="_Caption4693"/>
      <w:bookmarkStart w:id="4755" w:name="_Caption8184"/>
      <w:bookmarkStart w:id="4756" w:name="_Caption7455"/>
      <w:bookmarkStart w:id="4757" w:name="_Caption7571"/>
      <w:bookmarkStart w:id="4758" w:name="_Caption6625"/>
      <w:bookmarkStart w:id="4759" w:name="_Caption7311"/>
      <w:bookmarkStart w:id="4760" w:name="_Caption0802"/>
      <w:bookmarkStart w:id="4761" w:name="_Caption5414"/>
      <w:bookmarkStart w:id="4762" w:name="_Caption0162"/>
      <w:bookmarkStart w:id="4763" w:name="_Caption3425"/>
      <w:bookmarkStart w:id="4764" w:name="_Caption9356"/>
      <w:bookmarkStart w:id="4765" w:name="_Caption0308"/>
      <w:bookmarkStart w:id="4766" w:name="_Caption3179"/>
      <w:bookmarkStart w:id="4767" w:name="_Caption9927"/>
      <w:bookmarkStart w:id="4768" w:name="_Caption2067"/>
      <w:bookmarkStart w:id="4769" w:name="_Caption3459"/>
      <w:bookmarkStart w:id="4770" w:name="_Caption3467"/>
      <w:bookmarkStart w:id="4771" w:name="_Caption2974"/>
      <w:bookmarkStart w:id="4772" w:name="_Caption8805"/>
      <w:bookmarkStart w:id="4773" w:name="_Caption5308"/>
      <w:bookmarkStart w:id="4774" w:name="_Caption9042"/>
      <w:bookmarkStart w:id="4775" w:name="_Caption5517"/>
      <w:bookmarkStart w:id="4776" w:name="_Caption7094"/>
      <w:bookmarkStart w:id="4777" w:name="_Caption4445"/>
      <w:bookmarkStart w:id="4778" w:name="_Caption2576"/>
      <w:bookmarkStart w:id="4779" w:name="_Caption8488"/>
      <w:bookmarkStart w:id="4780" w:name="_Caption8625"/>
      <w:bookmarkStart w:id="4781" w:name="_Caption7060"/>
      <w:bookmarkStart w:id="4782" w:name="_Caption4362"/>
      <w:bookmarkStart w:id="4783" w:name="_Caption5227"/>
      <w:bookmarkStart w:id="4784" w:name="_Caption1524"/>
      <w:bookmarkStart w:id="4785" w:name="_Caption6241"/>
      <w:bookmarkStart w:id="4786" w:name="_Caption1130"/>
      <w:bookmarkStart w:id="4787" w:name="_Caption3800"/>
      <w:bookmarkStart w:id="4788" w:name="_Caption7374"/>
      <w:bookmarkStart w:id="4789" w:name="_Caption1742"/>
      <w:bookmarkStart w:id="4790" w:name="_Caption9157"/>
      <w:bookmarkStart w:id="4791" w:name="_Caption8815"/>
      <w:bookmarkStart w:id="4792" w:name="_Caption1015"/>
      <w:bookmarkStart w:id="4793" w:name="_Caption5451"/>
      <w:bookmarkStart w:id="4794" w:name="_Caption6045"/>
      <w:bookmarkStart w:id="4795" w:name="_Caption0024"/>
      <w:bookmarkStart w:id="4796" w:name="_Caption5863"/>
      <w:bookmarkStart w:id="4797" w:name="_Caption9579"/>
      <w:bookmarkStart w:id="4798" w:name="_Caption2023"/>
      <w:bookmarkStart w:id="4799" w:name="_Caption5097"/>
      <w:bookmarkStart w:id="4800" w:name="_Caption5271"/>
      <w:bookmarkStart w:id="4801" w:name="_Caption6756"/>
      <w:bookmarkStart w:id="4802" w:name="_Caption4501"/>
      <w:bookmarkStart w:id="4803" w:name="_Caption4745"/>
      <w:bookmarkStart w:id="4804" w:name="_Toc492036666"/>
      <w:bookmarkStart w:id="4805" w:name="_Toc493676417"/>
      <w:bookmarkStart w:id="4806" w:name="_Toc499847064"/>
      <w:bookmarkStart w:id="4807" w:name="_Toc505120670"/>
      <w:bookmarkStart w:id="4808" w:name="_Toc507523823"/>
      <w:bookmarkStart w:id="4809" w:name="_Toc509220872"/>
      <w:bookmarkStart w:id="4810" w:name="_Toc529869967"/>
      <w:bookmarkStart w:id="4811" w:name="_Toc530748463"/>
      <w:r w:rsidR="00EA42ED">
        <w:rPr>
          <w:noProof/>
        </w:rPr>
        <w:t>B.1</w:t>
      </w:r>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r>
        <w:fldChar w:fldCharType="end"/>
      </w:r>
      <w:r>
        <w:tab/>
        <w:t>Summary of proposed changes</w:t>
      </w:r>
      <w:bookmarkEnd w:id="4804"/>
      <w:bookmarkEnd w:id="4805"/>
      <w:bookmarkEnd w:id="4806"/>
      <w:bookmarkEnd w:id="4807"/>
      <w:bookmarkEnd w:id="4808"/>
      <w:bookmarkEnd w:id="4809"/>
      <w:bookmarkEnd w:id="4810"/>
      <w:bookmarkEnd w:id="4811"/>
    </w:p>
    <w:tbl>
      <w:tblPr>
        <w:tblW w:w="8505" w:type="dxa"/>
        <w:tblLook w:val="04A0" w:firstRow="1" w:lastRow="0" w:firstColumn="1" w:lastColumn="0" w:noHBand="0" w:noVBand="1"/>
        <w:tblCaption w:val="Table B.1: Summary of proposed changes"/>
        <w:tblDescription w:val="This table outlines the proposed changes to NCC 2019 relating to commerical energy efficiency. "/>
      </w:tblPr>
      <w:tblGrid>
        <w:gridCol w:w="2107"/>
        <w:gridCol w:w="2569"/>
        <w:gridCol w:w="3829"/>
      </w:tblGrid>
      <w:tr w:rsidR="005A3FCF" w:rsidTr="005A3FCF">
        <w:trPr>
          <w:tblHeader/>
        </w:trPr>
        <w:tc>
          <w:tcPr>
            <w:tcW w:w="2107" w:type="dxa"/>
            <w:tcBorders>
              <w:bottom w:val="single" w:sz="8" w:space="0" w:color="FFFFFF" w:themeColor="background1"/>
            </w:tcBorders>
            <w:shd w:val="clear" w:color="auto" w:fill="6F6652"/>
            <w:tcMar>
              <w:left w:w="57" w:type="dxa"/>
              <w:right w:w="57" w:type="dxa"/>
            </w:tcMar>
            <w:hideMark/>
          </w:tcPr>
          <w:p w:rsidR="005A3FCF" w:rsidRDefault="005A3FCF" w:rsidP="00817952">
            <w:pPr>
              <w:pStyle w:val="TableTextColumnHeading"/>
            </w:pPr>
            <w:r>
              <w:t>Provision</w:t>
            </w:r>
          </w:p>
        </w:tc>
        <w:tc>
          <w:tcPr>
            <w:tcW w:w="2569" w:type="dxa"/>
            <w:tcBorders>
              <w:bottom w:val="single" w:sz="8" w:space="0" w:color="FFFFFF" w:themeColor="background1"/>
            </w:tcBorders>
            <w:shd w:val="clear" w:color="auto" w:fill="6F6652"/>
            <w:tcMar>
              <w:left w:w="57" w:type="dxa"/>
              <w:right w:w="57" w:type="dxa"/>
            </w:tcMar>
            <w:hideMark/>
          </w:tcPr>
          <w:p w:rsidR="005A3FCF" w:rsidRDefault="005A3FCF" w:rsidP="00817952">
            <w:pPr>
              <w:pStyle w:val="TableTextColumnHeading"/>
            </w:pPr>
            <w:r>
              <w:t>Proposed change</w:t>
            </w:r>
          </w:p>
        </w:tc>
        <w:tc>
          <w:tcPr>
            <w:tcW w:w="3829" w:type="dxa"/>
            <w:tcBorders>
              <w:bottom w:val="single" w:sz="8" w:space="0" w:color="FFFFFF" w:themeColor="background1"/>
            </w:tcBorders>
            <w:shd w:val="clear" w:color="auto" w:fill="6F6652"/>
            <w:tcMar>
              <w:left w:w="57" w:type="dxa"/>
              <w:right w:w="57" w:type="dxa"/>
            </w:tcMar>
            <w:hideMark/>
          </w:tcPr>
          <w:p w:rsidR="005A3FCF" w:rsidRDefault="005A3FCF" w:rsidP="00817952">
            <w:pPr>
              <w:pStyle w:val="TableTextColumnHeading"/>
            </w:pPr>
            <w:r>
              <w:t>Comment</w:t>
            </w:r>
          </w:p>
        </w:tc>
      </w:tr>
      <w:tr w:rsidR="005A3FCF" w:rsidRPr="00381E6D" w:rsidTr="005A3FCF">
        <w:tc>
          <w:tcPr>
            <w:tcW w:w="2107" w:type="dxa"/>
            <w:tcBorders>
              <w:top w:val="single" w:sz="8" w:space="0" w:color="FFFFFF" w:themeColor="background1"/>
              <w:bottom w:val="single" w:sz="6" w:space="0" w:color="6F6652"/>
            </w:tcBorders>
            <w:shd w:val="clear" w:color="auto" w:fill="E9E8E5" w:themeFill="background2"/>
            <w:hideMark/>
          </w:tcPr>
          <w:p w:rsidR="005A3FCF" w:rsidRPr="00381E6D" w:rsidRDefault="005A3FCF" w:rsidP="00817952">
            <w:pPr>
              <w:pStyle w:val="TableTextEntries"/>
            </w:pPr>
            <w:r>
              <w:t>Building fabric Total R-Values</w:t>
            </w:r>
            <w:r>
              <w:br/>
              <w:t>(J1.2)</w:t>
            </w:r>
          </w:p>
        </w:tc>
        <w:tc>
          <w:tcPr>
            <w:tcW w:w="2569" w:type="dxa"/>
            <w:tcBorders>
              <w:top w:val="single" w:sz="8" w:space="0" w:color="FFFFFF" w:themeColor="background1"/>
              <w:bottom w:val="single" w:sz="6" w:space="0" w:color="6F6652"/>
            </w:tcBorders>
            <w:shd w:val="clear" w:color="auto" w:fill="E9E8E5" w:themeFill="background2"/>
            <w:hideMark/>
          </w:tcPr>
          <w:p w:rsidR="005A3FCF" w:rsidRPr="00381E6D" w:rsidRDefault="005A3FCF" w:rsidP="00817952">
            <w:pPr>
              <w:pStyle w:val="TableTextEntries"/>
            </w:pPr>
            <w:r>
              <w:t>A new subclause has been added to provide options for determining how to achieve the required Total R-Values of building elements.  This includes direct reference of NZS 4214 (Methods of determining the total thermal resistance of parts of buildings).</w:t>
            </w:r>
          </w:p>
        </w:tc>
        <w:tc>
          <w:tcPr>
            <w:tcW w:w="3829" w:type="dxa"/>
            <w:tcBorders>
              <w:top w:val="single" w:sz="8" w:space="0" w:color="FFFFFF" w:themeColor="background1"/>
              <w:bottom w:val="single" w:sz="6" w:space="0" w:color="6F6652"/>
            </w:tcBorders>
            <w:shd w:val="clear" w:color="auto" w:fill="E9E8E5" w:themeFill="background2"/>
            <w:hideMark/>
          </w:tcPr>
          <w:p w:rsidR="005A3FCF" w:rsidRPr="00381E6D" w:rsidRDefault="005A3FCF" w:rsidP="00817952">
            <w:pPr>
              <w:pStyle w:val="TableTextEntries"/>
            </w:pPr>
            <w:r>
              <w:t>NZS 4214 is a normative reference of AS/NZS 4859.1, which is already referenced in Section J.  Directly referencing NZS 4214 in Section J will ensure practitioners are aware of the need to use this standard when determining how to achieve the required level of thermal resistance of building elements.  This includes taking account of thermal bridging.  Research has shown that many common construction types have much lower inherent R-Values when thermal bridging is properly considered.  Performance Solutions may need to be considered where it is difficult to achieve the minimum Total R-Values.</w:t>
            </w:r>
          </w:p>
        </w:tc>
      </w:tr>
      <w:tr w:rsidR="005A3FCF" w:rsidRPr="00381E6D" w:rsidTr="005A3FCF">
        <w:tc>
          <w:tcPr>
            <w:tcW w:w="2107" w:type="dxa"/>
            <w:tcBorders>
              <w:top w:val="single" w:sz="8" w:space="0" w:color="FFFFFF" w:themeColor="background1"/>
              <w:bottom w:val="single" w:sz="6" w:space="0" w:color="6F6652"/>
            </w:tcBorders>
            <w:shd w:val="clear" w:color="auto" w:fill="E9E8E5" w:themeFill="background2"/>
            <w:hideMark/>
          </w:tcPr>
          <w:p w:rsidR="005A3FCF" w:rsidRDefault="005A3FCF" w:rsidP="00817952">
            <w:pPr>
              <w:pStyle w:val="TableTextEntries"/>
            </w:pPr>
            <w:r>
              <w:t>Roofs</w:t>
            </w:r>
            <w:r>
              <w:br/>
              <w:t>(J1.3)</w:t>
            </w:r>
          </w:p>
        </w:tc>
        <w:tc>
          <w:tcPr>
            <w:tcW w:w="2569" w:type="dxa"/>
            <w:tcBorders>
              <w:top w:val="single" w:sz="8" w:space="0" w:color="FFFFFF" w:themeColor="background1"/>
              <w:bottom w:val="single" w:sz="6" w:space="0" w:color="6F6652"/>
            </w:tcBorders>
            <w:shd w:val="clear" w:color="auto" w:fill="E9E8E5" w:themeFill="background2"/>
            <w:hideMark/>
          </w:tcPr>
          <w:p w:rsidR="005A3FCF" w:rsidRDefault="005A3FCF" w:rsidP="00817952">
            <w:pPr>
              <w:pStyle w:val="TableTextEntries"/>
            </w:pPr>
            <w:r>
              <w:t>The current provisions have been replaced with simpler provisions for roof thermal resistance and solar absorptance.</w:t>
            </w:r>
          </w:p>
        </w:tc>
        <w:tc>
          <w:tcPr>
            <w:tcW w:w="3829" w:type="dxa"/>
            <w:tcBorders>
              <w:top w:val="single" w:sz="8" w:space="0" w:color="FFFFFF" w:themeColor="background1"/>
              <w:bottom w:val="single" w:sz="6" w:space="0" w:color="6F6652"/>
            </w:tcBorders>
            <w:shd w:val="clear" w:color="auto" w:fill="E9E8E5" w:themeFill="background2"/>
            <w:hideMark/>
          </w:tcPr>
          <w:p w:rsidR="005A3FCF" w:rsidRDefault="005A3FCF" w:rsidP="00817952">
            <w:pPr>
              <w:pStyle w:val="TableTextEntries"/>
            </w:pPr>
            <w:r>
              <w:t>The change to a single value for solar absorptance is based on analysis indicating that this represents the most cost-effective option for improving roof performance.  In turn, this simplifies the requirements for roof Total R-Values in that they no longer need to vary on the basis of the roof solar absorptance.</w:t>
            </w:r>
          </w:p>
          <w:p w:rsidR="005A3FCF" w:rsidRDefault="005A3FCF" w:rsidP="00817952">
            <w:pPr>
              <w:pStyle w:val="TableTextEntries"/>
            </w:pPr>
            <w:r>
              <w:t>As a consequence of this change, the table adjusting for the loss of ceiling insulation (Table J1.3b) and the separate thermal break provisions (J1.3(c)) have been removed. These provisions are captured within the NZS 4214 calculation method and the new Specification J1.2b.</w:t>
            </w:r>
          </w:p>
        </w:tc>
      </w:tr>
      <w:tr w:rsidR="005A3FCF" w:rsidRPr="000534B4" w:rsidTr="005A3FCF">
        <w:tc>
          <w:tcPr>
            <w:tcW w:w="2107" w:type="dxa"/>
            <w:tcBorders>
              <w:top w:val="single" w:sz="8" w:space="0" w:color="FFFFFF" w:themeColor="background1"/>
              <w:bottom w:val="single" w:sz="8" w:space="0" w:color="FFFFFF" w:themeColor="background1"/>
            </w:tcBorders>
            <w:shd w:val="clear" w:color="auto" w:fill="E9E8E5" w:themeFill="background2"/>
          </w:tcPr>
          <w:p w:rsidR="005A3FCF" w:rsidRPr="008D248A" w:rsidRDefault="005A3FCF" w:rsidP="005A3FCF">
            <w:pPr>
              <w:pStyle w:val="TableTextEntries"/>
            </w:pPr>
            <w:r w:rsidRPr="0074245B">
              <w:t>Roof lights</w:t>
            </w:r>
            <w:r w:rsidRPr="0074245B">
              <w:br/>
              <w:t>(J1.4)</w:t>
            </w:r>
          </w:p>
        </w:tc>
        <w:tc>
          <w:tcPr>
            <w:tcW w:w="2569" w:type="dxa"/>
            <w:tcBorders>
              <w:top w:val="single" w:sz="8" w:space="0" w:color="FFFFFF" w:themeColor="background1"/>
              <w:bottom w:val="single" w:sz="8" w:space="0" w:color="FFFFFF" w:themeColor="background1"/>
            </w:tcBorders>
            <w:shd w:val="clear" w:color="auto" w:fill="E9E8E5" w:themeFill="background2"/>
          </w:tcPr>
          <w:p w:rsidR="005A3FCF" w:rsidRPr="008D248A" w:rsidRDefault="005A3FCF" w:rsidP="005A3FCF">
            <w:pPr>
              <w:pStyle w:val="TableTextEntries"/>
            </w:pPr>
            <w:r w:rsidRPr="0074245B">
              <w:t>Changes have been made to improve the performance of roof lights and simplify the provisions.</w:t>
            </w:r>
          </w:p>
        </w:tc>
        <w:tc>
          <w:tcPr>
            <w:tcW w:w="3829" w:type="dxa"/>
            <w:tcBorders>
              <w:top w:val="single" w:sz="8" w:space="0" w:color="FFFFFF" w:themeColor="background1"/>
              <w:bottom w:val="single" w:sz="8" w:space="0" w:color="FFFFFF" w:themeColor="background1"/>
            </w:tcBorders>
            <w:shd w:val="clear" w:color="auto" w:fill="E9E8E5" w:themeFill="background2"/>
          </w:tcPr>
          <w:p w:rsidR="005A3FCF" w:rsidRPr="008D248A" w:rsidRDefault="005A3FCF" w:rsidP="005A3FCF">
            <w:pPr>
              <w:pStyle w:val="TableTextEntries"/>
            </w:pPr>
            <w:r w:rsidRPr="0074245B">
              <w:t>Analysis of benefit has resulted in a single Total U-Value for roof lights and a simplified table of Solar Heat Gain Coefficients (SHGCs).</w:t>
            </w:r>
          </w:p>
        </w:tc>
      </w:tr>
      <w:tr w:rsidR="005A3FCF" w:rsidRPr="000534B4" w:rsidTr="005A3FCF">
        <w:tc>
          <w:tcPr>
            <w:tcW w:w="2107" w:type="dxa"/>
            <w:tcBorders>
              <w:top w:val="single" w:sz="8" w:space="0" w:color="FFFFFF" w:themeColor="background1"/>
              <w:bottom w:val="single" w:sz="8" w:space="0" w:color="FFFFFF" w:themeColor="background1"/>
            </w:tcBorders>
            <w:shd w:val="clear" w:color="auto" w:fill="E9E8E5" w:themeFill="background2"/>
          </w:tcPr>
          <w:p w:rsidR="005A3FCF" w:rsidRDefault="005A3FCF" w:rsidP="005A3FCF">
            <w:pPr>
              <w:pStyle w:val="TableTextEntries"/>
            </w:pPr>
            <w:r>
              <w:t>Wall-glazing construction</w:t>
            </w:r>
            <w:r>
              <w:br/>
              <w:t>(J1.5)</w:t>
            </w:r>
          </w:p>
        </w:tc>
        <w:tc>
          <w:tcPr>
            <w:tcW w:w="2569" w:type="dxa"/>
            <w:tcBorders>
              <w:top w:val="single" w:sz="8" w:space="0" w:color="FFFFFF" w:themeColor="background1"/>
              <w:bottom w:val="single" w:sz="8" w:space="0" w:color="FFFFFF" w:themeColor="background1"/>
            </w:tcBorders>
            <w:shd w:val="clear" w:color="auto" w:fill="E9E8E5" w:themeFill="background2"/>
          </w:tcPr>
          <w:p w:rsidR="005A3FCF" w:rsidRDefault="005A3FCF" w:rsidP="005A3FCF">
            <w:pPr>
              <w:pStyle w:val="TableTextEntries"/>
            </w:pPr>
            <w:r>
              <w:t>The glazing provisions currently in Part J2 have been incorporated into J1.5.  A minimum Total U-Value and SHGC must be achieved for the whole façade instead of separate targets for glazing and walls.  Minimum Total R-Values have also been specified for walls.</w:t>
            </w:r>
          </w:p>
        </w:tc>
        <w:tc>
          <w:tcPr>
            <w:tcW w:w="3829" w:type="dxa"/>
            <w:tcBorders>
              <w:top w:val="single" w:sz="8" w:space="0" w:color="FFFFFF" w:themeColor="background1"/>
              <w:bottom w:val="single" w:sz="8" w:space="0" w:color="FFFFFF" w:themeColor="background1"/>
            </w:tcBorders>
            <w:shd w:val="clear" w:color="auto" w:fill="E9E8E5" w:themeFill="background2"/>
          </w:tcPr>
          <w:p w:rsidR="005A3FCF" w:rsidRDefault="005A3FCF" w:rsidP="005A3FCF">
            <w:pPr>
              <w:pStyle w:val="TableTextEntries"/>
            </w:pPr>
            <w:r>
              <w:t>This approach is fundamentally different to the currently separate provisions for walls and glazing.  The change is based on the principle that the overall façade performance is more important than that of the individual elements, particularly as the DTS Provisions are made more stringent.</w:t>
            </w:r>
          </w:p>
          <w:p w:rsidR="005A3FCF" w:rsidRDefault="005A3FCF" w:rsidP="005A3FCF">
            <w:pPr>
              <w:pStyle w:val="TableTextEntries"/>
            </w:pPr>
            <w:r>
              <w:t>The new performance values are based on analysis indicating that glazing SHGC is generally more important for facades as stringency increases.  Separate values for daytime versus overnight operating buildings have been retained, reflecting the different demands on the façade.</w:t>
            </w:r>
          </w:p>
          <w:p w:rsidR="005A3FCF" w:rsidRDefault="005A3FCF" w:rsidP="005A3FCF">
            <w:pPr>
              <w:pStyle w:val="TableTextEntries"/>
            </w:pPr>
            <w:r>
              <w:t>The new stringencies for wall-glazing constructions were selected on a cost-benefit basis to suit Australian conditions. Note that the new values are broadly comparable to the values in the US energy code, ANSI/ASHRAE/IES Standard 90.1-2016.</w:t>
            </w:r>
          </w:p>
          <w:p w:rsidR="005A3FCF" w:rsidRDefault="005A3FCF" w:rsidP="005A3FCF">
            <w:pPr>
              <w:pStyle w:val="TableTextEntries"/>
            </w:pPr>
            <w:r>
              <w:t>Compared to the NCC 2016 methodology, the new NCC 2019 methodology has a number of benefits.  In addition to being more transparent, it is simpler to calculate glazing requirements and does not necessitate a separate glazing calculator.  The new methodology also has the benefit of being easier to update if necessary, including if another stringency increase is required in the future.</w:t>
            </w:r>
          </w:p>
          <w:p w:rsidR="005A3FCF" w:rsidRDefault="005A3FCF" w:rsidP="005A3FCF">
            <w:pPr>
              <w:pStyle w:val="TableTextEntries"/>
            </w:pPr>
            <w:r>
              <w:t>As a consequence of these changes, in some instances, lower wall Total R-Values than the current NCC provisions may be permissible to meet the total facade U-Values.  However, the total façade performance (wall and glazing) will generally be more stringent.</w:t>
            </w:r>
          </w:p>
          <w:p w:rsidR="005A3FCF" w:rsidRDefault="005A3FCF" w:rsidP="005A3FCF">
            <w:pPr>
              <w:pStyle w:val="TableTextEntries"/>
            </w:pPr>
            <w:r>
              <w:t>It should also be noted that there are two methods for determining compliance.  The first method is based on each façade direction (i.e. North, South, East and West) being assessed separately.  The second method allows all façade directions to be assessed together.</w:t>
            </w:r>
          </w:p>
          <w:p w:rsidR="005A3FCF" w:rsidRDefault="005A3FCF" w:rsidP="005A3FCF">
            <w:pPr>
              <w:pStyle w:val="TableTextEntries"/>
            </w:pPr>
            <w:r>
              <w:t>The reduction in the number of façade directions reflects feedback on current industry practice and a desire for some simplification of the provisions.</w:t>
            </w:r>
          </w:p>
          <w:p w:rsidR="005A3FCF" w:rsidRDefault="005A3FCF" w:rsidP="005A3FCF">
            <w:pPr>
              <w:pStyle w:val="TableTextEntries"/>
            </w:pPr>
            <w:r>
              <w:t>As a consequence of these changes in methodology, significantly less tables are required.  This includes the need for detailing options for achieving the necessary levels of wall thermal resistance.</w:t>
            </w:r>
          </w:p>
          <w:p w:rsidR="005A3FCF" w:rsidRDefault="005A3FCF" w:rsidP="005A3FCF">
            <w:pPr>
              <w:pStyle w:val="TableTextEntries"/>
            </w:pPr>
            <w:r>
              <w:t>Guidance documents will be developed to assist practitioners in interpreting and applying the new provisions.  As is currently the case, this will include emphasis on the use of glazing performance values determined in accordance with the technical protocols and procedures of the Australian Fenestration Rating Council (AFRC).</w:t>
            </w:r>
          </w:p>
        </w:tc>
      </w:tr>
      <w:tr w:rsidR="00612FD3" w:rsidRPr="00381E6D" w:rsidTr="005A3FCF">
        <w:tc>
          <w:tcPr>
            <w:tcW w:w="2107" w:type="dxa"/>
            <w:tcBorders>
              <w:top w:val="single" w:sz="8" w:space="0" w:color="FFFFFF" w:themeColor="background1"/>
              <w:bottom w:val="single" w:sz="6" w:space="0" w:color="6F6652"/>
            </w:tcBorders>
            <w:shd w:val="clear" w:color="auto" w:fill="E9E8E5" w:themeFill="background2"/>
            <w:hideMark/>
          </w:tcPr>
          <w:p w:rsidR="00612FD3" w:rsidRDefault="00612FD3" w:rsidP="00301B6D">
            <w:pPr>
              <w:pStyle w:val="TableTextEntries"/>
            </w:pPr>
            <w:r>
              <w:t>Floors</w:t>
            </w:r>
            <w:r>
              <w:br/>
              <w:t>(J1.6)</w:t>
            </w:r>
          </w:p>
        </w:tc>
        <w:tc>
          <w:tcPr>
            <w:tcW w:w="2569" w:type="dxa"/>
            <w:tcBorders>
              <w:top w:val="single" w:sz="8" w:space="0" w:color="FFFFFF" w:themeColor="background1"/>
              <w:bottom w:val="single" w:sz="6" w:space="0" w:color="6F6652"/>
            </w:tcBorders>
            <w:shd w:val="clear" w:color="auto" w:fill="E9E8E5" w:themeFill="background2"/>
            <w:hideMark/>
          </w:tcPr>
          <w:p w:rsidR="00612FD3" w:rsidRDefault="00612FD3" w:rsidP="00301B6D">
            <w:pPr>
              <w:pStyle w:val="TableTextEntries"/>
            </w:pPr>
            <w:r>
              <w:t>The current provisions have been simplified, including through a consolidated table of minimum Total R-Values.</w:t>
            </w:r>
          </w:p>
        </w:tc>
        <w:tc>
          <w:tcPr>
            <w:tcW w:w="3829" w:type="dxa"/>
            <w:tcBorders>
              <w:top w:val="single" w:sz="8" w:space="0" w:color="FFFFFF" w:themeColor="background1"/>
              <w:bottom w:val="single" w:sz="6" w:space="0" w:color="6F6652"/>
            </w:tcBorders>
            <w:shd w:val="clear" w:color="auto" w:fill="E9E8E5" w:themeFill="background2"/>
            <w:hideMark/>
          </w:tcPr>
          <w:p w:rsidR="00612FD3" w:rsidRDefault="00612FD3" w:rsidP="00301B6D">
            <w:pPr>
              <w:pStyle w:val="TableTextEntries"/>
            </w:pPr>
            <w:r>
              <w:t>The new provisions do not fundamentally alter the stringency of the current provisions when the thermal resistance of any subfloor space or material (e.g. ground) is taken into account.  The note to the new Table J1.6 directs practitioners to CIBSE Guide A for this information.</w:t>
            </w:r>
          </w:p>
        </w:tc>
      </w:tr>
      <w:tr w:rsidR="00612FD3" w:rsidRPr="00381E6D" w:rsidTr="005A3FCF">
        <w:tc>
          <w:tcPr>
            <w:tcW w:w="2107" w:type="dxa"/>
            <w:tcBorders>
              <w:top w:val="single" w:sz="8" w:space="0" w:color="FFFFFF" w:themeColor="background1"/>
              <w:bottom w:val="single" w:sz="6" w:space="0" w:color="6F6652"/>
            </w:tcBorders>
            <w:shd w:val="clear" w:color="auto" w:fill="E9E8E5" w:themeFill="background2"/>
            <w:hideMark/>
          </w:tcPr>
          <w:p w:rsidR="00612FD3" w:rsidRDefault="00612FD3" w:rsidP="00301B6D">
            <w:pPr>
              <w:pStyle w:val="TableTextEntries"/>
            </w:pPr>
            <w:r>
              <w:t>Glazing</w:t>
            </w:r>
            <w:r>
              <w:br/>
              <w:t>(Part J2)</w:t>
            </w:r>
          </w:p>
        </w:tc>
        <w:tc>
          <w:tcPr>
            <w:tcW w:w="2569" w:type="dxa"/>
            <w:tcBorders>
              <w:top w:val="single" w:sz="8" w:space="0" w:color="FFFFFF" w:themeColor="background1"/>
              <w:bottom w:val="single" w:sz="6" w:space="0" w:color="6F6652"/>
            </w:tcBorders>
            <w:shd w:val="clear" w:color="auto" w:fill="E9E8E5" w:themeFill="background2"/>
            <w:hideMark/>
          </w:tcPr>
          <w:p w:rsidR="00612FD3" w:rsidRDefault="00612FD3" w:rsidP="00301B6D">
            <w:pPr>
              <w:pStyle w:val="TableTextEntries"/>
            </w:pPr>
            <w:r>
              <w:t>Part J2 has been deleted.</w:t>
            </w:r>
          </w:p>
        </w:tc>
        <w:tc>
          <w:tcPr>
            <w:tcW w:w="3829" w:type="dxa"/>
            <w:tcBorders>
              <w:top w:val="single" w:sz="8" w:space="0" w:color="FFFFFF" w:themeColor="background1"/>
              <w:bottom w:val="single" w:sz="6" w:space="0" w:color="6F6652"/>
            </w:tcBorders>
            <w:shd w:val="clear" w:color="auto" w:fill="E9E8E5" w:themeFill="background2"/>
            <w:hideMark/>
          </w:tcPr>
          <w:p w:rsidR="00612FD3" w:rsidRDefault="00612FD3" w:rsidP="00301B6D">
            <w:pPr>
              <w:pStyle w:val="TableTextEntries"/>
            </w:pPr>
            <w:r>
              <w:t>This change is a consequence of incorporating the glazing provisions into J1.5.</w:t>
            </w:r>
          </w:p>
        </w:tc>
      </w:tr>
      <w:tr w:rsidR="00612FD3" w:rsidRPr="00381E6D" w:rsidTr="005A3FCF">
        <w:tc>
          <w:tcPr>
            <w:tcW w:w="2107" w:type="dxa"/>
            <w:tcBorders>
              <w:top w:val="single" w:sz="8" w:space="0" w:color="FFFFFF" w:themeColor="background1"/>
              <w:bottom w:val="single" w:sz="8" w:space="0" w:color="FFFFFF" w:themeColor="background1"/>
            </w:tcBorders>
            <w:shd w:val="clear" w:color="auto" w:fill="E9E8E5" w:themeFill="background2"/>
            <w:hideMark/>
          </w:tcPr>
          <w:p w:rsidR="00612FD3" w:rsidRDefault="00612FD3" w:rsidP="00301B6D">
            <w:pPr>
              <w:pStyle w:val="TableTextEntries"/>
            </w:pPr>
            <w:r>
              <w:t>Building sealing</w:t>
            </w:r>
            <w:r>
              <w:br/>
              <w:t>(Part J3)</w:t>
            </w:r>
          </w:p>
        </w:tc>
        <w:tc>
          <w:tcPr>
            <w:tcW w:w="2569" w:type="dxa"/>
            <w:tcBorders>
              <w:top w:val="single" w:sz="8" w:space="0" w:color="FFFFFF" w:themeColor="background1"/>
              <w:bottom w:val="single" w:sz="8" w:space="0" w:color="FFFFFF" w:themeColor="background1"/>
            </w:tcBorders>
            <w:shd w:val="clear" w:color="auto" w:fill="E9E8E5" w:themeFill="background2"/>
            <w:hideMark/>
          </w:tcPr>
          <w:p w:rsidR="00612FD3" w:rsidRDefault="00612FD3" w:rsidP="00301B6D">
            <w:pPr>
              <w:pStyle w:val="TableTextEntries"/>
            </w:pPr>
            <w:r>
              <w:t>Numerous minor changes have been made to this Part.</w:t>
            </w:r>
          </w:p>
        </w:tc>
        <w:tc>
          <w:tcPr>
            <w:tcW w:w="3829" w:type="dxa"/>
            <w:tcBorders>
              <w:top w:val="single" w:sz="8" w:space="0" w:color="FFFFFF" w:themeColor="background1"/>
              <w:bottom w:val="single" w:sz="8" w:space="0" w:color="FFFFFF" w:themeColor="background1"/>
            </w:tcBorders>
            <w:shd w:val="clear" w:color="auto" w:fill="E9E8E5" w:themeFill="background2"/>
            <w:hideMark/>
          </w:tcPr>
          <w:p w:rsidR="00612FD3" w:rsidRDefault="00612FD3" w:rsidP="00301B6D">
            <w:pPr>
              <w:pStyle w:val="TableTextEntries"/>
            </w:pPr>
            <w:r>
              <w:t>These c</w:t>
            </w:r>
            <w:r w:rsidRPr="00C66571">
              <w:t xml:space="preserve">hanges </w:t>
            </w:r>
            <w:r>
              <w:t>are primarily intended to strengthen the current provisions with more detail</w:t>
            </w:r>
            <w:r w:rsidRPr="00C66571">
              <w:t>.</w:t>
            </w:r>
          </w:p>
        </w:tc>
      </w:tr>
      <w:tr w:rsidR="00612FD3" w:rsidRPr="00381E6D" w:rsidTr="005A3FCF">
        <w:tc>
          <w:tcPr>
            <w:tcW w:w="2107" w:type="dxa"/>
            <w:tcBorders>
              <w:top w:val="single" w:sz="8" w:space="0" w:color="FFFFFF" w:themeColor="background1"/>
            </w:tcBorders>
            <w:shd w:val="clear" w:color="auto" w:fill="E9E8E5" w:themeFill="background2"/>
            <w:hideMark/>
          </w:tcPr>
          <w:p w:rsidR="00612FD3" w:rsidRDefault="00612FD3" w:rsidP="00301B6D">
            <w:pPr>
              <w:pStyle w:val="TableTextEntries"/>
            </w:pPr>
            <w:r>
              <w:t>Air-conditioning system control</w:t>
            </w:r>
            <w:r>
              <w:br/>
              <w:t>(J5.2)</w:t>
            </w:r>
          </w:p>
        </w:tc>
        <w:tc>
          <w:tcPr>
            <w:tcW w:w="2569" w:type="dxa"/>
            <w:tcBorders>
              <w:top w:val="single" w:sz="8" w:space="0" w:color="FFFFFF" w:themeColor="background1"/>
            </w:tcBorders>
            <w:shd w:val="clear" w:color="auto" w:fill="E9E8E5" w:themeFill="background2"/>
            <w:hideMark/>
          </w:tcPr>
          <w:p w:rsidR="00612FD3" w:rsidRDefault="00612FD3" w:rsidP="00301B6D">
            <w:pPr>
              <w:pStyle w:val="TableTextEntries"/>
            </w:pPr>
            <w:r>
              <w:t>Includes more precise provisions on how air-conditioning systems are to be controlled, including ensuring adjoining air-conditioning systems operate in a coordinated manner.</w:t>
            </w:r>
          </w:p>
        </w:tc>
        <w:tc>
          <w:tcPr>
            <w:tcW w:w="3829" w:type="dxa"/>
            <w:tcBorders>
              <w:top w:val="single" w:sz="8" w:space="0" w:color="FFFFFF" w:themeColor="background1"/>
            </w:tcBorders>
            <w:shd w:val="clear" w:color="auto" w:fill="E9E8E5" w:themeFill="background2"/>
            <w:hideMark/>
          </w:tcPr>
          <w:p w:rsidR="00612FD3" w:rsidRDefault="00612FD3" w:rsidP="00301B6D">
            <w:pPr>
              <w:pStyle w:val="TableTextEntries"/>
            </w:pPr>
            <w:r>
              <w:t>The additional controls are intended to increase the ability for air-conditioning systems to be operated efficiently.</w:t>
            </w:r>
          </w:p>
        </w:tc>
      </w:tr>
      <w:tr w:rsidR="00612FD3" w:rsidRPr="000534B4" w:rsidTr="005A3FCF">
        <w:tc>
          <w:tcPr>
            <w:tcW w:w="2107" w:type="dxa"/>
            <w:tcBorders>
              <w:bottom w:val="single" w:sz="6" w:space="0" w:color="6F6652"/>
            </w:tcBorders>
            <w:shd w:val="clear" w:color="auto" w:fill="E9E8E5" w:themeFill="background2"/>
            <w:hideMark/>
          </w:tcPr>
          <w:p w:rsidR="00612FD3" w:rsidRPr="008D248A" w:rsidRDefault="00612FD3" w:rsidP="00301B6D">
            <w:pPr>
              <w:pStyle w:val="TableTextEntries"/>
            </w:pPr>
            <w:r w:rsidRPr="008D248A">
              <w:t>Air-conditioning system control</w:t>
            </w:r>
            <w:r w:rsidRPr="008D248A">
              <w:br/>
              <w:t>(J5.2)</w:t>
            </w:r>
          </w:p>
        </w:tc>
        <w:tc>
          <w:tcPr>
            <w:tcW w:w="2569" w:type="dxa"/>
            <w:tcBorders>
              <w:bottom w:val="single" w:sz="6" w:space="0" w:color="6F6652"/>
            </w:tcBorders>
            <w:shd w:val="clear" w:color="auto" w:fill="E9E8E5" w:themeFill="background2"/>
            <w:hideMark/>
          </w:tcPr>
          <w:p w:rsidR="00612FD3" w:rsidRPr="008D248A" w:rsidRDefault="00612FD3" w:rsidP="00301B6D">
            <w:pPr>
              <w:pStyle w:val="TableTextEntries"/>
            </w:pPr>
            <w:r w:rsidRPr="0074245B">
              <w:t xml:space="preserve">The requirements for an economy cycle have been limited to larger air-conditioning systems in the cooler </w:t>
            </w:r>
            <w:r w:rsidR="00E31EE8">
              <w:t>Climate Zone</w:t>
            </w:r>
            <w:r w:rsidRPr="0074245B">
              <w:t>s.</w:t>
            </w:r>
          </w:p>
        </w:tc>
        <w:tc>
          <w:tcPr>
            <w:tcW w:w="3829" w:type="dxa"/>
            <w:tcBorders>
              <w:bottom w:val="single" w:sz="6" w:space="0" w:color="6F6652"/>
            </w:tcBorders>
            <w:shd w:val="clear" w:color="auto" w:fill="E9E8E5" w:themeFill="background2"/>
            <w:hideMark/>
          </w:tcPr>
          <w:p w:rsidR="00612FD3" w:rsidRPr="008D248A" w:rsidRDefault="00612FD3" w:rsidP="00301B6D">
            <w:pPr>
              <w:pStyle w:val="TableTextEntries"/>
            </w:pPr>
            <w:r w:rsidRPr="0074245B">
              <w:t>This change is based on modelling of outdoor air economy cycles which demonstrated that the current provisions are slightly too stringent.</w:t>
            </w:r>
          </w:p>
        </w:tc>
      </w:tr>
      <w:tr w:rsidR="00612FD3" w:rsidRPr="00381E6D" w:rsidTr="005A3FCF">
        <w:tc>
          <w:tcPr>
            <w:tcW w:w="2107" w:type="dxa"/>
            <w:tcBorders>
              <w:top w:val="single" w:sz="8" w:space="0" w:color="FFFFFF" w:themeColor="background1"/>
              <w:bottom w:val="single" w:sz="6" w:space="0" w:color="6F6652"/>
            </w:tcBorders>
            <w:shd w:val="clear" w:color="auto" w:fill="E9E8E5" w:themeFill="background2"/>
            <w:hideMark/>
          </w:tcPr>
          <w:p w:rsidR="00612FD3" w:rsidRDefault="00612FD3" w:rsidP="00301B6D">
            <w:pPr>
              <w:pStyle w:val="TableTextEntries"/>
            </w:pPr>
            <w:r w:rsidRPr="00381E6D">
              <w:t>Air-conditioning system control</w:t>
            </w:r>
            <w:r w:rsidRPr="00381E6D">
              <w:br/>
              <w:t>(J5.2)</w:t>
            </w:r>
          </w:p>
        </w:tc>
        <w:tc>
          <w:tcPr>
            <w:tcW w:w="2569" w:type="dxa"/>
            <w:tcBorders>
              <w:top w:val="single" w:sz="8" w:space="0" w:color="FFFFFF" w:themeColor="background1"/>
              <w:bottom w:val="single" w:sz="6" w:space="0" w:color="6F6652"/>
            </w:tcBorders>
            <w:shd w:val="clear" w:color="auto" w:fill="E9E8E5" w:themeFill="background2"/>
            <w:hideMark/>
          </w:tcPr>
          <w:p w:rsidR="00612FD3" w:rsidRDefault="00612FD3" w:rsidP="00301B6D">
            <w:pPr>
              <w:pStyle w:val="TableTextEntries"/>
            </w:pPr>
            <w:r>
              <w:t>The provisions for time switches have been relocated into this clause from the current Specification J6.</w:t>
            </w:r>
          </w:p>
        </w:tc>
        <w:tc>
          <w:tcPr>
            <w:tcW w:w="3829" w:type="dxa"/>
            <w:tcBorders>
              <w:top w:val="single" w:sz="8" w:space="0" w:color="FFFFFF" w:themeColor="background1"/>
              <w:bottom w:val="single" w:sz="6" w:space="0" w:color="6F6652"/>
            </w:tcBorders>
            <w:shd w:val="clear" w:color="auto" w:fill="E9E8E5" w:themeFill="background2"/>
            <w:hideMark/>
          </w:tcPr>
          <w:p w:rsidR="00612FD3" w:rsidRDefault="00612FD3" w:rsidP="00301B6D">
            <w:pPr>
              <w:pStyle w:val="TableTextEntries"/>
            </w:pPr>
            <w:r>
              <w:t>This change is intended to improve the readability of the provisions.</w:t>
            </w:r>
          </w:p>
        </w:tc>
      </w:tr>
      <w:tr w:rsidR="00612FD3" w:rsidRPr="00381E6D" w:rsidTr="005A3FCF">
        <w:tc>
          <w:tcPr>
            <w:tcW w:w="2107" w:type="dxa"/>
            <w:tcBorders>
              <w:top w:val="single" w:sz="8" w:space="0" w:color="FFFFFF" w:themeColor="background1"/>
              <w:bottom w:val="single" w:sz="6" w:space="0" w:color="6F6652"/>
            </w:tcBorders>
            <w:shd w:val="clear" w:color="auto" w:fill="E9E8E5" w:themeFill="background2"/>
            <w:hideMark/>
          </w:tcPr>
          <w:p w:rsidR="00612FD3" w:rsidRPr="00381E6D" w:rsidRDefault="00612FD3" w:rsidP="00301B6D">
            <w:pPr>
              <w:pStyle w:val="TableTextEntries"/>
            </w:pPr>
            <w:r>
              <w:t>Mechanical ventilation system control (J5.3)</w:t>
            </w:r>
          </w:p>
        </w:tc>
        <w:tc>
          <w:tcPr>
            <w:tcW w:w="2569" w:type="dxa"/>
            <w:tcBorders>
              <w:top w:val="single" w:sz="8" w:space="0" w:color="FFFFFF" w:themeColor="background1"/>
              <w:bottom w:val="single" w:sz="6" w:space="0" w:color="6F6652"/>
            </w:tcBorders>
            <w:shd w:val="clear" w:color="auto" w:fill="E9E8E5" w:themeFill="background2"/>
            <w:hideMark/>
          </w:tcPr>
          <w:p w:rsidR="00612FD3" w:rsidRDefault="00612FD3" w:rsidP="00301B6D">
            <w:pPr>
              <w:pStyle w:val="TableTextEntries"/>
            </w:pPr>
            <w:r>
              <w:t>The general changes to these provisions include extending the requirements for energy reclaiming systems and demand control, and incorporating the requirements for miscellaneous exhaust systems and time switches (currently in J5.4 and Specification J6).</w:t>
            </w:r>
          </w:p>
        </w:tc>
        <w:tc>
          <w:tcPr>
            <w:tcW w:w="3829" w:type="dxa"/>
            <w:tcBorders>
              <w:top w:val="single" w:sz="8" w:space="0" w:color="FFFFFF" w:themeColor="background1"/>
              <w:bottom w:val="single" w:sz="6" w:space="0" w:color="6F6652"/>
            </w:tcBorders>
            <w:shd w:val="clear" w:color="auto" w:fill="E9E8E5" w:themeFill="background2"/>
            <w:hideMark/>
          </w:tcPr>
          <w:p w:rsidR="00612FD3" w:rsidRDefault="00612FD3" w:rsidP="00301B6D">
            <w:pPr>
              <w:pStyle w:val="TableTextEntries"/>
            </w:pPr>
            <w:r>
              <w:t>These changes are intended to provide more nuanced control of ventilation energy use and improve the readability of the provisions.</w:t>
            </w:r>
          </w:p>
        </w:tc>
      </w:tr>
      <w:tr w:rsidR="00612FD3" w:rsidRPr="00381E6D" w:rsidTr="005A3FCF">
        <w:tc>
          <w:tcPr>
            <w:tcW w:w="2107" w:type="dxa"/>
            <w:tcBorders>
              <w:top w:val="single" w:sz="8" w:space="0" w:color="FFFFFF" w:themeColor="background1"/>
              <w:bottom w:val="single" w:sz="6" w:space="0" w:color="6F6652"/>
            </w:tcBorders>
            <w:shd w:val="clear" w:color="auto" w:fill="E9E8E5" w:themeFill="background2"/>
            <w:hideMark/>
          </w:tcPr>
          <w:p w:rsidR="00612FD3" w:rsidRPr="00381E6D" w:rsidRDefault="00612FD3" w:rsidP="00301B6D">
            <w:pPr>
              <w:pStyle w:val="TableTextEntries"/>
            </w:pPr>
            <w:r>
              <w:t>Mechanical ventilation system control (J5.3)</w:t>
            </w:r>
          </w:p>
        </w:tc>
        <w:tc>
          <w:tcPr>
            <w:tcW w:w="2569" w:type="dxa"/>
            <w:tcBorders>
              <w:top w:val="single" w:sz="8" w:space="0" w:color="FFFFFF" w:themeColor="background1"/>
              <w:bottom w:val="single" w:sz="6" w:space="0" w:color="6F6652"/>
            </w:tcBorders>
            <w:shd w:val="clear" w:color="auto" w:fill="E9E8E5" w:themeFill="background2"/>
            <w:hideMark/>
          </w:tcPr>
          <w:p w:rsidR="00612FD3" w:rsidRPr="008D248A" w:rsidRDefault="00612FD3" w:rsidP="00301B6D">
            <w:pPr>
              <w:pStyle w:val="TableTextEntries"/>
            </w:pPr>
            <w:r w:rsidRPr="0074245B">
              <w:t>The provisions also extend the requirement for carbon monoxide (CO) sensors as part of carpark exhaust systems.</w:t>
            </w:r>
          </w:p>
        </w:tc>
        <w:tc>
          <w:tcPr>
            <w:tcW w:w="3829" w:type="dxa"/>
            <w:tcBorders>
              <w:top w:val="single" w:sz="8" w:space="0" w:color="FFFFFF" w:themeColor="background1"/>
              <w:bottom w:val="single" w:sz="6" w:space="0" w:color="6F6652"/>
            </w:tcBorders>
            <w:shd w:val="clear" w:color="auto" w:fill="E9E8E5" w:themeFill="background2"/>
            <w:hideMark/>
          </w:tcPr>
          <w:p w:rsidR="00612FD3" w:rsidRPr="008D248A" w:rsidRDefault="00612FD3" w:rsidP="00301B6D">
            <w:pPr>
              <w:pStyle w:val="TableTextEntries"/>
            </w:pPr>
            <w:r w:rsidRPr="0074245B">
              <w:t>The CO sensors will ensure the fans are only operated when necessary and should result in significant energy use reductions.</w:t>
            </w:r>
          </w:p>
        </w:tc>
      </w:tr>
      <w:tr w:rsidR="00612FD3" w:rsidRPr="00381E6D" w:rsidTr="005A3FCF">
        <w:tc>
          <w:tcPr>
            <w:tcW w:w="2107" w:type="dxa"/>
            <w:tcBorders>
              <w:top w:val="single" w:sz="8" w:space="0" w:color="FFFFFF" w:themeColor="background1"/>
              <w:bottom w:val="single" w:sz="6" w:space="0" w:color="6F6652"/>
            </w:tcBorders>
            <w:shd w:val="clear" w:color="auto" w:fill="E9E8E5" w:themeFill="background2"/>
            <w:hideMark/>
          </w:tcPr>
          <w:p w:rsidR="00612FD3" w:rsidRPr="00381E6D" w:rsidRDefault="00612FD3" w:rsidP="00301B6D">
            <w:pPr>
              <w:pStyle w:val="TableTextEntries"/>
            </w:pPr>
            <w:r>
              <w:t>Fan systems</w:t>
            </w:r>
            <w:r>
              <w:br/>
              <w:t>(J5.4)</w:t>
            </w:r>
          </w:p>
        </w:tc>
        <w:tc>
          <w:tcPr>
            <w:tcW w:w="2569" w:type="dxa"/>
            <w:tcBorders>
              <w:top w:val="single" w:sz="8" w:space="0" w:color="FFFFFF" w:themeColor="background1"/>
              <w:bottom w:val="single" w:sz="6" w:space="0" w:color="6F6652"/>
            </w:tcBorders>
            <w:shd w:val="clear" w:color="auto" w:fill="E9E8E5" w:themeFill="background2"/>
            <w:hideMark/>
          </w:tcPr>
          <w:p w:rsidR="00612FD3" w:rsidRDefault="00612FD3" w:rsidP="00301B6D">
            <w:pPr>
              <w:pStyle w:val="TableTextEntries"/>
            </w:pPr>
            <w:r>
              <w:t>These new provisions establish a more stringent whole-of-system approach based on minimising system pressure drop.  It includes specific fan component level requirements.</w:t>
            </w:r>
          </w:p>
        </w:tc>
        <w:tc>
          <w:tcPr>
            <w:tcW w:w="3829" w:type="dxa"/>
            <w:tcBorders>
              <w:top w:val="single" w:sz="8" w:space="0" w:color="FFFFFF" w:themeColor="background1"/>
              <w:bottom w:val="single" w:sz="6" w:space="0" w:color="6F6652"/>
            </w:tcBorders>
            <w:shd w:val="clear" w:color="auto" w:fill="E9E8E5" w:themeFill="background2"/>
            <w:hideMark/>
          </w:tcPr>
          <w:p w:rsidR="00612FD3" w:rsidRDefault="00612FD3" w:rsidP="00301B6D">
            <w:pPr>
              <w:pStyle w:val="TableTextEntries"/>
            </w:pPr>
            <w:r>
              <w:t>The changes increase the efficiency of fans to a level modelled to be cost effective.  The provisions were developed in consultation with the fan manufacturers’ industry association, FMAANZ.</w:t>
            </w:r>
          </w:p>
          <w:p w:rsidR="00612FD3" w:rsidRDefault="00612FD3" w:rsidP="00301B6D">
            <w:pPr>
              <w:pStyle w:val="TableTextEntries"/>
            </w:pPr>
            <w:r>
              <w:t>Requiring the calculation of actual pressure drop reduces the chance of a system consuming higher than expected energy use and is predicted to improve system design.</w:t>
            </w:r>
          </w:p>
        </w:tc>
      </w:tr>
      <w:tr w:rsidR="00612FD3" w:rsidRPr="00381E6D" w:rsidTr="005A3FCF">
        <w:tc>
          <w:tcPr>
            <w:tcW w:w="2107" w:type="dxa"/>
            <w:tcBorders>
              <w:top w:val="single" w:sz="8" w:space="0" w:color="FFFFFF" w:themeColor="background1"/>
              <w:bottom w:val="single" w:sz="6" w:space="0" w:color="6F6652"/>
            </w:tcBorders>
            <w:shd w:val="clear" w:color="auto" w:fill="E9E8E5" w:themeFill="background2"/>
            <w:hideMark/>
          </w:tcPr>
          <w:p w:rsidR="00612FD3" w:rsidRPr="00381E6D" w:rsidRDefault="00612FD3" w:rsidP="00301B6D">
            <w:pPr>
              <w:pStyle w:val="TableTextEntries"/>
            </w:pPr>
            <w:r>
              <w:t>Fan systems</w:t>
            </w:r>
            <w:r>
              <w:br/>
              <w:t>(J5.4)</w:t>
            </w:r>
          </w:p>
        </w:tc>
        <w:tc>
          <w:tcPr>
            <w:tcW w:w="2569" w:type="dxa"/>
            <w:tcBorders>
              <w:top w:val="single" w:sz="8" w:space="0" w:color="FFFFFF" w:themeColor="background1"/>
              <w:bottom w:val="single" w:sz="6" w:space="0" w:color="6F6652"/>
            </w:tcBorders>
            <w:shd w:val="clear" w:color="auto" w:fill="E9E8E5" w:themeFill="background2"/>
            <w:hideMark/>
          </w:tcPr>
          <w:p w:rsidR="00612FD3" w:rsidRDefault="00612FD3" w:rsidP="00301B6D">
            <w:pPr>
              <w:pStyle w:val="TableTextEntries"/>
            </w:pPr>
            <w:r>
              <w:t>A fan system performance-type solution has been introduced to enable fan system designers to use a DTS system pressure drop as a benchmark for their proposed system.</w:t>
            </w:r>
          </w:p>
        </w:tc>
        <w:tc>
          <w:tcPr>
            <w:tcW w:w="3829" w:type="dxa"/>
            <w:tcBorders>
              <w:top w:val="single" w:sz="8" w:space="0" w:color="FFFFFF" w:themeColor="background1"/>
              <w:bottom w:val="single" w:sz="6" w:space="0" w:color="6F6652"/>
            </w:tcBorders>
            <w:shd w:val="clear" w:color="auto" w:fill="E9E8E5" w:themeFill="background2"/>
            <w:hideMark/>
          </w:tcPr>
          <w:p w:rsidR="00612FD3" w:rsidRDefault="00612FD3" w:rsidP="00301B6D">
            <w:pPr>
              <w:pStyle w:val="TableTextEntries"/>
            </w:pPr>
            <w:r>
              <w:t>The option of a whole-of-system DTS Solution allows for greater flexibility in system design and encourages properly designed solutions.</w:t>
            </w:r>
          </w:p>
        </w:tc>
      </w:tr>
      <w:tr w:rsidR="00612FD3" w:rsidRPr="00381E6D" w:rsidTr="00E75AC2">
        <w:tc>
          <w:tcPr>
            <w:tcW w:w="2107" w:type="dxa"/>
            <w:tcBorders>
              <w:top w:val="single" w:sz="8" w:space="0" w:color="FFFFFF" w:themeColor="background1"/>
              <w:bottom w:val="single" w:sz="8" w:space="0" w:color="FFFFFF" w:themeColor="background1"/>
            </w:tcBorders>
            <w:shd w:val="clear" w:color="auto" w:fill="E9E8E5" w:themeFill="background2"/>
            <w:hideMark/>
          </w:tcPr>
          <w:p w:rsidR="00612FD3" w:rsidRPr="008D248A" w:rsidRDefault="00612FD3" w:rsidP="00301B6D">
            <w:pPr>
              <w:pStyle w:val="TableTextEntries"/>
            </w:pPr>
            <w:r w:rsidRPr="0074245B">
              <w:t>Ductwork insulation and sealing</w:t>
            </w:r>
            <w:r w:rsidRPr="0074245B">
              <w:br/>
              <w:t>(J5.5, J5.6)</w:t>
            </w:r>
          </w:p>
        </w:tc>
        <w:tc>
          <w:tcPr>
            <w:tcW w:w="2569" w:type="dxa"/>
            <w:tcBorders>
              <w:top w:val="single" w:sz="8" w:space="0" w:color="FFFFFF" w:themeColor="background1"/>
              <w:bottom w:val="single" w:sz="8" w:space="0" w:color="FFFFFF" w:themeColor="background1"/>
            </w:tcBorders>
            <w:shd w:val="clear" w:color="auto" w:fill="E9E8E5" w:themeFill="background2"/>
            <w:hideMark/>
          </w:tcPr>
          <w:p w:rsidR="00612FD3" w:rsidRPr="008D248A" w:rsidRDefault="00612FD3" w:rsidP="00301B6D">
            <w:pPr>
              <w:pStyle w:val="TableTextEntries"/>
            </w:pPr>
            <w:r w:rsidRPr="0074245B">
              <w:t>The current provisions for ductwork insulation and sealing in Specification J5.2b have been relocated to Part J5.</w:t>
            </w:r>
          </w:p>
        </w:tc>
        <w:tc>
          <w:tcPr>
            <w:tcW w:w="3829" w:type="dxa"/>
            <w:tcBorders>
              <w:top w:val="single" w:sz="8" w:space="0" w:color="FFFFFF" w:themeColor="background1"/>
              <w:bottom w:val="single" w:sz="8" w:space="0" w:color="FFFFFF" w:themeColor="background1"/>
            </w:tcBorders>
            <w:shd w:val="clear" w:color="auto" w:fill="E9E8E5" w:themeFill="background2"/>
            <w:hideMark/>
          </w:tcPr>
          <w:p w:rsidR="00612FD3" w:rsidRPr="008D248A" w:rsidRDefault="00612FD3" w:rsidP="00301B6D">
            <w:pPr>
              <w:pStyle w:val="TableTextEntries"/>
            </w:pPr>
            <w:r w:rsidRPr="0074245B">
              <w:t>The intent of this change is to increase the readability of the provisions by placing related information in one place.</w:t>
            </w:r>
          </w:p>
        </w:tc>
      </w:tr>
      <w:tr w:rsidR="00612FD3" w:rsidRPr="00381E6D" w:rsidTr="00E75AC2">
        <w:tc>
          <w:tcPr>
            <w:tcW w:w="2107" w:type="dxa"/>
            <w:tcBorders>
              <w:top w:val="single" w:sz="8" w:space="0" w:color="FFFFFF" w:themeColor="background1"/>
            </w:tcBorders>
            <w:shd w:val="clear" w:color="auto" w:fill="E9E8E5" w:themeFill="background2"/>
            <w:hideMark/>
          </w:tcPr>
          <w:p w:rsidR="00612FD3" w:rsidRPr="00381E6D" w:rsidRDefault="00612FD3" w:rsidP="00301B6D">
            <w:pPr>
              <w:pStyle w:val="TableTextEntries"/>
            </w:pPr>
            <w:r>
              <w:t>Air-conditioning pumps</w:t>
            </w:r>
            <w:r>
              <w:br/>
              <w:t>(J5.7)</w:t>
            </w:r>
          </w:p>
        </w:tc>
        <w:tc>
          <w:tcPr>
            <w:tcW w:w="2569" w:type="dxa"/>
            <w:tcBorders>
              <w:top w:val="single" w:sz="8" w:space="0" w:color="FFFFFF" w:themeColor="background1"/>
            </w:tcBorders>
            <w:shd w:val="clear" w:color="auto" w:fill="E9E8E5" w:themeFill="background2"/>
            <w:hideMark/>
          </w:tcPr>
          <w:p w:rsidR="00612FD3" w:rsidRDefault="00612FD3" w:rsidP="00301B6D">
            <w:pPr>
              <w:pStyle w:val="TableTextEntries"/>
            </w:pPr>
            <w:r>
              <w:t>The current provisions based on W/m</w:t>
            </w:r>
            <w:r w:rsidRPr="00157DCF">
              <w:rPr>
                <w:vertAlign w:val="superscript"/>
              </w:rPr>
              <w:t>2</w:t>
            </w:r>
            <w:r>
              <w:t xml:space="preserve"> have been replaced with minimum pump power efficiencies and maximum allowable pressure drops within pipework.</w:t>
            </w:r>
          </w:p>
        </w:tc>
        <w:tc>
          <w:tcPr>
            <w:tcW w:w="3829" w:type="dxa"/>
            <w:tcBorders>
              <w:top w:val="single" w:sz="8" w:space="0" w:color="FFFFFF" w:themeColor="background1"/>
            </w:tcBorders>
            <w:shd w:val="clear" w:color="auto" w:fill="E9E8E5" w:themeFill="background2"/>
            <w:hideMark/>
          </w:tcPr>
          <w:p w:rsidR="00612FD3" w:rsidRDefault="00612FD3" w:rsidP="00301B6D">
            <w:pPr>
              <w:pStyle w:val="TableTextEntries"/>
            </w:pPr>
            <w:r>
              <w:t>These changes establish component-level efficiencies for circulator pumps based on a calculation method used in European Union regulations.  The new bases for measuring pump efficiency and pipework are considered more closely aligned with what drives the energy use of HVAC pumps.  The changes are also more closely aligned with industry practice in pump specification and should encourage better designed and more energy efficient systems.</w:t>
            </w:r>
          </w:p>
          <w:p w:rsidR="00612FD3" w:rsidRDefault="00612FD3" w:rsidP="00301B6D">
            <w:pPr>
              <w:pStyle w:val="TableTextEntries"/>
            </w:pPr>
            <w:r>
              <w:t>The new component level metrics ensure that the pumps selected are both fit for purpose for the system they are operating in, and the most efficient.</w:t>
            </w:r>
          </w:p>
        </w:tc>
      </w:tr>
      <w:tr w:rsidR="00612FD3" w:rsidRPr="0074245B" w:rsidTr="00E75AC2">
        <w:tc>
          <w:tcPr>
            <w:tcW w:w="2107" w:type="dxa"/>
            <w:tcBorders>
              <w:bottom w:val="single" w:sz="6" w:space="0" w:color="6F6652"/>
            </w:tcBorders>
            <w:shd w:val="clear" w:color="auto" w:fill="E9E8E5" w:themeFill="background2"/>
            <w:hideMark/>
          </w:tcPr>
          <w:p w:rsidR="00612FD3" w:rsidRPr="008D248A" w:rsidRDefault="00612FD3" w:rsidP="00301B6D">
            <w:pPr>
              <w:pStyle w:val="TableTextEntries"/>
            </w:pPr>
            <w:r w:rsidRPr="008D248A">
              <w:t>Air-conditioning pumps</w:t>
            </w:r>
            <w:r w:rsidRPr="008D248A">
              <w:br/>
              <w:t>(J5.7)</w:t>
            </w:r>
          </w:p>
        </w:tc>
        <w:tc>
          <w:tcPr>
            <w:tcW w:w="2569" w:type="dxa"/>
            <w:tcBorders>
              <w:bottom w:val="single" w:sz="6" w:space="0" w:color="6F6652"/>
            </w:tcBorders>
            <w:shd w:val="clear" w:color="auto" w:fill="E9E8E5" w:themeFill="background2"/>
            <w:hideMark/>
          </w:tcPr>
          <w:p w:rsidR="00612FD3" w:rsidRPr="008D248A" w:rsidRDefault="00612FD3" w:rsidP="00301B6D">
            <w:pPr>
              <w:pStyle w:val="TableTextEntries"/>
            </w:pPr>
            <w:r w:rsidRPr="0074245B">
              <w:t>A pump system performance-type solution has been introduced to enable pump system designers to use a DTS system pressure drop as a benchmark for their proposed system.</w:t>
            </w:r>
          </w:p>
        </w:tc>
        <w:tc>
          <w:tcPr>
            <w:tcW w:w="3829" w:type="dxa"/>
            <w:tcBorders>
              <w:bottom w:val="single" w:sz="6" w:space="0" w:color="6F6652"/>
            </w:tcBorders>
            <w:shd w:val="clear" w:color="auto" w:fill="E9E8E5" w:themeFill="background2"/>
            <w:hideMark/>
          </w:tcPr>
          <w:p w:rsidR="00612FD3" w:rsidRPr="008D248A" w:rsidRDefault="00612FD3" w:rsidP="00301B6D">
            <w:pPr>
              <w:pStyle w:val="TableTextEntries"/>
            </w:pPr>
            <w:r w:rsidRPr="0074245B">
              <w:t xml:space="preserve">The option of a whole-of-system DTS </w:t>
            </w:r>
            <w:r>
              <w:t>S</w:t>
            </w:r>
            <w:r w:rsidRPr="0074245B">
              <w:t>olution allows for greater flexibility in system design and encourages properly designed solutions.</w:t>
            </w:r>
          </w:p>
        </w:tc>
      </w:tr>
      <w:tr w:rsidR="00612FD3" w:rsidRPr="000534B4" w:rsidTr="005A3FCF">
        <w:tc>
          <w:tcPr>
            <w:tcW w:w="2107" w:type="dxa"/>
            <w:tcBorders>
              <w:top w:val="single" w:sz="8" w:space="0" w:color="FFFFFF" w:themeColor="background1"/>
              <w:bottom w:val="single" w:sz="6" w:space="0" w:color="6F6652"/>
            </w:tcBorders>
            <w:shd w:val="clear" w:color="auto" w:fill="E9E8E5" w:themeFill="background2"/>
            <w:hideMark/>
          </w:tcPr>
          <w:p w:rsidR="00612FD3" w:rsidRPr="008D248A" w:rsidRDefault="00612FD3" w:rsidP="00301B6D">
            <w:pPr>
              <w:pStyle w:val="TableTextEntries"/>
            </w:pPr>
            <w:r w:rsidRPr="0074245B">
              <w:t>Pipework insulation</w:t>
            </w:r>
            <w:r w:rsidRPr="0074245B">
              <w:br/>
              <w:t>(J5.8)</w:t>
            </w:r>
          </w:p>
        </w:tc>
        <w:tc>
          <w:tcPr>
            <w:tcW w:w="2569" w:type="dxa"/>
            <w:tcBorders>
              <w:top w:val="single" w:sz="8" w:space="0" w:color="FFFFFF" w:themeColor="background1"/>
              <w:bottom w:val="single" w:sz="6" w:space="0" w:color="6F6652"/>
            </w:tcBorders>
            <w:shd w:val="clear" w:color="auto" w:fill="E9E8E5" w:themeFill="background2"/>
            <w:hideMark/>
          </w:tcPr>
          <w:p w:rsidR="00612FD3" w:rsidRPr="008D248A" w:rsidRDefault="00612FD3" w:rsidP="00301B6D">
            <w:pPr>
              <w:pStyle w:val="TableTextEntries"/>
            </w:pPr>
            <w:r w:rsidRPr="0074245B">
              <w:t>The current provisions for pipework insulation in Specification J5.2c have been relocated to Part J5.  The minimum R-Values have also been increased.</w:t>
            </w:r>
          </w:p>
        </w:tc>
        <w:tc>
          <w:tcPr>
            <w:tcW w:w="3829" w:type="dxa"/>
            <w:tcBorders>
              <w:top w:val="single" w:sz="8" w:space="0" w:color="FFFFFF" w:themeColor="background1"/>
              <w:bottom w:val="single" w:sz="6" w:space="0" w:color="6F6652"/>
            </w:tcBorders>
            <w:shd w:val="clear" w:color="auto" w:fill="E9E8E5" w:themeFill="background2"/>
            <w:hideMark/>
          </w:tcPr>
          <w:p w:rsidR="00612FD3" w:rsidRPr="008D248A" w:rsidRDefault="00612FD3" w:rsidP="00301B6D">
            <w:pPr>
              <w:pStyle w:val="TableTextEntries"/>
            </w:pPr>
            <w:r w:rsidRPr="0074245B">
              <w:t>The increase in minimum R-Values is based on cost-benefit analysis.  It was also determined to be more appropriate to base pipe insulation levels on the temperature of the transported fluid, rather than its state.</w:t>
            </w:r>
          </w:p>
        </w:tc>
      </w:tr>
      <w:tr w:rsidR="00612FD3" w:rsidRPr="0074245B" w:rsidTr="005A3FCF">
        <w:tc>
          <w:tcPr>
            <w:tcW w:w="2107" w:type="dxa"/>
            <w:tcBorders>
              <w:top w:val="single" w:sz="8" w:space="0" w:color="FFFFFF" w:themeColor="background1"/>
              <w:bottom w:val="single" w:sz="6" w:space="0" w:color="6F6652"/>
            </w:tcBorders>
            <w:shd w:val="clear" w:color="auto" w:fill="E9E8E5" w:themeFill="background2"/>
            <w:hideMark/>
          </w:tcPr>
          <w:p w:rsidR="00612FD3" w:rsidRPr="008D248A" w:rsidRDefault="00612FD3" w:rsidP="00301B6D">
            <w:pPr>
              <w:pStyle w:val="TableTextEntries"/>
            </w:pPr>
            <w:r w:rsidRPr="0074245B">
              <w:t xml:space="preserve">Space </w:t>
            </w:r>
            <w:r>
              <w:t>h</w:t>
            </w:r>
            <w:r w:rsidRPr="0074245B">
              <w:t>eating</w:t>
            </w:r>
            <w:r w:rsidRPr="0074245B">
              <w:br/>
              <w:t>(J5.9)</w:t>
            </w:r>
          </w:p>
        </w:tc>
        <w:tc>
          <w:tcPr>
            <w:tcW w:w="2569" w:type="dxa"/>
            <w:tcBorders>
              <w:top w:val="single" w:sz="8" w:space="0" w:color="FFFFFF" w:themeColor="background1"/>
              <w:bottom w:val="single" w:sz="6" w:space="0" w:color="6F6652"/>
            </w:tcBorders>
            <w:shd w:val="clear" w:color="auto" w:fill="E9E8E5" w:themeFill="background2"/>
            <w:hideMark/>
          </w:tcPr>
          <w:p w:rsidR="00612FD3" w:rsidRPr="008D248A" w:rsidRDefault="00612FD3" w:rsidP="00301B6D">
            <w:pPr>
              <w:pStyle w:val="TableTextEntries"/>
            </w:pPr>
            <w:r w:rsidRPr="0074245B">
              <w:t>The current provisions for space heating in Specification J5.2d have been relocated to Part J5.  The gross thermal efficiency of gas water heaters (boilers) has also been increased.</w:t>
            </w:r>
          </w:p>
        </w:tc>
        <w:tc>
          <w:tcPr>
            <w:tcW w:w="3829" w:type="dxa"/>
            <w:tcBorders>
              <w:top w:val="single" w:sz="8" w:space="0" w:color="FFFFFF" w:themeColor="background1"/>
              <w:bottom w:val="single" w:sz="6" w:space="0" w:color="6F6652"/>
            </w:tcBorders>
            <w:shd w:val="clear" w:color="auto" w:fill="E9E8E5" w:themeFill="background2"/>
            <w:hideMark/>
          </w:tcPr>
          <w:p w:rsidR="00612FD3" w:rsidRPr="008D248A" w:rsidRDefault="00612FD3" w:rsidP="00301B6D">
            <w:pPr>
              <w:pStyle w:val="TableTextEntries"/>
            </w:pPr>
            <w:r w:rsidRPr="0074245B">
              <w:t>The changes to the DTS Provisions for gas boilers is based on analysis indicating higher levels of gross thermal efficiency are cost effective, with current technology, across all boiler sizes.  On the basis of industry feedback, a lower level of stringency for smaller boilers was introduced to accommodate non-condensing boilers.</w:t>
            </w:r>
          </w:p>
        </w:tc>
      </w:tr>
      <w:tr w:rsidR="00612FD3" w:rsidRPr="0074245B" w:rsidTr="005A3FCF">
        <w:tc>
          <w:tcPr>
            <w:tcW w:w="2107" w:type="dxa"/>
            <w:tcBorders>
              <w:top w:val="single" w:sz="8" w:space="0" w:color="FFFFFF" w:themeColor="background1"/>
              <w:bottom w:val="single" w:sz="6" w:space="0" w:color="6F6652"/>
            </w:tcBorders>
            <w:shd w:val="clear" w:color="auto" w:fill="E9E8E5" w:themeFill="background2"/>
            <w:hideMark/>
          </w:tcPr>
          <w:p w:rsidR="00612FD3" w:rsidRPr="008D248A" w:rsidRDefault="00612FD3" w:rsidP="00301B6D">
            <w:pPr>
              <w:pStyle w:val="TableTextEntries"/>
            </w:pPr>
            <w:r>
              <w:t>Refrigerant chillers</w:t>
            </w:r>
            <w:r>
              <w:br/>
              <w:t>(J5.10)</w:t>
            </w:r>
          </w:p>
        </w:tc>
        <w:tc>
          <w:tcPr>
            <w:tcW w:w="2569" w:type="dxa"/>
            <w:tcBorders>
              <w:top w:val="single" w:sz="8" w:space="0" w:color="FFFFFF" w:themeColor="background1"/>
              <w:bottom w:val="single" w:sz="6" w:space="0" w:color="6F6652"/>
            </w:tcBorders>
            <w:shd w:val="clear" w:color="auto" w:fill="E9E8E5" w:themeFill="background2"/>
            <w:hideMark/>
          </w:tcPr>
          <w:p w:rsidR="00612FD3" w:rsidRPr="008D248A" w:rsidRDefault="00612FD3" w:rsidP="00301B6D">
            <w:pPr>
              <w:pStyle w:val="TableTextEntries"/>
            </w:pPr>
            <w:r>
              <w:t>The current provisions for chillers in Specification J5.2e have been relocated to Part J5.  The provisions specify more stringent energy efficiency ratios (EERs) and cover chillers of all capacities.</w:t>
            </w:r>
          </w:p>
        </w:tc>
        <w:tc>
          <w:tcPr>
            <w:tcW w:w="3829" w:type="dxa"/>
            <w:tcBorders>
              <w:top w:val="single" w:sz="8" w:space="0" w:color="FFFFFF" w:themeColor="background1"/>
              <w:bottom w:val="single" w:sz="6" w:space="0" w:color="6F6652"/>
            </w:tcBorders>
            <w:shd w:val="clear" w:color="auto" w:fill="E9E8E5" w:themeFill="background2"/>
            <w:hideMark/>
          </w:tcPr>
          <w:p w:rsidR="00612FD3" w:rsidRDefault="00612FD3" w:rsidP="00301B6D">
            <w:pPr>
              <w:pStyle w:val="TableTextEntries"/>
            </w:pPr>
            <w:r>
              <w:t>The new EERs are based on the US energy code, ANSI/ASHRAE/IES Standard 90.1-2016.</w:t>
            </w:r>
          </w:p>
          <w:p w:rsidR="00612FD3" w:rsidRDefault="00612FD3" w:rsidP="00301B6D">
            <w:pPr>
              <w:pStyle w:val="TableTextEntries"/>
            </w:pPr>
            <w:r>
              <w:t>Two options, or sets of EERs, are provided to accommodate whether the chillers are likely to be used predominantly under full or part load.</w:t>
            </w:r>
          </w:p>
          <w:p w:rsidR="00612FD3" w:rsidRPr="008D248A" w:rsidRDefault="00612FD3" w:rsidP="00301B6D">
            <w:pPr>
              <w:pStyle w:val="TableTextEntries"/>
            </w:pPr>
            <w:r>
              <w:t>As a consequence of increasing stringency, it has become necessary to specify EERs for chillers of all capacities, rather than just for those not covered by Minimum Energy Performance Standards (MEPS).</w:t>
            </w:r>
          </w:p>
        </w:tc>
      </w:tr>
      <w:tr w:rsidR="00612FD3" w:rsidRPr="0074245B" w:rsidTr="005A3FCF">
        <w:tc>
          <w:tcPr>
            <w:tcW w:w="2107" w:type="dxa"/>
            <w:tcBorders>
              <w:top w:val="single" w:sz="8" w:space="0" w:color="FFFFFF" w:themeColor="background1"/>
              <w:bottom w:val="single" w:sz="6" w:space="0" w:color="6F6652"/>
            </w:tcBorders>
            <w:shd w:val="clear" w:color="auto" w:fill="E9E8E5" w:themeFill="background2"/>
            <w:hideMark/>
          </w:tcPr>
          <w:p w:rsidR="00612FD3" w:rsidRPr="008D248A" w:rsidRDefault="00612FD3" w:rsidP="00301B6D">
            <w:pPr>
              <w:pStyle w:val="TableTextEntries"/>
            </w:pPr>
            <w:r>
              <w:t>Unitary</w:t>
            </w:r>
            <w:r w:rsidRPr="0074245B">
              <w:t xml:space="preserve"> air-conditioning equipment</w:t>
            </w:r>
            <w:r w:rsidRPr="0074245B">
              <w:br/>
              <w:t>(J5.11)</w:t>
            </w:r>
          </w:p>
        </w:tc>
        <w:tc>
          <w:tcPr>
            <w:tcW w:w="2569" w:type="dxa"/>
            <w:tcBorders>
              <w:top w:val="single" w:sz="8" w:space="0" w:color="FFFFFF" w:themeColor="background1"/>
              <w:bottom w:val="single" w:sz="6" w:space="0" w:color="6F6652"/>
            </w:tcBorders>
            <w:shd w:val="clear" w:color="auto" w:fill="E9E8E5" w:themeFill="background2"/>
            <w:hideMark/>
          </w:tcPr>
          <w:p w:rsidR="00612FD3" w:rsidRPr="008D248A" w:rsidRDefault="00612FD3" w:rsidP="00301B6D">
            <w:pPr>
              <w:pStyle w:val="TableTextEntries"/>
            </w:pPr>
            <w:r w:rsidRPr="0074245B">
              <w:t xml:space="preserve">The current </w:t>
            </w:r>
            <w:r>
              <w:t>provisions for packaged</w:t>
            </w:r>
            <w:r w:rsidRPr="0074245B">
              <w:t xml:space="preserve"> air-conditioning equipment in Specification J5.2e have been relocated to Part J5</w:t>
            </w:r>
            <w:r>
              <w:t xml:space="preserve"> and renamed</w:t>
            </w:r>
            <w:r w:rsidRPr="0074245B">
              <w:t>.  More stringent EERs have been specified.</w:t>
            </w:r>
          </w:p>
        </w:tc>
        <w:tc>
          <w:tcPr>
            <w:tcW w:w="3829" w:type="dxa"/>
            <w:tcBorders>
              <w:top w:val="single" w:sz="8" w:space="0" w:color="FFFFFF" w:themeColor="background1"/>
              <w:bottom w:val="single" w:sz="6" w:space="0" w:color="6F6652"/>
            </w:tcBorders>
            <w:shd w:val="clear" w:color="auto" w:fill="E9E8E5" w:themeFill="background2"/>
            <w:hideMark/>
          </w:tcPr>
          <w:p w:rsidR="00612FD3" w:rsidRPr="008D248A" w:rsidRDefault="00612FD3" w:rsidP="00301B6D">
            <w:pPr>
              <w:pStyle w:val="TableTextEntries"/>
            </w:pPr>
            <w:r w:rsidRPr="0074245B">
              <w:t>The proposed EERs were determined by cost-benefit analysis and are anticipat</w:t>
            </w:r>
            <w:r>
              <w:t>ed to mirror future MEPS for unitary</w:t>
            </w:r>
            <w:r w:rsidRPr="0074245B">
              <w:t xml:space="preserve"> air-conditioning equipment.</w:t>
            </w:r>
          </w:p>
        </w:tc>
      </w:tr>
      <w:tr w:rsidR="00612FD3" w:rsidRPr="0074245B" w:rsidTr="00E75AC2">
        <w:tc>
          <w:tcPr>
            <w:tcW w:w="2107" w:type="dxa"/>
            <w:tcBorders>
              <w:top w:val="single" w:sz="8" w:space="0" w:color="FFFFFF" w:themeColor="background1"/>
              <w:bottom w:val="single" w:sz="8" w:space="0" w:color="FFFFFF" w:themeColor="background1"/>
            </w:tcBorders>
            <w:shd w:val="clear" w:color="auto" w:fill="E9E8E5" w:themeFill="background2"/>
            <w:hideMark/>
          </w:tcPr>
          <w:p w:rsidR="00612FD3" w:rsidRPr="008D248A" w:rsidRDefault="00612FD3" w:rsidP="00301B6D">
            <w:pPr>
              <w:pStyle w:val="TableTextEntries"/>
            </w:pPr>
            <w:r>
              <w:t>Heat rejection equipment (J5.12)</w:t>
            </w:r>
          </w:p>
        </w:tc>
        <w:tc>
          <w:tcPr>
            <w:tcW w:w="2569" w:type="dxa"/>
            <w:tcBorders>
              <w:top w:val="single" w:sz="8" w:space="0" w:color="FFFFFF" w:themeColor="background1"/>
              <w:bottom w:val="single" w:sz="8" w:space="0" w:color="FFFFFF" w:themeColor="background1"/>
            </w:tcBorders>
            <w:shd w:val="clear" w:color="auto" w:fill="E9E8E5" w:themeFill="background2"/>
            <w:hideMark/>
          </w:tcPr>
          <w:p w:rsidR="00612FD3" w:rsidRPr="008D248A" w:rsidRDefault="00612FD3" w:rsidP="00301B6D">
            <w:pPr>
              <w:pStyle w:val="TableTextEntries"/>
            </w:pPr>
            <w:r>
              <w:t>The current provisions for heat rejection equipment fans in Specification J5.2a have been relocated to Part J5.  The methodology for calculating fan motor power has been aligned to the provisions for fan systems in J5.4.</w:t>
            </w:r>
          </w:p>
        </w:tc>
        <w:tc>
          <w:tcPr>
            <w:tcW w:w="3829" w:type="dxa"/>
            <w:tcBorders>
              <w:top w:val="single" w:sz="8" w:space="0" w:color="FFFFFF" w:themeColor="background1"/>
              <w:bottom w:val="single" w:sz="8" w:space="0" w:color="FFFFFF" w:themeColor="background1"/>
            </w:tcBorders>
            <w:shd w:val="clear" w:color="auto" w:fill="E9E8E5" w:themeFill="background2"/>
            <w:hideMark/>
          </w:tcPr>
          <w:p w:rsidR="00612FD3" w:rsidRDefault="00612FD3" w:rsidP="00301B6D">
            <w:pPr>
              <w:pStyle w:val="TableTextEntries"/>
            </w:pPr>
            <w:r>
              <w:t>These changes are intended to increase the readability and interpretation of the provisions.</w:t>
            </w:r>
          </w:p>
          <w:p w:rsidR="00612FD3" w:rsidRPr="008D248A" w:rsidRDefault="00612FD3" w:rsidP="00301B6D">
            <w:pPr>
              <w:pStyle w:val="TableTextEntries"/>
            </w:pPr>
            <w:r>
              <w:t>Forced draft, closed circuit coolers are no longer included in the provisions because they are considered to be highly inefficient.</w:t>
            </w:r>
          </w:p>
        </w:tc>
      </w:tr>
      <w:tr w:rsidR="00612FD3" w:rsidRPr="0074245B" w:rsidTr="00E75AC2">
        <w:tc>
          <w:tcPr>
            <w:tcW w:w="2107" w:type="dxa"/>
            <w:tcBorders>
              <w:top w:val="single" w:sz="8" w:space="0" w:color="FFFFFF" w:themeColor="background1"/>
              <w:bottom w:val="single" w:sz="8" w:space="0" w:color="FFFFFF" w:themeColor="background1"/>
            </w:tcBorders>
            <w:shd w:val="clear" w:color="auto" w:fill="E9E8E5" w:themeFill="background2"/>
            <w:hideMark/>
          </w:tcPr>
          <w:p w:rsidR="00612FD3" w:rsidRPr="008D248A" w:rsidRDefault="00612FD3" w:rsidP="00301B6D">
            <w:pPr>
              <w:pStyle w:val="TableTextEntries"/>
            </w:pPr>
            <w:r>
              <w:t>Artificial lighting</w:t>
            </w:r>
            <w:r>
              <w:br/>
              <w:t>(J6)</w:t>
            </w:r>
          </w:p>
        </w:tc>
        <w:tc>
          <w:tcPr>
            <w:tcW w:w="2569" w:type="dxa"/>
            <w:tcBorders>
              <w:top w:val="single" w:sz="8" w:space="0" w:color="FFFFFF" w:themeColor="background1"/>
              <w:bottom w:val="single" w:sz="8" w:space="0" w:color="FFFFFF" w:themeColor="background1"/>
            </w:tcBorders>
            <w:shd w:val="clear" w:color="auto" w:fill="E9E8E5" w:themeFill="background2"/>
            <w:hideMark/>
          </w:tcPr>
          <w:p w:rsidR="00612FD3" w:rsidRPr="008D248A" w:rsidRDefault="00612FD3" w:rsidP="00301B6D">
            <w:pPr>
              <w:pStyle w:val="TableTextEntries"/>
            </w:pPr>
            <w:r>
              <w:t>The stringency of the artificial lighting provisions has been increased.  This includes reductions to the maximum Illumination Power Densities (IPDs) for interior artificial lighting.  Improvements have also been made to the interior lighting adjustment factors.</w:t>
            </w:r>
          </w:p>
        </w:tc>
        <w:tc>
          <w:tcPr>
            <w:tcW w:w="3829" w:type="dxa"/>
            <w:tcBorders>
              <w:top w:val="single" w:sz="8" w:space="0" w:color="FFFFFF" w:themeColor="background1"/>
              <w:bottom w:val="single" w:sz="8" w:space="0" w:color="FFFFFF" w:themeColor="background1"/>
            </w:tcBorders>
            <w:shd w:val="clear" w:color="auto" w:fill="E9E8E5" w:themeFill="background2"/>
            <w:hideMark/>
          </w:tcPr>
          <w:p w:rsidR="00612FD3" w:rsidRPr="008D248A" w:rsidRDefault="00612FD3" w:rsidP="00301B6D">
            <w:pPr>
              <w:pStyle w:val="TableTextEntries"/>
            </w:pPr>
            <w:r>
              <w:t>The stringency increases are based on advances in current lighting technology, particularly LED technology.  The improvements to the adjustment factors include consideration of contemporary technology, colour rendering and colour temperature.  The adjustment factors provide considerable flexibility for achieving the necessary IPDs for interior artificial lighting.</w:t>
            </w:r>
          </w:p>
        </w:tc>
      </w:tr>
      <w:tr w:rsidR="00612FD3" w:rsidRPr="0074245B" w:rsidTr="00E75AC2">
        <w:tc>
          <w:tcPr>
            <w:tcW w:w="2107" w:type="dxa"/>
            <w:tcBorders>
              <w:top w:val="single" w:sz="8" w:space="0" w:color="FFFFFF" w:themeColor="background1"/>
              <w:bottom w:val="single" w:sz="6" w:space="0" w:color="6F6652"/>
            </w:tcBorders>
            <w:shd w:val="clear" w:color="auto" w:fill="E9E8E5" w:themeFill="background2"/>
            <w:hideMark/>
          </w:tcPr>
          <w:p w:rsidR="00612FD3" w:rsidRPr="008D248A" w:rsidRDefault="00612FD3" w:rsidP="00301B6D">
            <w:pPr>
              <w:pStyle w:val="TableTextEntries"/>
            </w:pPr>
            <w:r w:rsidRPr="0074245B">
              <w:t>Lifts</w:t>
            </w:r>
            <w:r w:rsidRPr="0074245B">
              <w:br/>
              <w:t>(J6.7)</w:t>
            </w:r>
          </w:p>
        </w:tc>
        <w:tc>
          <w:tcPr>
            <w:tcW w:w="2569" w:type="dxa"/>
            <w:tcBorders>
              <w:top w:val="single" w:sz="8" w:space="0" w:color="FFFFFF" w:themeColor="background1"/>
              <w:bottom w:val="single" w:sz="6" w:space="0" w:color="6F6652"/>
            </w:tcBorders>
            <w:shd w:val="clear" w:color="auto" w:fill="E9E8E5" w:themeFill="background2"/>
            <w:hideMark/>
          </w:tcPr>
          <w:p w:rsidR="00612FD3" w:rsidRPr="008D248A" w:rsidRDefault="00612FD3" w:rsidP="00301B6D">
            <w:pPr>
              <w:pStyle w:val="TableTextEntries"/>
            </w:pPr>
            <w:r w:rsidRPr="0074245B">
              <w:t>New provisions for lift efficiency have been introduced.</w:t>
            </w:r>
          </w:p>
        </w:tc>
        <w:tc>
          <w:tcPr>
            <w:tcW w:w="3829" w:type="dxa"/>
            <w:tcBorders>
              <w:top w:val="single" w:sz="8" w:space="0" w:color="FFFFFF" w:themeColor="background1"/>
              <w:bottom w:val="single" w:sz="6" w:space="0" w:color="6F6652"/>
            </w:tcBorders>
            <w:shd w:val="clear" w:color="auto" w:fill="E9E8E5" w:themeFill="background2"/>
            <w:hideMark/>
          </w:tcPr>
          <w:p w:rsidR="00612FD3" w:rsidRPr="008D248A" w:rsidRDefault="00612FD3" w:rsidP="00301B6D">
            <w:pPr>
              <w:pStyle w:val="TableTextEntries"/>
            </w:pPr>
            <w:r w:rsidRPr="0074245B">
              <w:t>Lifts can be relatively significant energy users, especially as other aspects of a building’s energy use become more efficient.  The proposed new efficiency levels are based on an international standard, ISO 25745-2.</w:t>
            </w:r>
          </w:p>
        </w:tc>
      </w:tr>
      <w:tr w:rsidR="00612FD3" w:rsidRPr="0074245B" w:rsidTr="005A3FCF">
        <w:tc>
          <w:tcPr>
            <w:tcW w:w="2107" w:type="dxa"/>
            <w:tcBorders>
              <w:top w:val="single" w:sz="8" w:space="0" w:color="FFFFFF" w:themeColor="background1"/>
              <w:bottom w:val="single" w:sz="6" w:space="0" w:color="6F6652"/>
            </w:tcBorders>
            <w:shd w:val="clear" w:color="auto" w:fill="E9E8E5" w:themeFill="background2"/>
            <w:hideMark/>
          </w:tcPr>
          <w:p w:rsidR="00612FD3" w:rsidRPr="008D248A" w:rsidRDefault="00612FD3" w:rsidP="00301B6D">
            <w:pPr>
              <w:pStyle w:val="TableTextEntries"/>
            </w:pPr>
            <w:r w:rsidRPr="0074245B">
              <w:t>Escalators</w:t>
            </w:r>
            <w:r w:rsidRPr="0074245B">
              <w:br/>
              <w:t>(J6.8)</w:t>
            </w:r>
          </w:p>
        </w:tc>
        <w:tc>
          <w:tcPr>
            <w:tcW w:w="2569" w:type="dxa"/>
            <w:tcBorders>
              <w:top w:val="single" w:sz="8" w:space="0" w:color="FFFFFF" w:themeColor="background1"/>
              <w:bottom w:val="single" w:sz="6" w:space="0" w:color="6F6652"/>
            </w:tcBorders>
            <w:shd w:val="clear" w:color="auto" w:fill="E9E8E5" w:themeFill="background2"/>
            <w:hideMark/>
          </w:tcPr>
          <w:p w:rsidR="00612FD3" w:rsidRPr="008D248A" w:rsidRDefault="00612FD3" w:rsidP="00301B6D">
            <w:pPr>
              <w:pStyle w:val="TableTextEntries"/>
            </w:pPr>
            <w:r w:rsidRPr="0074245B">
              <w:t>New provisions inserted for escalators and moving walkways.</w:t>
            </w:r>
          </w:p>
        </w:tc>
        <w:tc>
          <w:tcPr>
            <w:tcW w:w="3829" w:type="dxa"/>
            <w:tcBorders>
              <w:top w:val="single" w:sz="8" w:space="0" w:color="FFFFFF" w:themeColor="background1"/>
              <w:bottom w:val="single" w:sz="6" w:space="0" w:color="6F6652"/>
            </w:tcBorders>
            <w:shd w:val="clear" w:color="auto" w:fill="E9E8E5" w:themeFill="background2"/>
            <w:hideMark/>
          </w:tcPr>
          <w:p w:rsidR="00612FD3" w:rsidRPr="008D248A" w:rsidRDefault="00612FD3" w:rsidP="00301B6D">
            <w:pPr>
              <w:pStyle w:val="TableTextEntries"/>
            </w:pPr>
            <w:r w:rsidRPr="0074245B">
              <w:t>The new provisions are intended to reduce the energy use of escalators and moving walkways when not in use.</w:t>
            </w:r>
          </w:p>
        </w:tc>
      </w:tr>
      <w:tr w:rsidR="00612FD3" w:rsidRPr="0074245B" w:rsidTr="005A3FCF">
        <w:tc>
          <w:tcPr>
            <w:tcW w:w="2107" w:type="dxa"/>
            <w:tcBorders>
              <w:top w:val="single" w:sz="8" w:space="0" w:color="FFFFFF" w:themeColor="background1"/>
              <w:bottom w:val="single" w:sz="6" w:space="0" w:color="6F6652"/>
            </w:tcBorders>
            <w:shd w:val="clear" w:color="auto" w:fill="E9E8E5" w:themeFill="background2"/>
            <w:hideMark/>
          </w:tcPr>
          <w:p w:rsidR="00612FD3" w:rsidRPr="008D248A" w:rsidRDefault="00612FD3" w:rsidP="00301B6D">
            <w:pPr>
              <w:pStyle w:val="TableTextEntries"/>
            </w:pPr>
            <w:r w:rsidRPr="0074245B">
              <w:t>Swimming pool and spa heating</w:t>
            </w:r>
            <w:r w:rsidRPr="0074245B">
              <w:br/>
              <w:t>(J7.3)</w:t>
            </w:r>
          </w:p>
        </w:tc>
        <w:tc>
          <w:tcPr>
            <w:tcW w:w="2569" w:type="dxa"/>
            <w:tcBorders>
              <w:top w:val="single" w:sz="8" w:space="0" w:color="FFFFFF" w:themeColor="background1"/>
              <w:bottom w:val="single" w:sz="6" w:space="0" w:color="6F6652"/>
            </w:tcBorders>
            <w:shd w:val="clear" w:color="auto" w:fill="E9E8E5" w:themeFill="background2"/>
            <w:hideMark/>
          </w:tcPr>
          <w:p w:rsidR="00612FD3" w:rsidRPr="008D248A" w:rsidRDefault="00612FD3" w:rsidP="00301B6D">
            <w:pPr>
              <w:pStyle w:val="TableTextEntries"/>
            </w:pPr>
            <w:r w:rsidRPr="0074245B">
              <w:t>A number of changes have been made to the provisions for swimming pool and spa heating.  This includes the need for gas water heaters to achieve minimum levels of gross thermal efficiency, and pool covers must achieve a minimum R-Value.</w:t>
            </w:r>
          </w:p>
        </w:tc>
        <w:tc>
          <w:tcPr>
            <w:tcW w:w="3829" w:type="dxa"/>
            <w:tcBorders>
              <w:top w:val="single" w:sz="8" w:space="0" w:color="FFFFFF" w:themeColor="background1"/>
              <w:bottom w:val="single" w:sz="6" w:space="0" w:color="6F6652"/>
            </w:tcBorders>
            <w:shd w:val="clear" w:color="auto" w:fill="E9E8E5" w:themeFill="background2"/>
            <w:hideMark/>
          </w:tcPr>
          <w:p w:rsidR="00612FD3" w:rsidRPr="008D248A" w:rsidRDefault="00612FD3" w:rsidP="00301B6D">
            <w:pPr>
              <w:pStyle w:val="TableTextEntries"/>
            </w:pPr>
            <w:r w:rsidRPr="0074245B">
              <w:t>The gas water heater requirements mimic the new provisions for boilers used for air conditioning in J5.9.</w:t>
            </w:r>
          </w:p>
        </w:tc>
      </w:tr>
      <w:tr w:rsidR="00612FD3" w:rsidRPr="0074245B" w:rsidTr="005A3FCF">
        <w:tc>
          <w:tcPr>
            <w:tcW w:w="2107" w:type="dxa"/>
            <w:tcBorders>
              <w:top w:val="single" w:sz="8" w:space="0" w:color="FFFFFF" w:themeColor="background1"/>
              <w:bottom w:val="single" w:sz="6" w:space="0" w:color="6F6652"/>
            </w:tcBorders>
            <w:shd w:val="clear" w:color="auto" w:fill="E9E8E5" w:themeFill="background2"/>
            <w:hideMark/>
          </w:tcPr>
          <w:p w:rsidR="00612FD3" w:rsidRPr="008D248A" w:rsidRDefault="00612FD3" w:rsidP="00301B6D">
            <w:pPr>
              <w:pStyle w:val="TableTextEntries"/>
            </w:pPr>
            <w:r w:rsidRPr="0074245B">
              <w:t>Facilities for energy monitoring</w:t>
            </w:r>
            <w:r w:rsidRPr="0074245B">
              <w:br/>
              <w:t>(J8.3)</w:t>
            </w:r>
          </w:p>
        </w:tc>
        <w:tc>
          <w:tcPr>
            <w:tcW w:w="2569" w:type="dxa"/>
            <w:tcBorders>
              <w:top w:val="single" w:sz="8" w:space="0" w:color="FFFFFF" w:themeColor="background1"/>
              <w:bottom w:val="single" w:sz="6" w:space="0" w:color="6F6652"/>
            </w:tcBorders>
            <w:shd w:val="clear" w:color="auto" w:fill="E9E8E5" w:themeFill="background2"/>
            <w:hideMark/>
          </w:tcPr>
          <w:p w:rsidR="00612FD3" w:rsidRPr="008D248A" w:rsidRDefault="00612FD3" w:rsidP="00301B6D">
            <w:pPr>
              <w:pStyle w:val="TableTextEntries"/>
            </w:pPr>
            <w:r w:rsidRPr="0074245B">
              <w:t>Improvements made to the existing provisions for energy monitoring.</w:t>
            </w:r>
            <w:r w:rsidRPr="0074245B" w:rsidDel="00E76966">
              <w:t xml:space="preserve"> </w:t>
            </w:r>
          </w:p>
        </w:tc>
        <w:tc>
          <w:tcPr>
            <w:tcW w:w="3829" w:type="dxa"/>
            <w:tcBorders>
              <w:top w:val="single" w:sz="8" w:space="0" w:color="FFFFFF" w:themeColor="background1"/>
              <w:bottom w:val="single" w:sz="6" w:space="0" w:color="6F6652"/>
            </w:tcBorders>
            <w:shd w:val="clear" w:color="auto" w:fill="E9E8E5" w:themeFill="background2"/>
            <w:hideMark/>
          </w:tcPr>
          <w:p w:rsidR="00612FD3" w:rsidRPr="008D248A" w:rsidRDefault="00612FD3" w:rsidP="00301B6D">
            <w:pPr>
              <w:pStyle w:val="TableTextEntries"/>
            </w:pPr>
            <w:r w:rsidRPr="0074245B">
              <w:t>These changes are intended to ensure that energy monitoring is installed that can provide useful data to facilities managers about the performance of a building.</w:t>
            </w:r>
          </w:p>
        </w:tc>
      </w:tr>
      <w:tr w:rsidR="00612FD3" w:rsidRPr="0074245B" w:rsidTr="005A3FCF">
        <w:tc>
          <w:tcPr>
            <w:tcW w:w="2107" w:type="dxa"/>
            <w:tcBorders>
              <w:top w:val="single" w:sz="8" w:space="0" w:color="FFFFFF" w:themeColor="background1"/>
              <w:bottom w:val="single" w:sz="6" w:space="0" w:color="6F6652"/>
            </w:tcBorders>
            <w:shd w:val="clear" w:color="auto" w:fill="E9E8E5" w:themeFill="background2"/>
            <w:hideMark/>
          </w:tcPr>
          <w:p w:rsidR="00612FD3" w:rsidRPr="0074245B" w:rsidRDefault="00612FD3" w:rsidP="00301B6D">
            <w:pPr>
              <w:pStyle w:val="TableTextEntries"/>
            </w:pPr>
            <w:r>
              <w:t>Material properties</w:t>
            </w:r>
            <w:r>
              <w:br/>
              <w:t>(Specification J1.2a)</w:t>
            </w:r>
          </w:p>
        </w:tc>
        <w:tc>
          <w:tcPr>
            <w:tcW w:w="2569" w:type="dxa"/>
            <w:tcBorders>
              <w:top w:val="single" w:sz="8" w:space="0" w:color="FFFFFF" w:themeColor="background1"/>
              <w:bottom w:val="single" w:sz="6" w:space="0" w:color="6F6652"/>
            </w:tcBorders>
            <w:shd w:val="clear" w:color="auto" w:fill="E9E8E5" w:themeFill="background2"/>
            <w:hideMark/>
          </w:tcPr>
          <w:p w:rsidR="00612FD3" w:rsidRPr="0074245B" w:rsidRDefault="00612FD3" w:rsidP="00301B6D">
            <w:pPr>
              <w:pStyle w:val="TableTextEntries"/>
            </w:pPr>
            <w:r>
              <w:t>Tables reformatted.</w:t>
            </w:r>
          </w:p>
        </w:tc>
        <w:tc>
          <w:tcPr>
            <w:tcW w:w="3829" w:type="dxa"/>
            <w:tcBorders>
              <w:top w:val="single" w:sz="8" w:space="0" w:color="FFFFFF" w:themeColor="background1"/>
              <w:bottom w:val="single" w:sz="6" w:space="0" w:color="6F6652"/>
            </w:tcBorders>
            <w:shd w:val="clear" w:color="auto" w:fill="E9E8E5" w:themeFill="background2"/>
            <w:hideMark/>
          </w:tcPr>
          <w:p w:rsidR="00612FD3" w:rsidRPr="0074245B" w:rsidRDefault="00612FD3" w:rsidP="00301B6D">
            <w:pPr>
              <w:pStyle w:val="TableTextEntries"/>
            </w:pPr>
            <w:r>
              <w:t>This change has been made to improve readability.</w:t>
            </w:r>
          </w:p>
        </w:tc>
      </w:tr>
      <w:tr w:rsidR="00612FD3" w:rsidRPr="0074245B" w:rsidTr="00E372D7">
        <w:tc>
          <w:tcPr>
            <w:tcW w:w="2107" w:type="dxa"/>
            <w:tcBorders>
              <w:top w:val="single" w:sz="8" w:space="0" w:color="FFFFFF" w:themeColor="background1"/>
              <w:bottom w:val="single" w:sz="6" w:space="0" w:color="6F6652"/>
            </w:tcBorders>
            <w:shd w:val="clear" w:color="auto" w:fill="E9E8E5" w:themeFill="background2"/>
          </w:tcPr>
          <w:p w:rsidR="00612FD3" w:rsidRPr="008D248A" w:rsidRDefault="00612FD3" w:rsidP="00301B6D">
            <w:pPr>
              <w:pStyle w:val="TableTextEntries"/>
            </w:pPr>
          </w:p>
        </w:tc>
        <w:tc>
          <w:tcPr>
            <w:tcW w:w="2569" w:type="dxa"/>
            <w:tcBorders>
              <w:top w:val="single" w:sz="8" w:space="0" w:color="FFFFFF" w:themeColor="background1"/>
              <w:bottom w:val="single" w:sz="6" w:space="0" w:color="6F6652"/>
            </w:tcBorders>
            <w:shd w:val="clear" w:color="auto" w:fill="E9E8E5" w:themeFill="background2"/>
          </w:tcPr>
          <w:p w:rsidR="00612FD3" w:rsidRPr="008D248A" w:rsidRDefault="00612FD3" w:rsidP="00301B6D">
            <w:pPr>
              <w:pStyle w:val="TableTextEntries"/>
            </w:pPr>
          </w:p>
        </w:tc>
        <w:tc>
          <w:tcPr>
            <w:tcW w:w="3829" w:type="dxa"/>
            <w:tcBorders>
              <w:top w:val="single" w:sz="8" w:space="0" w:color="FFFFFF" w:themeColor="background1"/>
              <w:bottom w:val="single" w:sz="6" w:space="0" w:color="6F6652"/>
            </w:tcBorders>
            <w:shd w:val="clear" w:color="auto" w:fill="E9E8E5" w:themeFill="background2"/>
          </w:tcPr>
          <w:p w:rsidR="00612FD3" w:rsidRPr="008D248A" w:rsidRDefault="00612FD3" w:rsidP="00301B6D">
            <w:pPr>
              <w:pStyle w:val="TableTextEntries"/>
            </w:pPr>
          </w:p>
        </w:tc>
      </w:tr>
      <w:tr w:rsidR="00612FD3" w:rsidRPr="0074245B" w:rsidTr="005A3FCF">
        <w:tc>
          <w:tcPr>
            <w:tcW w:w="2107" w:type="dxa"/>
            <w:tcBorders>
              <w:top w:val="single" w:sz="8" w:space="0" w:color="FFFFFF" w:themeColor="background1"/>
              <w:bottom w:val="single" w:sz="6" w:space="0" w:color="6F6652"/>
            </w:tcBorders>
            <w:shd w:val="clear" w:color="auto" w:fill="E9E8E5" w:themeFill="background2"/>
            <w:hideMark/>
          </w:tcPr>
          <w:p w:rsidR="00612FD3" w:rsidRPr="008D248A" w:rsidRDefault="00612FD3" w:rsidP="00301B6D">
            <w:pPr>
              <w:pStyle w:val="TableTextEntries"/>
            </w:pPr>
            <w:r>
              <w:t>Spandrel panels</w:t>
            </w:r>
            <w:r>
              <w:br/>
              <w:t>(Specification J1.2d)</w:t>
            </w:r>
          </w:p>
        </w:tc>
        <w:tc>
          <w:tcPr>
            <w:tcW w:w="2569" w:type="dxa"/>
            <w:tcBorders>
              <w:top w:val="single" w:sz="8" w:space="0" w:color="FFFFFF" w:themeColor="background1"/>
              <w:bottom w:val="single" w:sz="6" w:space="0" w:color="6F6652"/>
            </w:tcBorders>
            <w:shd w:val="clear" w:color="auto" w:fill="E9E8E5" w:themeFill="background2"/>
            <w:hideMark/>
          </w:tcPr>
          <w:p w:rsidR="00612FD3" w:rsidRPr="008D248A" w:rsidRDefault="00612FD3" w:rsidP="00301B6D">
            <w:pPr>
              <w:pStyle w:val="TableTextEntries"/>
            </w:pPr>
            <w:r>
              <w:t>New specification inserted detailing how to determine the thermal performance of spandrel panels.</w:t>
            </w:r>
          </w:p>
        </w:tc>
        <w:tc>
          <w:tcPr>
            <w:tcW w:w="3829" w:type="dxa"/>
            <w:tcBorders>
              <w:top w:val="single" w:sz="8" w:space="0" w:color="FFFFFF" w:themeColor="background1"/>
              <w:bottom w:val="single" w:sz="6" w:space="0" w:color="6F6652"/>
            </w:tcBorders>
            <w:shd w:val="clear" w:color="auto" w:fill="E9E8E5" w:themeFill="background2"/>
            <w:hideMark/>
          </w:tcPr>
          <w:p w:rsidR="00612FD3" w:rsidRPr="008D248A" w:rsidRDefault="00612FD3" w:rsidP="00301B6D">
            <w:pPr>
              <w:pStyle w:val="TableTextEntries"/>
            </w:pPr>
            <w:r>
              <w:t>The specification takes into account the effects of the frame and panel construction.</w:t>
            </w:r>
          </w:p>
        </w:tc>
      </w:tr>
      <w:tr w:rsidR="00612FD3" w:rsidRPr="0074245B" w:rsidTr="005A3FCF">
        <w:tc>
          <w:tcPr>
            <w:tcW w:w="2107" w:type="dxa"/>
            <w:tcBorders>
              <w:top w:val="single" w:sz="8" w:space="0" w:color="FFFFFF" w:themeColor="background1"/>
              <w:bottom w:val="single" w:sz="6" w:space="0" w:color="6F6652"/>
            </w:tcBorders>
            <w:shd w:val="clear" w:color="auto" w:fill="E9E8E5" w:themeFill="background2"/>
            <w:hideMark/>
          </w:tcPr>
          <w:p w:rsidR="00612FD3" w:rsidRPr="008D248A" w:rsidRDefault="00612FD3" w:rsidP="00301B6D">
            <w:pPr>
              <w:pStyle w:val="TableTextEntries"/>
            </w:pPr>
            <w:r>
              <w:t>Roof, wall and floor construction</w:t>
            </w:r>
            <w:r>
              <w:br/>
              <w:t>(Specifications J1.3, J1.5 and J1.6)</w:t>
            </w:r>
          </w:p>
        </w:tc>
        <w:tc>
          <w:tcPr>
            <w:tcW w:w="2569" w:type="dxa"/>
            <w:tcBorders>
              <w:top w:val="single" w:sz="8" w:space="0" w:color="FFFFFF" w:themeColor="background1"/>
              <w:bottom w:val="single" w:sz="6" w:space="0" w:color="6F6652"/>
            </w:tcBorders>
            <w:shd w:val="clear" w:color="auto" w:fill="E9E8E5" w:themeFill="background2"/>
            <w:hideMark/>
          </w:tcPr>
          <w:p w:rsidR="00612FD3" w:rsidRPr="008D248A" w:rsidRDefault="00612FD3" w:rsidP="00301B6D">
            <w:pPr>
              <w:pStyle w:val="TableTextEntries"/>
            </w:pPr>
            <w:r>
              <w:t>Existing Specifications J1.3, J1.5 and J1.6 have been deleted.</w:t>
            </w:r>
          </w:p>
        </w:tc>
        <w:tc>
          <w:tcPr>
            <w:tcW w:w="3829" w:type="dxa"/>
            <w:tcBorders>
              <w:top w:val="single" w:sz="8" w:space="0" w:color="FFFFFF" w:themeColor="background1"/>
              <w:bottom w:val="single" w:sz="6" w:space="0" w:color="6F6652"/>
            </w:tcBorders>
            <w:shd w:val="clear" w:color="auto" w:fill="E9E8E5" w:themeFill="background2"/>
            <w:hideMark/>
          </w:tcPr>
          <w:p w:rsidR="00612FD3" w:rsidRDefault="00612FD3" w:rsidP="00301B6D">
            <w:pPr>
              <w:pStyle w:val="TableTextEntries"/>
            </w:pPr>
            <w:r>
              <w:t>This is a consequence of the changes to Part J1 and the general stringency increase of the new provisions.  Practitioners will be required to determine the Total R-Value of building elements on a case-by-case basis, taking into account thermal bridging.</w:t>
            </w:r>
          </w:p>
          <w:p w:rsidR="00612FD3" w:rsidRPr="008D248A" w:rsidRDefault="00612FD3" w:rsidP="00301B6D">
            <w:pPr>
              <w:pStyle w:val="TableTextEntries"/>
            </w:pPr>
            <w:r>
              <w:t>More appropriately, the content of these specifications may be incorporated into guidance documents.</w:t>
            </w:r>
          </w:p>
        </w:tc>
      </w:tr>
      <w:tr w:rsidR="00612FD3" w:rsidRPr="0074245B" w:rsidTr="005A3FCF">
        <w:tc>
          <w:tcPr>
            <w:tcW w:w="2107" w:type="dxa"/>
            <w:tcBorders>
              <w:top w:val="single" w:sz="8" w:space="0" w:color="FFFFFF" w:themeColor="background1"/>
              <w:bottom w:val="single" w:sz="6" w:space="0" w:color="6F6652"/>
            </w:tcBorders>
            <w:shd w:val="clear" w:color="auto" w:fill="E9E8E5" w:themeFill="background2"/>
            <w:hideMark/>
          </w:tcPr>
          <w:p w:rsidR="00612FD3" w:rsidRDefault="00612FD3" w:rsidP="00301B6D">
            <w:pPr>
              <w:pStyle w:val="TableTextEntries"/>
            </w:pPr>
            <w:r>
              <w:t>Lighting power control</w:t>
            </w:r>
            <w:r>
              <w:br/>
              <w:t>(Specification J6)</w:t>
            </w:r>
          </w:p>
        </w:tc>
        <w:tc>
          <w:tcPr>
            <w:tcW w:w="2569" w:type="dxa"/>
            <w:tcBorders>
              <w:top w:val="single" w:sz="8" w:space="0" w:color="FFFFFF" w:themeColor="background1"/>
              <w:bottom w:val="single" w:sz="6" w:space="0" w:color="6F6652"/>
            </w:tcBorders>
            <w:shd w:val="clear" w:color="auto" w:fill="E9E8E5" w:themeFill="background2"/>
            <w:hideMark/>
          </w:tcPr>
          <w:p w:rsidR="00612FD3" w:rsidRDefault="00612FD3" w:rsidP="00301B6D">
            <w:pPr>
              <w:pStyle w:val="TableTextEntries"/>
            </w:pPr>
            <w:r>
              <w:t>Minor improvements made to the provisions for lighting timers, time switches and motion detectors.</w:t>
            </w:r>
          </w:p>
        </w:tc>
        <w:tc>
          <w:tcPr>
            <w:tcW w:w="3829" w:type="dxa"/>
            <w:tcBorders>
              <w:top w:val="single" w:sz="8" w:space="0" w:color="FFFFFF" w:themeColor="background1"/>
              <w:bottom w:val="single" w:sz="6" w:space="0" w:color="6F6652"/>
            </w:tcBorders>
            <w:shd w:val="clear" w:color="auto" w:fill="E9E8E5" w:themeFill="background2"/>
            <w:hideMark/>
          </w:tcPr>
          <w:p w:rsidR="00612FD3" w:rsidRDefault="00612FD3" w:rsidP="00301B6D">
            <w:pPr>
              <w:pStyle w:val="TableTextEntries"/>
            </w:pPr>
          </w:p>
        </w:tc>
      </w:tr>
    </w:tbl>
    <w:p w:rsidR="00612FD3" w:rsidRDefault="00612FD3" w:rsidP="00612FD3">
      <w:pPr>
        <w:pStyle w:val="Source"/>
      </w:pPr>
      <w:r>
        <w:t>Source: ABCB.</w:t>
      </w:r>
    </w:p>
    <w:p w:rsidR="00612FD3" w:rsidRDefault="00612FD3" w:rsidP="00612FD3">
      <w:pPr>
        <w:pStyle w:val="BodyText"/>
      </w:pPr>
    </w:p>
    <w:p w:rsidR="00612FD3" w:rsidRDefault="00612FD3" w:rsidP="00612FD3">
      <w:pPr>
        <w:pStyle w:val="Heading6"/>
        <w:numPr>
          <w:ilvl w:val="5"/>
          <w:numId w:val="5"/>
        </w:numPr>
      </w:pPr>
      <w:bookmarkStart w:id="4812" w:name="_Toc499847012"/>
      <w:bookmarkStart w:id="4813" w:name="_Toc505120608"/>
      <w:bookmarkStart w:id="4814" w:name="_Ref507442411"/>
      <w:bookmarkStart w:id="4815" w:name="_Toc507523765"/>
      <w:bookmarkStart w:id="4816" w:name="_Toc509220806"/>
      <w:bookmarkStart w:id="4817" w:name="_Ref525915431"/>
      <w:bookmarkStart w:id="4818" w:name="_Ref525916397"/>
      <w:bookmarkStart w:id="4819" w:name="_Toc529869871"/>
      <w:bookmarkStart w:id="4820" w:name="_Toc530748589"/>
      <w:r>
        <w:t>Summary of consultation</w:t>
      </w:r>
      <w:bookmarkEnd w:id="4812"/>
      <w:bookmarkEnd w:id="4813"/>
      <w:bookmarkEnd w:id="4814"/>
      <w:bookmarkEnd w:id="4815"/>
      <w:bookmarkEnd w:id="4816"/>
      <w:r w:rsidR="00242C46">
        <w:t xml:space="preserve"> submissions</w:t>
      </w:r>
      <w:bookmarkEnd w:id="4817"/>
      <w:bookmarkEnd w:id="4818"/>
      <w:bookmarkEnd w:id="4819"/>
      <w:bookmarkEnd w:id="4820"/>
    </w:p>
    <w:p w:rsidR="00242C46" w:rsidRDefault="00242C46" w:rsidP="00242C46">
      <w:pPr>
        <w:pStyle w:val="BodyText"/>
      </w:pPr>
      <w:r>
        <w:t>Questions were asked and feedbacks were sought in the Consultation RIS around the following issues:</w:t>
      </w:r>
    </w:p>
    <w:p w:rsidR="00242C46" w:rsidRDefault="00242C46" w:rsidP="00242C46">
      <w:pPr>
        <w:pStyle w:val="ListBullet"/>
      </w:pPr>
      <w:r>
        <w:t>Scope of market failures in the commercial building industry;</w:t>
      </w:r>
    </w:p>
    <w:p w:rsidR="00242C46" w:rsidRDefault="00242C46" w:rsidP="00242C46">
      <w:pPr>
        <w:pStyle w:val="ListBullet"/>
      </w:pPr>
      <w:r>
        <w:t>Roles of Section J of the NCC to correct the market failures;</w:t>
      </w:r>
    </w:p>
    <w:p w:rsidR="00242C46" w:rsidRDefault="00242C46" w:rsidP="00242C46">
      <w:pPr>
        <w:pStyle w:val="ListBullet"/>
      </w:pPr>
      <w:r>
        <w:t>Potential regulatory failures in the NCC’s current methodology and options to address the problem;</w:t>
      </w:r>
    </w:p>
    <w:p w:rsidR="00242C46" w:rsidRDefault="00242C46" w:rsidP="00242C46">
      <w:pPr>
        <w:pStyle w:val="ListBullet"/>
      </w:pPr>
      <w:r>
        <w:t>Other problems not considered by the Consultation RIS</w:t>
      </w:r>
    </w:p>
    <w:p w:rsidR="00242C46" w:rsidRDefault="00242C46" w:rsidP="00242C46">
      <w:pPr>
        <w:pStyle w:val="ListBullet"/>
      </w:pPr>
      <w:r>
        <w:t>Preferred option as regard to changing the provisions in Section J of the NCC</w:t>
      </w:r>
    </w:p>
    <w:p w:rsidR="00242C46" w:rsidRDefault="00242C46" w:rsidP="00242C46">
      <w:pPr>
        <w:pStyle w:val="ListBullet"/>
      </w:pPr>
      <w:r>
        <w:t>Existing average window-to-wall ratio (WWR) in new buildings</w:t>
      </w:r>
    </w:p>
    <w:p w:rsidR="00242C46" w:rsidRDefault="00242C46" w:rsidP="00242C46">
      <w:pPr>
        <w:pStyle w:val="ListBullet"/>
      </w:pPr>
      <w:r>
        <w:t>Likely responses of building designs to the proposed changes</w:t>
      </w:r>
    </w:p>
    <w:p w:rsidR="00242C46" w:rsidRDefault="00242C46" w:rsidP="00242C46">
      <w:pPr>
        <w:pStyle w:val="ListBullet"/>
      </w:pPr>
      <w:r>
        <w:t>Likely energy saving scenario in relation to modelled results and factors affecting the outcome</w:t>
      </w:r>
    </w:p>
    <w:p w:rsidR="00242C46" w:rsidRDefault="00242C46" w:rsidP="00242C46">
      <w:pPr>
        <w:pStyle w:val="ListBullet"/>
      </w:pPr>
      <w:r>
        <w:t>Role of SHGCxWWR and U-Value in determining energy consumption and construction cost</w:t>
      </w:r>
    </w:p>
    <w:p w:rsidR="00242C46" w:rsidRDefault="00242C46" w:rsidP="00242C46">
      <w:pPr>
        <w:pStyle w:val="ListBullet"/>
      </w:pPr>
      <w:r>
        <w:t>Awareness of the importance of SHGCxWWR by the Australian industry</w:t>
      </w:r>
    </w:p>
    <w:p w:rsidR="00242C46" w:rsidRDefault="00242C46" w:rsidP="00242C46">
      <w:pPr>
        <w:pStyle w:val="ListBullet"/>
      </w:pPr>
      <w:r>
        <w:t>Factors leading to lower energy consumption and lower construction cost</w:t>
      </w:r>
    </w:p>
    <w:p w:rsidR="00242C46" w:rsidRDefault="00242C46" w:rsidP="00242C46">
      <w:pPr>
        <w:pStyle w:val="ListBullet"/>
      </w:pPr>
      <w:r>
        <w:t>Other unintended impacts of increasing the stringency of the energy efficiency requirement on safety, amenity and accessibility</w:t>
      </w:r>
    </w:p>
    <w:p w:rsidR="00242C46" w:rsidRDefault="00242C46" w:rsidP="00242C46">
      <w:pPr>
        <w:pStyle w:val="BodyText"/>
      </w:pPr>
      <w:r>
        <w:t>There were 23 written submissions received from:</w:t>
      </w:r>
    </w:p>
    <w:p w:rsidR="00242C46" w:rsidRDefault="00242C46" w:rsidP="00242C46">
      <w:pPr>
        <w:pStyle w:val="ListBullet"/>
      </w:pPr>
      <w:bookmarkStart w:id="4821" w:name="OLE_LINK1"/>
      <w:r>
        <w:t>JMG Consulting and Building Approval</w:t>
      </w:r>
    </w:p>
    <w:p w:rsidR="00242C46" w:rsidRDefault="00242C46" w:rsidP="00242C46">
      <w:pPr>
        <w:pStyle w:val="ListBullet"/>
      </w:pPr>
      <w:r>
        <w:t>Frank Acitelli (Builder)</w:t>
      </w:r>
    </w:p>
    <w:p w:rsidR="00242C46" w:rsidRDefault="00242C46" w:rsidP="00242C46">
      <w:pPr>
        <w:pStyle w:val="ListBullet"/>
      </w:pPr>
      <w:r>
        <w:t>Benmax Group Pty Ltd</w:t>
      </w:r>
    </w:p>
    <w:p w:rsidR="00242C46" w:rsidRDefault="00242C46" w:rsidP="00242C46">
      <w:pPr>
        <w:pStyle w:val="ListBullet"/>
      </w:pPr>
      <w:r>
        <w:t>Real Project Solutions</w:t>
      </w:r>
    </w:p>
    <w:p w:rsidR="00242C46" w:rsidRDefault="00242C46" w:rsidP="00242C46">
      <w:pPr>
        <w:pStyle w:val="ListBullet"/>
      </w:pPr>
      <w:r>
        <w:t>the Australian Sustainable Build Environment Council (ASBEC) and ClimateWorks Australia</w:t>
      </w:r>
    </w:p>
    <w:p w:rsidR="00242C46" w:rsidRDefault="00242C46" w:rsidP="00242C46">
      <w:pPr>
        <w:pStyle w:val="ListBullet"/>
      </w:pPr>
      <w:r>
        <w:t>Bondor Group</w:t>
      </w:r>
    </w:p>
    <w:p w:rsidR="00242C46" w:rsidRDefault="00242C46" w:rsidP="00242C46">
      <w:pPr>
        <w:pStyle w:val="ListBullet"/>
      </w:pPr>
      <w:r>
        <w:t>City of Parramatta Council</w:t>
      </w:r>
    </w:p>
    <w:p w:rsidR="00242C46" w:rsidRDefault="00242C46" w:rsidP="00242C46">
      <w:pPr>
        <w:pStyle w:val="ListBullet"/>
      </w:pPr>
      <w:r>
        <w:t>Rheem Australia Pty Ltd</w:t>
      </w:r>
    </w:p>
    <w:p w:rsidR="00242C46" w:rsidRDefault="00242C46" w:rsidP="00242C46">
      <w:pPr>
        <w:pStyle w:val="ListBullet"/>
      </w:pPr>
      <w:r>
        <w:t>BlueScope</w:t>
      </w:r>
    </w:p>
    <w:p w:rsidR="00242C46" w:rsidRDefault="00242C46" w:rsidP="00242C46">
      <w:pPr>
        <w:pStyle w:val="ListBullet"/>
      </w:pPr>
      <w:r>
        <w:t>G. James Glass and Aluminium</w:t>
      </w:r>
    </w:p>
    <w:p w:rsidR="00242C46" w:rsidRDefault="00242C46" w:rsidP="00242C46">
      <w:pPr>
        <w:pStyle w:val="ListBullet"/>
      </w:pPr>
      <w:r>
        <w:t>Sustainability House (SUHO)</w:t>
      </w:r>
    </w:p>
    <w:p w:rsidR="00242C46" w:rsidRDefault="00242C46" w:rsidP="00242C46">
      <w:pPr>
        <w:pStyle w:val="ListBullet"/>
      </w:pPr>
      <w:r>
        <w:t>National Association of Steel-Framed Housing Inc.</w:t>
      </w:r>
    </w:p>
    <w:p w:rsidR="00242C46" w:rsidRDefault="00242C46" w:rsidP="00242C46">
      <w:pPr>
        <w:pStyle w:val="ListBullet"/>
      </w:pPr>
      <w:r>
        <w:t>Unions NSW</w:t>
      </w:r>
    </w:p>
    <w:p w:rsidR="00242C46" w:rsidRDefault="00242C46" w:rsidP="00242C46">
      <w:pPr>
        <w:pStyle w:val="ListBullet"/>
      </w:pPr>
      <w:r>
        <w:t>The Property Council of Australia (PCA)</w:t>
      </w:r>
    </w:p>
    <w:p w:rsidR="00242C46" w:rsidRDefault="00242C46" w:rsidP="00242C46">
      <w:pPr>
        <w:pStyle w:val="ListBullet"/>
      </w:pPr>
      <w:r>
        <w:t>Think Brick Australia, Concrete Masonry Association of Australia and Australian Roof Tile Association</w:t>
      </w:r>
    </w:p>
    <w:p w:rsidR="00242C46" w:rsidRDefault="00242C46" w:rsidP="00242C46">
      <w:pPr>
        <w:pStyle w:val="ListBullet"/>
      </w:pPr>
      <w:r>
        <w:t>the Green Building Council of Australia (GBCA)</w:t>
      </w:r>
    </w:p>
    <w:p w:rsidR="00242C46" w:rsidRDefault="00242C46" w:rsidP="00242C46">
      <w:pPr>
        <w:pStyle w:val="ListBullet"/>
      </w:pPr>
      <w:r>
        <w:t>The Australian Small Business and Family Enterprise Ombudsman</w:t>
      </w:r>
    </w:p>
    <w:p w:rsidR="00242C46" w:rsidRDefault="00242C46" w:rsidP="00242C46">
      <w:pPr>
        <w:pStyle w:val="ListBullet"/>
      </w:pPr>
      <w:r>
        <w:t>Anderson Energy Efficiency</w:t>
      </w:r>
    </w:p>
    <w:p w:rsidR="00242C46" w:rsidRDefault="00242C46" w:rsidP="00242C46">
      <w:pPr>
        <w:pStyle w:val="ListBullet"/>
      </w:pPr>
      <w:r>
        <w:t>the Housing Industry Association (HIA)</w:t>
      </w:r>
    </w:p>
    <w:p w:rsidR="00242C46" w:rsidRDefault="00242C46" w:rsidP="00242C46">
      <w:pPr>
        <w:pStyle w:val="ListBullet"/>
      </w:pPr>
      <w:r>
        <w:t>NSW Building Administration at the Department of Planning and Environment</w:t>
      </w:r>
    </w:p>
    <w:p w:rsidR="00242C46" w:rsidRDefault="00242C46" w:rsidP="00242C46">
      <w:pPr>
        <w:pStyle w:val="ListBullet"/>
      </w:pPr>
      <w:r>
        <w:t>Master Builders Australia (MBA)</w:t>
      </w:r>
    </w:p>
    <w:p w:rsidR="00242C46" w:rsidRDefault="00242C46" w:rsidP="00242C46">
      <w:pPr>
        <w:pStyle w:val="ListBullet"/>
      </w:pPr>
      <w:r>
        <w:t>Environment Victoria</w:t>
      </w:r>
    </w:p>
    <w:p w:rsidR="00242C46" w:rsidRDefault="00242C46" w:rsidP="00242C46">
      <w:pPr>
        <w:pStyle w:val="ListBullet"/>
      </w:pPr>
      <w:r>
        <w:t>the Australian Government Department of the Environment and Energy</w:t>
      </w:r>
    </w:p>
    <w:bookmarkEnd w:id="4821"/>
    <w:p w:rsidR="00242C46" w:rsidRDefault="00242C46" w:rsidP="00242C46">
      <w:pPr>
        <w:pStyle w:val="BodyText"/>
      </w:pPr>
      <w:r>
        <w:t>This appendix provides a summary of consultation submissions structured around each of the questions.</w:t>
      </w:r>
    </w:p>
    <w:p w:rsidR="00242C46" w:rsidRDefault="00242C46" w:rsidP="00242C46">
      <w:pPr>
        <w:pStyle w:val="Heading7"/>
        <w:numPr>
          <w:ilvl w:val="6"/>
          <w:numId w:val="5"/>
        </w:numPr>
        <w:rPr>
          <w:lang w:eastAsia="en-US" w:bidi="fa-IR"/>
        </w:rPr>
      </w:pPr>
      <w:bookmarkStart w:id="4822" w:name="_Toc525715639"/>
      <w:r>
        <w:rPr>
          <w:lang w:eastAsia="en-US" w:bidi="fa-IR"/>
        </w:rPr>
        <w:t>Scope of market failure in the commercial building sector</w:t>
      </w:r>
      <w:bookmarkEnd w:id="4822"/>
    </w:p>
    <w:p w:rsidR="00242C46" w:rsidRDefault="00242C46" w:rsidP="00242C46">
      <w:pPr>
        <w:pStyle w:val="BodyText"/>
      </w:pPr>
      <w:r>
        <w:t>Submissions in general agree there are market failures in the commercial building sector.</w:t>
      </w:r>
    </w:p>
    <w:p w:rsidR="00242C46" w:rsidRDefault="00242C46" w:rsidP="00242C46">
      <w:pPr>
        <w:pStyle w:val="BodyText"/>
      </w:pPr>
      <w:r w:rsidRPr="003E7824">
        <w:t>Many made observations regarding the different markets that exist within the commercial buildings market and reinforced early consultations. Ownership is though</w:t>
      </w:r>
      <w:r>
        <w:t>t</w:t>
      </w:r>
      <w:r w:rsidRPr="003E7824">
        <w:t xml:space="preserve"> to be fragmented and client, builder, designer relationships entrenched and likely to be challenged by the need to change behaviour or inadvertent non-compliance and redesign costs are likely to be incurred. </w:t>
      </w:r>
    </w:p>
    <w:p w:rsidR="00242C46" w:rsidRDefault="00242C46" w:rsidP="00242C46">
      <w:pPr>
        <w:pStyle w:val="BodyText"/>
      </w:pPr>
      <w:r>
        <w:t>Several industry stakeholders (ASBEC, ClimateWorks, PCA, GBCA) provided co-ordinated submissions that pointed to some additional barriers to improved energy efficiency in commercial buildings. These submissions note that some energy efficiency technologies may not yet to commercially attractive (relative to less energy efficient alternatives) and offer a low return on investment (relative to alternative potential projects).</w:t>
      </w:r>
    </w:p>
    <w:p w:rsidR="00242C46" w:rsidRDefault="00242C46" w:rsidP="00242C46">
      <w:pPr>
        <w:pStyle w:val="BodyText"/>
      </w:pPr>
      <w:r>
        <w:t>The co-ordinated submissions argued that the presence of market failures are well-accepted both in Australia and internationally. These submissions contended that it is therefore unnecessary to re-establish the presence of these market failures for each regulatory intervention.</w:t>
      </w:r>
    </w:p>
    <w:p w:rsidR="00242C46" w:rsidRDefault="00242C46" w:rsidP="00242C46">
      <w:pPr>
        <w:pStyle w:val="BodyText"/>
      </w:pPr>
      <w:r w:rsidRPr="003E7824">
        <w:t>Benmax Group suggests on individual buildings struggle to comply due to a lack of appreciation on Section J requirements and leads to the need for modelling, alternatively gaming is a risk. Some scepticism over achieved outcomes. A theme of a</w:t>
      </w:r>
      <w:r>
        <w:t>n</w:t>
      </w:r>
      <w:r w:rsidRPr="003E7824">
        <w:t xml:space="preserve"> entrenched system and disparate ownership with an industry with low levels of awareness and understanding is reflected in ASBEC, GBCA and PCA submissions</w:t>
      </w:r>
      <w:r>
        <w:t>.</w:t>
      </w:r>
    </w:p>
    <w:p w:rsidR="00242C46" w:rsidRDefault="00242C46" w:rsidP="00242C46">
      <w:pPr>
        <w:pStyle w:val="BodyText"/>
      </w:pPr>
      <w:r w:rsidRPr="003E7824">
        <w:t>NASH suggests that the industry is highly disparate with larger buildings and owners by virtue of resources, need or ability to compete will seek higher energy efficiency and therefore a non-regulatory approach would suit. However the majority of the market was building to low cost and low specification, even where better outcomes could be achieved in practice. This view is shared by Dr Clyde Anderson</w:t>
      </w:r>
      <w:r>
        <w:t xml:space="preserve"> of Andersen Energy Efficiency</w:t>
      </w:r>
      <w:r w:rsidRPr="003E7824">
        <w:t>. ASBEC and its mirror submissions (PCA and GBCA) note similar issues as supply chain issues that result from poor compliance culture and workmanship issues and fragmentation of ownership that increases transaction costs. Broadly impediments rather than market failures are grouped under Capability, Attractiveness and Motivation which are then examined in more detai</w:t>
      </w:r>
      <w:r>
        <w:t>l. The submission cites ASBEC’s report</w:t>
      </w:r>
      <w:r w:rsidRPr="003E7824">
        <w:t xml:space="preserve"> </w:t>
      </w:r>
      <w:r w:rsidRPr="00667841">
        <w:rPr>
          <w:i/>
        </w:rPr>
        <w:t>Low Carbon High Performance</w:t>
      </w:r>
      <w:r w:rsidRPr="003E7824">
        <w:t xml:space="preserve"> </w:t>
      </w:r>
      <w:r>
        <w:t>authored by Climate</w:t>
      </w:r>
      <w:r w:rsidRPr="003E7824">
        <w:t>Works which suggested failures arise primarily from regulatory uncertainty and under estimation of benefits (from discount rates).</w:t>
      </w:r>
    </w:p>
    <w:p w:rsidR="00242C46" w:rsidRDefault="00242C46" w:rsidP="00242C46">
      <w:pPr>
        <w:pStyle w:val="BodyText"/>
      </w:pPr>
      <w:r w:rsidRPr="003E7824">
        <w:t xml:space="preserve">The Australian Government's </w:t>
      </w:r>
      <w:r>
        <w:t>S</w:t>
      </w:r>
      <w:r w:rsidRPr="003E7824">
        <w:t xml:space="preserve">mall </w:t>
      </w:r>
      <w:r>
        <w:t>B</w:t>
      </w:r>
      <w:r w:rsidRPr="003E7824">
        <w:t>usiness</w:t>
      </w:r>
      <w:r>
        <w:t xml:space="preserve"> and Family Enterprise</w:t>
      </w:r>
      <w:r w:rsidRPr="003E7824">
        <w:t xml:space="preserve"> Ombudsman noted that lessees and tenants have little control over their circumstances.</w:t>
      </w:r>
    </w:p>
    <w:p w:rsidR="00242C46" w:rsidRPr="002F7850" w:rsidRDefault="00242C46" w:rsidP="00242C46">
      <w:pPr>
        <w:pStyle w:val="BodyText"/>
      </w:pPr>
      <w:r w:rsidRPr="003E7824">
        <w:t xml:space="preserve">Exception to this view </w:t>
      </w:r>
      <w:r>
        <w:t>is the MBA, who disagrees</w:t>
      </w:r>
      <w:r w:rsidRPr="003E7824">
        <w:t xml:space="preserve"> th</w:t>
      </w:r>
      <w:r>
        <w:t>at the energy efficiency gap is</w:t>
      </w:r>
      <w:r w:rsidRPr="003E7824">
        <w:t xml:space="preserve"> driven by a mar</w:t>
      </w:r>
      <w:r>
        <w:t>ket failure, rather it reflects</w:t>
      </w:r>
      <w:r w:rsidRPr="003E7824">
        <w:t xml:space="preserve"> rational decisions and any gap </w:t>
      </w:r>
      <w:r>
        <w:t>i</w:t>
      </w:r>
      <w:r w:rsidRPr="003E7824">
        <w:t>s the difference between the demand for such features in the market and policy settings.  G.</w:t>
      </w:r>
      <w:r>
        <w:t> </w:t>
      </w:r>
      <w:r w:rsidRPr="003E7824">
        <w:t xml:space="preserve">James </w:t>
      </w:r>
      <w:r>
        <w:t>G</w:t>
      </w:r>
      <w:r w:rsidRPr="003E7824">
        <w:t xml:space="preserve">lass </w:t>
      </w:r>
      <w:r>
        <w:t xml:space="preserve">and Aluminium </w:t>
      </w:r>
      <w:r w:rsidRPr="003E7824">
        <w:t xml:space="preserve">argues narrower position than other submissions that there are many buildings that adopt world class </w:t>
      </w:r>
      <w:r>
        <w:t xml:space="preserve">façades </w:t>
      </w:r>
      <w:r w:rsidRPr="003E7824">
        <w:t xml:space="preserve">and therefore market failure in general is weak. However, it is contended that much of the glazing industry rely on </w:t>
      </w:r>
      <w:r w:rsidR="00E6622A" w:rsidRPr="003E7824">
        <w:t>self-regulation</w:t>
      </w:r>
      <w:r w:rsidRPr="003E7824">
        <w:t xml:space="preserve"> which is a problem of disclosure.</w:t>
      </w:r>
    </w:p>
    <w:p w:rsidR="00242C46" w:rsidRDefault="00242C46" w:rsidP="00242C46">
      <w:pPr>
        <w:pStyle w:val="Heading7"/>
        <w:numPr>
          <w:ilvl w:val="6"/>
          <w:numId w:val="5"/>
        </w:numPr>
        <w:rPr>
          <w:lang w:eastAsia="en-US" w:bidi="fa-IR"/>
        </w:rPr>
      </w:pPr>
      <w:bookmarkStart w:id="4823" w:name="_Toc525715640"/>
      <w:r>
        <w:rPr>
          <w:lang w:eastAsia="en-US" w:bidi="fa-IR"/>
        </w:rPr>
        <w:t>Role of Section J of the NCC to correct the market failures and any other feasible options to address them</w:t>
      </w:r>
      <w:bookmarkEnd w:id="4823"/>
    </w:p>
    <w:p w:rsidR="00242C46" w:rsidRDefault="00242C46" w:rsidP="00242C46">
      <w:pPr>
        <w:pStyle w:val="BodyText"/>
        <w:rPr>
          <w:lang w:eastAsia="en-US" w:bidi="fa-IR"/>
        </w:rPr>
      </w:pPr>
      <w:r>
        <w:rPr>
          <w:lang w:eastAsia="en-US" w:bidi="fa-IR"/>
        </w:rPr>
        <w:t>Eight of the submissions including ASBEC, GBCA, PCA, NSW Building Administration, Real Project Solutions, Sustainability House, G. James, explicitly support Section J of the NCC a means of addressing the identified market failures.</w:t>
      </w:r>
    </w:p>
    <w:p w:rsidR="00242C46" w:rsidRDefault="00242C46" w:rsidP="00242C46">
      <w:pPr>
        <w:pStyle w:val="BodyText"/>
        <w:rPr>
          <w:lang w:eastAsia="en-US" w:bidi="fa-IR"/>
        </w:rPr>
      </w:pPr>
      <w:r>
        <w:rPr>
          <w:lang w:eastAsia="en-US" w:bidi="fa-IR"/>
        </w:rPr>
        <w:t>Many such as ASBEC, GBCA and PCA note that Section J shares its role with a number of complimentary instruments such as the Commercial Building Disclosure programme run by DEE and most agree it can work to address split incentives. However many note the absence of broader energy efficiency trajectories and higher level policies.</w:t>
      </w:r>
    </w:p>
    <w:p w:rsidR="00242C46" w:rsidRDefault="00242C46" w:rsidP="00242C46">
      <w:pPr>
        <w:pStyle w:val="BodyText"/>
        <w:rPr>
          <w:lang w:eastAsia="en-US" w:bidi="fa-IR"/>
        </w:rPr>
      </w:pPr>
      <w:r>
        <w:rPr>
          <w:lang w:eastAsia="en-US" w:bidi="fa-IR"/>
        </w:rPr>
        <w:t>ASBEC’s proposition is the NCC is essential as a broader objective to correct motivation failures, split incentives and information asymmetry.</w:t>
      </w:r>
    </w:p>
    <w:p w:rsidR="00242C46" w:rsidRDefault="00242C46" w:rsidP="00242C46">
      <w:pPr>
        <w:pStyle w:val="BodyText"/>
        <w:rPr>
          <w:lang w:eastAsia="en-US" w:bidi="fa-IR"/>
        </w:rPr>
      </w:pPr>
      <w:r>
        <w:rPr>
          <w:lang w:eastAsia="en-US" w:bidi="fa-IR"/>
        </w:rPr>
        <w:t>The capacity of industry seems an issue. NASH suggests the NCC is too complex and open to gaming and has led to an over reliance on consultants. However it is not a criticism of the NCC’s role in building standards, rather its proposed approach particularly for smaller projects.</w:t>
      </w:r>
    </w:p>
    <w:p w:rsidR="00242C46" w:rsidRDefault="00242C46" w:rsidP="00242C46">
      <w:pPr>
        <w:pStyle w:val="BodyText"/>
        <w:rPr>
          <w:lang w:eastAsia="en-US" w:bidi="fa-IR"/>
        </w:rPr>
      </w:pPr>
      <w:r>
        <w:rPr>
          <w:lang w:eastAsia="en-US" w:bidi="fa-IR"/>
        </w:rPr>
        <w:t xml:space="preserve">Others such as Benmax Group argue current practice of using the DTS drives poor outcomes – mandatory energy modelling upfront would encourage a change to the hierarchical nature of design importance which suggests gaming not intentional but unavoidable when seeking compliance. </w:t>
      </w:r>
    </w:p>
    <w:p w:rsidR="00242C46" w:rsidRDefault="00242C46" w:rsidP="00242C46">
      <w:pPr>
        <w:pStyle w:val="BodyText"/>
        <w:rPr>
          <w:lang w:eastAsia="en-US" w:bidi="fa-IR"/>
        </w:rPr>
      </w:pPr>
      <w:r>
        <w:rPr>
          <w:lang w:eastAsia="en-US" w:bidi="fa-IR"/>
        </w:rPr>
        <w:t>JMG suggests it might be effective only for designing, but not for the complete work as it is very hard to check all aspects of energy efficiency.</w:t>
      </w:r>
    </w:p>
    <w:p w:rsidR="00242C46" w:rsidRDefault="00242C46" w:rsidP="00242C46">
      <w:pPr>
        <w:pStyle w:val="BodyText"/>
        <w:rPr>
          <w:lang w:eastAsia="en-US" w:bidi="fa-IR"/>
        </w:rPr>
      </w:pPr>
      <w:r>
        <w:rPr>
          <w:lang w:eastAsia="en-US" w:bidi="fa-IR"/>
        </w:rPr>
        <w:t>Think Brick Australia acknowledges separating heating and cooling loads is a good approach, however it has reservation over the reference of NZS 4214 which complicates the process of determining R-Value.</w:t>
      </w:r>
    </w:p>
    <w:p w:rsidR="00242C46" w:rsidRDefault="00242C46" w:rsidP="00242C46">
      <w:pPr>
        <w:pStyle w:val="Heading7"/>
        <w:numPr>
          <w:ilvl w:val="6"/>
          <w:numId w:val="5"/>
        </w:numPr>
        <w:rPr>
          <w:lang w:eastAsia="en-US" w:bidi="fa-IR"/>
        </w:rPr>
      </w:pPr>
      <w:bookmarkStart w:id="4824" w:name="_Toc525715641"/>
      <w:r>
        <w:rPr>
          <w:lang w:eastAsia="en-US" w:bidi="fa-IR"/>
        </w:rPr>
        <w:t>Regulatory failures in the NCC’s current methodology</w:t>
      </w:r>
      <w:bookmarkEnd w:id="4824"/>
    </w:p>
    <w:p w:rsidR="00242C46" w:rsidRDefault="00242C46" w:rsidP="00242C46">
      <w:pPr>
        <w:pStyle w:val="BodyText"/>
        <w:rPr>
          <w:lang w:eastAsia="en-US" w:bidi="fa-IR"/>
        </w:rPr>
      </w:pPr>
      <w:r>
        <w:rPr>
          <w:lang w:eastAsia="en-US" w:bidi="fa-IR"/>
        </w:rPr>
        <w:t>It is suggested that there might be regulatory failures in the NCC’s current methodology, for example, an emphasis on window U-Value for certain types of buildings might be leading to higher energy use and construction cost. Stakeholders were asked if they agree this is a problem, and if so, how to address it.</w:t>
      </w:r>
    </w:p>
    <w:p w:rsidR="00242C46" w:rsidRDefault="00242C46" w:rsidP="00242C46">
      <w:pPr>
        <w:pStyle w:val="BodyText"/>
        <w:rPr>
          <w:lang w:eastAsia="en-US" w:bidi="fa-IR"/>
        </w:rPr>
      </w:pPr>
      <w:r>
        <w:rPr>
          <w:lang w:eastAsia="en-US" w:bidi="fa-IR"/>
        </w:rPr>
        <w:t xml:space="preserve">Most submissions agree there are regulatory failures. They include JMG, Benmax, Real Project Solutions, City of </w:t>
      </w:r>
      <w:r w:rsidR="00537C50">
        <w:rPr>
          <w:lang w:eastAsia="en-US" w:bidi="fa-IR"/>
        </w:rPr>
        <w:t>Parramatta</w:t>
      </w:r>
      <w:r>
        <w:rPr>
          <w:lang w:eastAsia="en-US" w:bidi="fa-IR"/>
        </w:rPr>
        <w:t xml:space="preserve"> Council, G. James, </w:t>
      </w:r>
      <w:r w:rsidR="00537C50">
        <w:rPr>
          <w:lang w:eastAsia="en-US" w:bidi="fa-IR"/>
        </w:rPr>
        <w:t>Sustainability House, NASH, PCA and</w:t>
      </w:r>
      <w:r>
        <w:rPr>
          <w:lang w:eastAsia="en-US" w:bidi="fa-IR"/>
        </w:rPr>
        <w:t xml:space="preserve"> Think Brick.</w:t>
      </w:r>
    </w:p>
    <w:p w:rsidR="00242C46" w:rsidRDefault="00242C46" w:rsidP="00242C46">
      <w:pPr>
        <w:pStyle w:val="BodyText"/>
        <w:rPr>
          <w:lang w:eastAsia="en-US" w:bidi="fa-IR"/>
        </w:rPr>
      </w:pPr>
      <w:r>
        <w:rPr>
          <w:lang w:eastAsia="en-US" w:bidi="fa-IR"/>
        </w:rPr>
        <w:t>JMG agrees there are regulatory failures and contemplates if the trades certificates must be controlled.</w:t>
      </w:r>
    </w:p>
    <w:p w:rsidR="00242C46" w:rsidRDefault="00242C46" w:rsidP="00242C46">
      <w:pPr>
        <w:pStyle w:val="BodyText"/>
        <w:rPr>
          <w:lang w:eastAsia="en-US" w:bidi="fa-IR"/>
        </w:rPr>
      </w:pPr>
      <w:r>
        <w:rPr>
          <w:lang w:eastAsia="en-US" w:bidi="fa-IR"/>
        </w:rPr>
        <w:t>Benmax Group agrees there is a problem. The glazing calculator produces different U-Value and SHGCs to suit the different aspects of each façade of the building. For most buildings, however, the builder will want to standardise on the glass types and as such the highest performing glass requirement often becomes the benchmark.</w:t>
      </w:r>
    </w:p>
    <w:p w:rsidR="00242C46" w:rsidRDefault="00242C46" w:rsidP="00242C46">
      <w:pPr>
        <w:pStyle w:val="BodyText"/>
        <w:rPr>
          <w:lang w:eastAsia="en-US" w:bidi="fa-IR"/>
        </w:rPr>
      </w:pPr>
      <w:r>
        <w:rPr>
          <w:lang w:eastAsia="en-US" w:bidi="fa-IR"/>
        </w:rPr>
        <w:t xml:space="preserve">City of </w:t>
      </w:r>
      <w:r w:rsidR="00537C50">
        <w:rPr>
          <w:lang w:eastAsia="en-US" w:bidi="fa-IR"/>
        </w:rPr>
        <w:t>Parramatta</w:t>
      </w:r>
      <w:r>
        <w:rPr>
          <w:lang w:eastAsia="en-US" w:bidi="fa-IR"/>
        </w:rPr>
        <w:t xml:space="preserve"> Council argues that it has been consistently identified as a problem in cooling dominated climates as heat is trapped inside the space, increasing cooling loads and as a result, increasing energy consumption and greenhouse gas emissions.</w:t>
      </w:r>
    </w:p>
    <w:p w:rsidR="00242C46" w:rsidRDefault="00242C46" w:rsidP="00242C46">
      <w:pPr>
        <w:pStyle w:val="BodyText"/>
        <w:rPr>
          <w:lang w:eastAsia="en-US" w:bidi="fa-IR"/>
        </w:rPr>
      </w:pPr>
      <w:r>
        <w:rPr>
          <w:lang w:eastAsia="en-US" w:bidi="fa-IR"/>
        </w:rPr>
        <w:t>BlueScope does not comment specifically on this issue. Rather it points to another one – the lack of inclusion of curtains within buildings, especially in overnight occupied buildings. It is also suggested to separate the impact of improved methodology from an increase in stringency.</w:t>
      </w:r>
    </w:p>
    <w:p w:rsidR="00242C46" w:rsidRDefault="00242C46" w:rsidP="00242C46">
      <w:pPr>
        <w:pStyle w:val="BodyText"/>
      </w:pPr>
      <w:r>
        <w:rPr>
          <w:lang w:eastAsia="en-US" w:bidi="fa-IR"/>
        </w:rPr>
        <w:t xml:space="preserve">G. James </w:t>
      </w:r>
      <w:r w:rsidRPr="003E7824">
        <w:t>accept</w:t>
      </w:r>
      <w:r>
        <w:t>s</w:t>
      </w:r>
      <w:r w:rsidRPr="003E7824">
        <w:t xml:space="preserve"> that U-</w:t>
      </w:r>
      <w:r>
        <w:t>V</w:t>
      </w:r>
      <w:r w:rsidRPr="003E7824">
        <w:t xml:space="preserve">alue </w:t>
      </w:r>
      <w:r>
        <w:t>i</w:t>
      </w:r>
      <w:r w:rsidRPr="003E7824">
        <w:t>s a problem and suggest</w:t>
      </w:r>
      <w:r>
        <w:t>s</w:t>
      </w:r>
      <w:r w:rsidRPr="003E7824">
        <w:t xml:space="preserve"> alternatively the NCC should allow </w:t>
      </w:r>
      <w:r>
        <w:t xml:space="preserve">a tolerance rather than the current less </w:t>
      </w:r>
      <w:r w:rsidRPr="003E7824">
        <w:t xml:space="preserve">or </w:t>
      </w:r>
      <w:r>
        <w:t>equal</w:t>
      </w:r>
      <w:r w:rsidRPr="003E7824">
        <w:t xml:space="preserve"> requirement. It also highlights a problem in the code which allows gaming. </w:t>
      </w:r>
      <w:r>
        <w:t>It a</w:t>
      </w:r>
      <w:r w:rsidRPr="003E7824">
        <w:t xml:space="preserve">rgues </w:t>
      </w:r>
      <w:r>
        <w:t>‘</w:t>
      </w:r>
      <w:r w:rsidRPr="003E7824">
        <w:t>over stringency</w:t>
      </w:r>
      <w:r>
        <w:t>’</w:t>
      </w:r>
      <w:r w:rsidRPr="003E7824">
        <w:t xml:space="preserve"> and some scepticism that the case studies validated results </w:t>
      </w:r>
      <w:r>
        <w:t>are</w:t>
      </w:r>
      <w:r w:rsidRPr="003E7824">
        <w:t xml:space="preserve"> achievable. </w:t>
      </w:r>
    </w:p>
    <w:p w:rsidR="00242C46" w:rsidRDefault="00242C46" w:rsidP="00242C46">
      <w:pPr>
        <w:pStyle w:val="BodyText"/>
      </w:pPr>
      <w:r>
        <w:t>Sustainability House (SUHO) points to some problems with the current proposed changes:</w:t>
      </w:r>
    </w:p>
    <w:p w:rsidR="00242C46" w:rsidRDefault="00242C46" w:rsidP="00242C46">
      <w:pPr>
        <w:pStyle w:val="ListBullet"/>
      </w:pPr>
      <w:r>
        <w:t>Wall-glazing: Calculating glazing requirements is still complex and prone to errors especially for larger buildings with high number of window size and window shading varieties. Its own modelling clearly indicates there is little performance difference between a wall with R2 or R4, contradicting the glazing worked example where an increase in insulation to the wall can be used as a trade-off to reduce the U-Value requirement of the glazing proposed by the new methodology.</w:t>
      </w:r>
    </w:p>
    <w:p w:rsidR="00242C46" w:rsidRDefault="00242C46" w:rsidP="00242C46">
      <w:pPr>
        <w:pStyle w:val="ListBullet"/>
      </w:pPr>
      <w:r>
        <w:t>Floors: In most Australian climates the stability of the earth temperature makes the ground a useful heat source in winter and heat sink in summer. SUHO therefore disagrees with the premise, particularly for warmer and temperate climates that floor insulation (slab R-Value no less than R2) will make building more efficient.</w:t>
      </w:r>
    </w:p>
    <w:p w:rsidR="00242C46" w:rsidRDefault="00242C46" w:rsidP="00242C46">
      <w:pPr>
        <w:pStyle w:val="ListBullet"/>
      </w:pPr>
      <w:r>
        <w:t>New verification method, JV4 – Building envelope sealing: Air leakage or tightness testing is a performance text, primarily a post construction activity, and can’t be proved at the building permit application. This may mean extensive rework to achieve compliance of the building works.</w:t>
      </w:r>
    </w:p>
    <w:p w:rsidR="00242C46" w:rsidRDefault="00242C46" w:rsidP="00242C46">
      <w:pPr>
        <w:pStyle w:val="ListBullet"/>
      </w:pPr>
      <w:r>
        <w:t xml:space="preserve">Renewable/reclaimed energy: A solar PV array or other renewable or reclaimed energy supply can be used to offset requirements for an efficient building envelope. This goes against the original intent of the </w:t>
      </w:r>
      <w:r w:rsidR="00EB5964">
        <w:t xml:space="preserve">code </w:t>
      </w:r>
      <w:r>
        <w:t>that high performance building services should not be used to trade off against a poor performing thermal envelope.</w:t>
      </w:r>
    </w:p>
    <w:p w:rsidR="00242C46" w:rsidRDefault="00242C46" w:rsidP="00242C46">
      <w:pPr>
        <w:pStyle w:val="BodyText"/>
      </w:pPr>
      <w:r w:rsidRPr="003E7824">
        <w:t xml:space="preserve">Many respondents </w:t>
      </w:r>
      <w:r>
        <w:t>are</w:t>
      </w:r>
      <w:r w:rsidRPr="003E7824">
        <w:t xml:space="preserve"> of th</w:t>
      </w:r>
      <w:r>
        <w:t>e</w:t>
      </w:r>
      <w:r w:rsidRPr="003E7824">
        <w:t xml:space="preserve"> view that more information </w:t>
      </w:r>
      <w:r>
        <w:t xml:space="preserve">to </w:t>
      </w:r>
      <w:r w:rsidRPr="003E7824">
        <w:t>separate the change in stringency from the change in methodology would be necessary in order to be definitive with respect to the regulatory failure.</w:t>
      </w:r>
    </w:p>
    <w:p w:rsidR="00242C46" w:rsidRDefault="00242C46" w:rsidP="00242C46">
      <w:pPr>
        <w:pStyle w:val="BodyText"/>
      </w:pPr>
      <w:r w:rsidRPr="003E7824">
        <w:t>A few submission</w:t>
      </w:r>
      <w:r>
        <w:t>s</w:t>
      </w:r>
      <w:r w:rsidRPr="003E7824">
        <w:t xml:space="preserve"> (</w:t>
      </w:r>
      <w:r>
        <w:t xml:space="preserve">BlueScope, </w:t>
      </w:r>
      <w:r w:rsidRPr="003E7824">
        <w:t xml:space="preserve">NASH and </w:t>
      </w:r>
      <w:r>
        <w:t>PCA) raise</w:t>
      </w:r>
      <w:r w:rsidRPr="003E7824">
        <w:t xml:space="preserve"> the point of problems with the current methodology not allowing curtains to be used as a means of meeting the NCC Performance.</w:t>
      </w:r>
    </w:p>
    <w:p w:rsidR="00242C46" w:rsidRDefault="00242C46" w:rsidP="00242C46">
      <w:pPr>
        <w:pStyle w:val="BodyText"/>
      </w:pPr>
      <w:r>
        <w:t xml:space="preserve">PCA also notes a potential problem if the regulation dictates one size or option fits all. </w:t>
      </w:r>
      <w:r w:rsidRPr="003E7824">
        <w:t>It</w:t>
      </w:r>
      <w:r>
        <w:t xml:space="preserve"> </w:t>
      </w:r>
      <w:r w:rsidRPr="003E7824">
        <w:t>provides an example of buildings may prefer heating loads and shift the mix to gas initially as a result which is considered dirtier than electricity</w:t>
      </w:r>
      <w:r>
        <w:t xml:space="preserve"> in longer term as the grid progresses (with more renewables)</w:t>
      </w:r>
      <w:r w:rsidRPr="003E7824">
        <w:t>.</w:t>
      </w:r>
    </w:p>
    <w:p w:rsidR="00242C46" w:rsidRDefault="00242C46" w:rsidP="00242C46">
      <w:pPr>
        <w:pStyle w:val="BodyText"/>
      </w:pPr>
      <w:r>
        <w:t>Think Brick points to problems in the existing NCC methodology which does not considering the differ</w:t>
      </w:r>
      <w:r w:rsidR="00537C50">
        <w:t>ences</w:t>
      </w:r>
      <w:r>
        <w:t xml:space="preserve"> between heating and cooling, and not enough support from the NCC to encourage the use of thermal mass products. Anderson Energy Efficiency shares the same view on the use of thermal mass products.</w:t>
      </w:r>
    </w:p>
    <w:p w:rsidR="00242C46" w:rsidRDefault="00242C46" w:rsidP="00242C46">
      <w:pPr>
        <w:pStyle w:val="BodyText"/>
      </w:pPr>
      <w:r w:rsidRPr="003E7824">
        <w:t xml:space="preserve">Anderson Energy </w:t>
      </w:r>
      <w:r>
        <w:t>E</w:t>
      </w:r>
      <w:r w:rsidRPr="003E7824">
        <w:t>fficiency suggests an unintended consequence of the change may be that NCC</w:t>
      </w:r>
      <w:r>
        <w:t> </w:t>
      </w:r>
      <w:r w:rsidRPr="003E7824">
        <w:t xml:space="preserve">2019 buildings may experience easier compliance (through comparison to DTS as 80 percent of buildings they assessed reduced </w:t>
      </w:r>
      <w:r>
        <w:t xml:space="preserve">façade </w:t>
      </w:r>
      <w:r w:rsidRPr="003E7824">
        <w:t>conductance, would have higher calculated annual energy consumption) than NCC 2016 buildings</w:t>
      </w:r>
      <w:r>
        <w:t>,</w:t>
      </w:r>
      <w:r w:rsidRPr="003E7824">
        <w:t xml:space="preserve"> </w:t>
      </w:r>
      <w:r>
        <w:t>which</w:t>
      </w:r>
      <w:r w:rsidRPr="003E7824">
        <w:t xml:space="preserve"> would lead only to cleverer thermal modelling, not more sustainable buildings.</w:t>
      </w:r>
    </w:p>
    <w:p w:rsidR="00242C46" w:rsidRDefault="00242C46" w:rsidP="00242C46">
      <w:pPr>
        <w:pStyle w:val="BodyText"/>
      </w:pPr>
      <w:r w:rsidRPr="003E7824">
        <w:t xml:space="preserve">The NSW </w:t>
      </w:r>
      <w:r>
        <w:t xml:space="preserve">Building </w:t>
      </w:r>
      <w:r w:rsidRPr="003E7824">
        <w:t xml:space="preserve">Administration and </w:t>
      </w:r>
      <w:r>
        <w:t xml:space="preserve">MBA </w:t>
      </w:r>
      <w:r w:rsidRPr="003E7824">
        <w:t>both note the change in methodology may lead to overnight operating buildings not being able to achieve compliance and as a general theme many respondents were seeking greater clarity on this point including how stringency and methodology changes could be separated</w:t>
      </w:r>
      <w:r>
        <w:t xml:space="preserve"> and WWRs are kept constant when comparing NCC 2016 and NCC 2019</w:t>
      </w:r>
      <w:r w:rsidRPr="003E7824">
        <w:t>.</w:t>
      </w:r>
      <w:r>
        <w:t xml:space="preserve"> NSW Building Administration also points that an emphasis on U-Value allows for better controlled indoor environments.</w:t>
      </w:r>
    </w:p>
    <w:p w:rsidR="00242C46" w:rsidRDefault="00242C46" w:rsidP="00242C46">
      <w:pPr>
        <w:pStyle w:val="Heading3"/>
        <w:numPr>
          <w:ilvl w:val="2"/>
          <w:numId w:val="5"/>
        </w:numPr>
      </w:pPr>
      <w:r>
        <w:t>Feasible options to address the problem</w:t>
      </w:r>
    </w:p>
    <w:p w:rsidR="00242C46" w:rsidRDefault="00242C46" w:rsidP="00242C46">
      <w:pPr>
        <w:pStyle w:val="BodyText"/>
      </w:pPr>
      <w:r>
        <w:t>Benmax suggests a more collaborative approach to design development through direct feedback path between the energy modeller and the architect. However</w:t>
      </w:r>
      <w:r w:rsidR="00D00F02">
        <w:t>,</w:t>
      </w:r>
      <w:r>
        <w:t xml:space="preserve"> it seems not an option to address the regulatory problem.</w:t>
      </w:r>
    </w:p>
    <w:p w:rsidR="00242C46" w:rsidRDefault="00242C46" w:rsidP="00242C46">
      <w:pPr>
        <w:pStyle w:val="BodyText"/>
      </w:pPr>
      <w:r>
        <w:t>Real Project Solutions propose to ‘</w:t>
      </w:r>
      <w:r w:rsidRPr="006A6A7B">
        <w:t>have an overall methodology of the performance of a building rather than just one element</w:t>
      </w:r>
      <w:r>
        <w:t>’.</w:t>
      </w:r>
    </w:p>
    <w:p w:rsidR="00242C46" w:rsidRDefault="00242C46" w:rsidP="00242C46">
      <w:pPr>
        <w:pStyle w:val="BodyText"/>
      </w:pPr>
      <w:r>
        <w:t xml:space="preserve">It is mentioned by City of </w:t>
      </w:r>
      <w:r w:rsidR="00537C50">
        <w:t>Parramatta</w:t>
      </w:r>
      <w:r>
        <w:t xml:space="preserve"> Council that many projects choose to follow a JV3 pathway for compliance which ‘is as much about reduced construction costs as it is about energy saving’.</w:t>
      </w:r>
    </w:p>
    <w:p w:rsidR="00242C46" w:rsidRDefault="00242C46" w:rsidP="00242C46">
      <w:pPr>
        <w:pStyle w:val="BodyText"/>
      </w:pPr>
      <w:r>
        <w:t>Sustainability House proposes some options to address the problems raised above:</w:t>
      </w:r>
    </w:p>
    <w:p w:rsidR="00242C46" w:rsidRDefault="00242C46" w:rsidP="00242C46">
      <w:pPr>
        <w:pStyle w:val="ListBullet"/>
      </w:pPr>
      <w:r>
        <w:t xml:space="preserve">Wall-glazing: Introducing a new standardised ABCB endorsed wall-glazing calculation tool suitable for all classes and </w:t>
      </w:r>
      <w:r w:rsidR="00E31EE8">
        <w:t>Climate Zone</w:t>
      </w:r>
      <w:r>
        <w:t>s. A maximum R Value of U Value needs to be suggested to for walls.</w:t>
      </w:r>
    </w:p>
    <w:p w:rsidR="00242C46" w:rsidRDefault="00242C46" w:rsidP="00242C46">
      <w:pPr>
        <w:pStyle w:val="ListBullet"/>
      </w:pPr>
      <w:r>
        <w:t>Floors: more research into this issue</w:t>
      </w:r>
    </w:p>
    <w:p w:rsidR="00242C46" w:rsidRDefault="00242C46" w:rsidP="00242C46">
      <w:pPr>
        <w:pStyle w:val="ListBullet"/>
      </w:pPr>
      <w:r>
        <w:t>JV4 Building envelope sealing: Detailed guidance materials and pre-air leakage testing, design, construction and costing reviews to ensure the rate of failure of air-leakage test in constructed buildings is kept to an absolute minimum.</w:t>
      </w:r>
    </w:p>
    <w:p w:rsidR="00242C46" w:rsidRDefault="00242C46" w:rsidP="00242C46">
      <w:pPr>
        <w:pStyle w:val="ListBullet"/>
      </w:pPr>
      <w:r>
        <w:t>Renewable/reclaimed energy: Improved estimation of energy generated by PV system on site by more reliable and thorough methodology; an even better alternative/solution would be to not credit solar PV at all.</w:t>
      </w:r>
    </w:p>
    <w:p w:rsidR="00242C46" w:rsidRDefault="00242C46" w:rsidP="00242C46">
      <w:pPr>
        <w:pStyle w:val="BodyText"/>
      </w:pPr>
      <w:r w:rsidRPr="003E7824">
        <w:t xml:space="preserve">There </w:t>
      </w:r>
      <w:r>
        <w:t>is some agreement that the NCC’</w:t>
      </w:r>
      <w:r w:rsidRPr="003E7824">
        <w:t xml:space="preserve">s current methodology </w:t>
      </w:r>
      <w:r>
        <w:t>i</w:t>
      </w:r>
      <w:r w:rsidRPr="003E7824">
        <w:t xml:space="preserve">s flawed </w:t>
      </w:r>
      <w:r>
        <w:t>(</w:t>
      </w:r>
      <w:r w:rsidRPr="003E7824">
        <w:t xml:space="preserve">JMG, NASH, G James, </w:t>
      </w:r>
      <w:r>
        <w:t>MBA)</w:t>
      </w:r>
      <w:r w:rsidRPr="003E7824">
        <w:t xml:space="preserve"> though responses to address the issue </w:t>
      </w:r>
      <w:r>
        <w:t>are</w:t>
      </w:r>
      <w:r w:rsidRPr="003E7824">
        <w:t xml:space="preserve"> disparate. </w:t>
      </w:r>
    </w:p>
    <w:p w:rsidR="00242C46" w:rsidRDefault="00242C46" w:rsidP="00242C46">
      <w:pPr>
        <w:pStyle w:val="BodyText"/>
      </w:pPr>
      <w:r w:rsidRPr="003E7824">
        <w:t>The sole glazing industry r</w:t>
      </w:r>
      <w:r>
        <w:t>esponse suggests</w:t>
      </w:r>
      <w:r w:rsidRPr="003E7824">
        <w:t xml:space="preserve"> that the issue was caused by compliance language in the NCC and specifying the methodology for the calculation of window Performance as an alternative option. The comments are driven by stringency concerns, particularly for overnight operating buildings and the </w:t>
      </w:r>
      <w:r>
        <w:t>‘</w:t>
      </w:r>
      <w:r w:rsidRPr="003E7824">
        <w:t>over stringent</w:t>
      </w:r>
      <w:r>
        <w:t>’</w:t>
      </w:r>
      <w:r w:rsidRPr="003E7824">
        <w:t xml:space="preserve"> U-Values which in their opinion will </w:t>
      </w:r>
      <w:r>
        <w:t>‘</w:t>
      </w:r>
      <w:r w:rsidRPr="003E7824">
        <w:t>be very difficult to demonstrate DTS compliance</w:t>
      </w:r>
      <w:r>
        <w:t>’</w:t>
      </w:r>
      <w:r w:rsidRPr="003E7824">
        <w:t xml:space="preserve"> given operable windows approach a U-Value of 4</w:t>
      </w:r>
      <w:r>
        <w:t xml:space="preserve"> and</w:t>
      </w:r>
      <w:r w:rsidRPr="003E7824">
        <w:t xml:space="preserve"> it follows that only very low WWR could be used before triggering an alternative pathway. Similar concerns </w:t>
      </w:r>
      <w:r>
        <w:t>are</w:t>
      </w:r>
      <w:r w:rsidRPr="003E7824">
        <w:t xml:space="preserve"> echoed by </w:t>
      </w:r>
      <w:r>
        <w:t>MBA</w:t>
      </w:r>
      <w:r w:rsidRPr="003E7824">
        <w:t>.</w:t>
      </w:r>
    </w:p>
    <w:p w:rsidR="00242C46" w:rsidRDefault="00242C46" w:rsidP="00242C46">
      <w:pPr>
        <w:pStyle w:val="BodyText"/>
      </w:pPr>
      <w:r>
        <w:t>Some respondents offer</w:t>
      </w:r>
      <w:r w:rsidRPr="003E7824">
        <w:t xml:space="preserve"> alternatives to </w:t>
      </w:r>
      <w:r>
        <w:t>address the issue. Benmax argues</w:t>
      </w:r>
      <w:r w:rsidRPr="003E7824">
        <w:t xml:space="preserve"> that mandating energy modelling would place decisions regarding glazing at the beginning of the design process. </w:t>
      </w:r>
    </w:p>
    <w:p w:rsidR="00242C46" w:rsidRDefault="00242C46" w:rsidP="00242C46">
      <w:pPr>
        <w:pStyle w:val="BodyText"/>
      </w:pPr>
      <w:r w:rsidRPr="003E7824">
        <w:t xml:space="preserve">The </w:t>
      </w:r>
      <w:r>
        <w:t>C</w:t>
      </w:r>
      <w:r w:rsidRPr="003E7824">
        <w:t xml:space="preserve">ity of Parramatta </w:t>
      </w:r>
      <w:r>
        <w:t xml:space="preserve">Council’s </w:t>
      </w:r>
      <w:r w:rsidRPr="003E7824">
        <w:t>response recognise</w:t>
      </w:r>
      <w:r>
        <w:t>s</w:t>
      </w:r>
      <w:r w:rsidRPr="003E7824">
        <w:t xml:space="preserve"> JV3 is a common pathway where it is recognised the DTS is unsuitable and incentive for its use is based on construction costs savings.</w:t>
      </w:r>
    </w:p>
    <w:p w:rsidR="00242C46" w:rsidRPr="00A62C2A" w:rsidRDefault="00242C46" w:rsidP="00242C46">
      <w:pPr>
        <w:pStyle w:val="BodyText"/>
      </w:pPr>
      <w:r w:rsidRPr="003E7824">
        <w:t>NASH comments suggest the D</w:t>
      </w:r>
      <w:r>
        <w:t>T</w:t>
      </w:r>
      <w:r w:rsidRPr="003E7824">
        <w:t>S needs simplification</w:t>
      </w:r>
      <w:r>
        <w:t>,</w:t>
      </w:r>
      <w:r w:rsidRPr="003E7824">
        <w:t xml:space="preserve"> as does the MBA who feel</w:t>
      </w:r>
      <w:r>
        <w:t>s</w:t>
      </w:r>
      <w:r w:rsidRPr="003E7824">
        <w:t xml:space="preserve"> this is the best way to address market failure of information asymmetry. It is unclear if the current proposals go far enough in their view</w:t>
      </w:r>
      <w:r>
        <w:t>.</w:t>
      </w:r>
      <w:r w:rsidRPr="003E7824">
        <w:t xml:space="preserve"> NASH suggest</w:t>
      </w:r>
      <w:r>
        <w:t>s</w:t>
      </w:r>
      <w:r w:rsidRPr="003E7824">
        <w:t xml:space="preserve"> Class 9 buildings will struggle to demonstrate compliance (without offering an alternative).</w:t>
      </w:r>
    </w:p>
    <w:p w:rsidR="00242C46" w:rsidRDefault="00242C46" w:rsidP="00242C46">
      <w:pPr>
        <w:pStyle w:val="Heading7"/>
        <w:numPr>
          <w:ilvl w:val="6"/>
          <w:numId w:val="5"/>
        </w:numPr>
      </w:pPr>
      <w:bookmarkStart w:id="4825" w:name="_Toc525715642"/>
      <w:r>
        <w:t>Other problems not considered by the Consultation RIS</w:t>
      </w:r>
      <w:bookmarkEnd w:id="4825"/>
    </w:p>
    <w:p w:rsidR="00242C46" w:rsidRDefault="00242C46" w:rsidP="00242C46">
      <w:pPr>
        <w:pStyle w:val="BodyText"/>
      </w:pPr>
      <w:r>
        <w:t>Many responses focused on i</w:t>
      </w:r>
      <w:r w:rsidRPr="003E7824">
        <w:t xml:space="preserve">ssues identified in </w:t>
      </w:r>
      <w:r>
        <w:t xml:space="preserve">the RIS, for example, </w:t>
      </w:r>
      <w:r w:rsidRPr="003E7824">
        <w:t>BlueScope submission lists areas of the RIS approach it disagrees with rather than new problems.</w:t>
      </w:r>
      <w:r>
        <w:t xml:space="preserve"> </w:t>
      </w:r>
    </w:p>
    <w:p w:rsidR="00242C46" w:rsidRDefault="00242C46" w:rsidP="00242C46">
      <w:pPr>
        <w:pStyle w:val="BodyText"/>
      </w:pPr>
      <w:r>
        <w:t>Issues respondents feel</w:t>
      </w:r>
      <w:r w:rsidRPr="003E7824">
        <w:t xml:space="preserve"> more attention required in the final RIS include</w:t>
      </w:r>
      <w:r>
        <w:t xml:space="preserve"> thermal bridging, separation of impacts of increasing stringency from the change in methodology of setting the stringency, and transitional assistance.</w:t>
      </w:r>
      <w:r w:rsidRPr="003E7824">
        <w:t xml:space="preserve"> </w:t>
      </w:r>
    </w:p>
    <w:p w:rsidR="00242C46" w:rsidRDefault="00242C46" w:rsidP="00242C46">
      <w:pPr>
        <w:pStyle w:val="Heading8"/>
        <w:numPr>
          <w:ilvl w:val="7"/>
          <w:numId w:val="5"/>
        </w:numPr>
      </w:pPr>
      <w:r>
        <w:t>Thermal bridging</w:t>
      </w:r>
    </w:p>
    <w:p w:rsidR="00242C46" w:rsidRDefault="00242C46" w:rsidP="00242C46">
      <w:pPr>
        <w:pStyle w:val="BodyText"/>
      </w:pPr>
      <w:r w:rsidRPr="003E7824">
        <w:t>BlueScope argue</w:t>
      </w:r>
      <w:r>
        <w:t>s</w:t>
      </w:r>
      <w:r w:rsidRPr="003E7824">
        <w:t xml:space="preserve"> that the costs associated with thermal bridging are overlooked by the RIS as modelling calculates costs of R-Value as linear (consistent with ignoring its effects). </w:t>
      </w:r>
    </w:p>
    <w:p w:rsidR="00242C46" w:rsidRDefault="00242C46" w:rsidP="00242C46">
      <w:pPr>
        <w:pStyle w:val="BodyText"/>
      </w:pPr>
      <w:r w:rsidRPr="003E7824">
        <w:t>Th</w:t>
      </w:r>
      <w:r>
        <w:t>e</w:t>
      </w:r>
      <w:r w:rsidRPr="003E7824">
        <w:t xml:space="preserve"> assumption (thermal bridging is a current requirement) is also not supported by the HIA, who argue</w:t>
      </w:r>
      <w:r>
        <w:t>s</w:t>
      </w:r>
      <w:r w:rsidRPr="003E7824">
        <w:t xml:space="preserve"> its extension to Class 2, 3 and 4 buildings would represent an increase in stringency for residential buildings. </w:t>
      </w:r>
    </w:p>
    <w:p w:rsidR="00242C46" w:rsidRDefault="00242C46" w:rsidP="00242C46">
      <w:pPr>
        <w:pStyle w:val="Heading8"/>
        <w:numPr>
          <w:ilvl w:val="7"/>
          <w:numId w:val="5"/>
        </w:numPr>
      </w:pPr>
      <w:r>
        <w:t>Separation of impacts of stringency change and methodological change</w:t>
      </w:r>
    </w:p>
    <w:p w:rsidR="00242C46" w:rsidRDefault="00242C46" w:rsidP="00242C46">
      <w:pPr>
        <w:pStyle w:val="BodyText"/>
      </w:pPr>
      <w:r w:rsidRPr="003E7824">
        <w:t>The impacts on individual components such as space heating and the impacts and alternative modelling methodologies (separating the change in stringency from a change in methodology</w:t>
      </w:r>
      <w:r>
        <w:t xml:space="preserve"> that is SHGCxWWR versus U-Value</w:t>
      </w:r>
      <w:r w:rsidRPr="003E7824">
        <w:t>) raised predominantly by manufacturers (Rheem, BlueScope, G</w:t>
      </w:r>
      <w:r>
        <w:t>. </w:t>
      </w:r>
      <w:r w:rsidRPr="003E7824">
        <w:t>James) and HIA.</w:t>
      </w:r>
      <w:r>
        <w:t xml:space="preserve"> </w:t>
      </w:r>
    </w:p>
    <w:p w:rsidR="00242C46" w:rsidRDefault="00242C46" w:rsidP="00242C46">
      <w:pPr>
        <w:pStyle w:val="BodyText"/>
      </w:pPr>
      <w:r w:rsidRPr="003E7824">
        <w:t xml:space="preserve">It </w:t>
      </w:r>
      <w:r>
        <w:t>i</w:t>
      </w:r>
      <w:r w:rsidRPr="003E7824">
        <w:t>s mentioned in the BlueScope submission, for example, WWR should be held constant when comparing the changes, or service levels being constant while comparing wall/glazing changes</w:t>
      </w:r>
      <w:r>
        <w:t xml:space="preserve"> and so on</w:t>
      </w:r>
      <w:r w:rsidRPr="003E7824">
        <w:t>.</w:t>
      </w:r>
    </w:p>
    <w:p w:rsidR="00242C46" w:rsidRDefault="00242C46" w:rsidP="00242C46">
      <w:pPr>
        <w:pStyle w:val="BodyText"/>
      </w:pPr>
      <w:r>
        <w:t>NSW Building Administration also raises the same suggestion to separately calculate building fabric thermal energy consumption, and to run energy simulations by keeping the same services for NCC 2016 and NCC 2019.</w:t>
      </w:r>
    </w:p>
    <w:p w:rsidR="00242C46" w:rsidRDefault="00242C46" w:rsidP="00242C46">
      <w:pPr>
        <w:pStyle w:val="Heading8"/>
        <w:numPr>
          <w:ilvl w:val="7"/>
          <w:numId w:val="5"/>
        </w:numPr>
      </w:pPr>
      <w:r>
        <w:t>Transitional assistance</w:t>
      </w:r>
    </w:p>
    <w:p w:rsidR="00242C46" w:rsidRDefault="00242C46" w:rsidP="00242C46">
      <w:pPr>
        <w:pStyle w:val="BodyText"/>
      </w:pPr>
      <w:r>
        <w:t>Real Project Solutions suggest a lack of greater knowledge of the measures undertaken within the permit analysis process is a problem.</w:t>
      </w:r>
    </w:p>
    <w:p w:rsidR="00242C46" w:rsidRDefault="00242C46" w:rsidP="00242C46">
      <w:pPr>
        <w:pStyle w:val="BodyText"/>
      </w:pPr>
      <w:r w:rsidRPr="003E7824">
        <w:t xml:space="preserve">ASBEC argue that a lack of </w:t>
      </w:r>
      <w:r>
        <w:t xml:space="preserve">regulatory certainty in relation to if, when and by how much and according to what criteria the energy requirement will be updated, </w:t>
      </w:r>
      <w:r w:rsidRPr="003E7824">
        <w:t>targets and overarching policy direction are a problem that impacts achieving energ</w:t>
      </w:r>
      <w:r>
        <w:t xml:space="preserve">y productivity and investment. </w:t>
      </w:r>
    </w:p>
    <w:p w:rsidR="00242C46" w:rsidRDefault="00242C46" w:rsidP="00242C46">
      <w:pPr>
        <w:pStyle w:val="BodyText"/>
      </w:pPr>
      <w:r w:rsidRPr="003E7824">
        <w:t>Supporters of ASBEC</w:t>
      </w:r>
      <w:r>
        <w:t>’s view include</w:t>
      </w:r>
      <w:r w:rsidRPr="003E7824">
        <w:t xml:space="preserve"> GBC</w:t>
      </w:r>
      <w:r>
        <w:t>A</w:t>
      </w:r>
      <w:r w:rsidRPr="003E7824">
        <w:t xml:space="preserve"> and PCA</w:t>
      </w:r>
      <w:r>
        <w:t>.</w:t>
      </w:r>
      <w:r w:rsidRPr="003E7824">
        <w:t xml:space="preserve"> </w:t>
      </w:r>
      <w:r>
        <w:t>B</w:t>
      </w:r>
      <w:r w:rsidRPr="003E7824">
        <w:t>oth note the large shift in approach will challenge the capacity to the industry to respond. They recognise training, guidance, education tools and calculators will be necessary to support those who use the D</w:t>
      </w:r>
      <w:r>
        <w:t>T</w:t>
      </w:r>
      <w:r w:rsidRPr="003E7824">
        <w:t xml:space="preserve">S pathway. Further the change will take time to implement and for industry to adapt their practices. In this vein, some </w:t>
      </w:r>
      <w:r>
        <w:t>(</w:t>
      </w:r>
      <w:r w:rsidRPr="003E7824">
        <w:t>ASBEC</w:t>
      </w:r>
      <w:r>
        <w:t>,</w:t>
      </w:r>
      <w:r w:rsidRPr="003E7824">
        <w:t xml:space="preserve"> PCA and the HIA</w:t>
      </w:r>
      <w:r>
        <w:t xml:space="preserve">) </w:t>
      </w:r>
      <w:r w:rsidRPr="003E7824">
        <w:t>argue that the change should be supported by a transition of more than one year</w:t>
      </w:r>
      <w:r>
        <w:t>.</w:t>
      </w:r>
      <w:r w:rsidRPr="003E7824">
        <w:t xml:space="preserve"> Others suggest maintaining the current D</w:t>
      </w:r>
      <w:r>
        <w:t xml:space="preserve">TS for a period. </w:t>
      </w:r>
    </w:p>
    <w:p w:rsidR="00242C46" w:rsidRDefault="00242C46" w:rsidP="00242C46">
      <w:pPr>
        <w:pStyle w:val="BodyText"/>
      </w:pPr>
      <w:r>
        <w:t>Bondor argues lack of consultation with members of the industry is a problem.</w:t>
      </w:r>
    </w:p>
    <w:p w:rsidR="00242C46" w:rsidRDefault="00242C46" w:rsidP="00242C46">
      <w:pPr>
        <w:pStyle w:val="Heading8"/>
        <w:numPr>
          <w:ilvl w:val="7"/>
          <w:numId w:val="5"/>
        </w:numPr>
      </w:pPr>
      <w:r>
        <w:t>Other issues</w:t>
      </w:r>
    </w:p>
    <w:p w:rsidR="00242C46" w:rsidRDefault="00242C46" w:rsidP="00242C46">
      <w:pPr>
        <w:pStyle w:val="BodyText"/>
      </w:pPr>
      <w:r w:rsidRPr="003E7824">
        <w:t>BlueScope raise</w:t>
      </w:r>
      <w:r>
        <w:t>s</w:t>
      </w:r>
      <w:r w:rsidRPr="003E7824">
        <w:t xml:space="preserve"> a unique issue </w:t>
      </w:r>
      <w:r>
        <w:t>–</w:t>
      </w:r>
      <w:r w:rsidRPr="003E7824">
        <w:t xml:space="preserve"> lifecycle</w:t>
      </w:r>
      <w:r>
        <w:t xml:space="preserve"> </w:t>
      </w:r>
      <w:r w:rsidRPr="003E7824">
        <w:t xml:space="preserve">costs. It is argued that buildings will require additional material to meet stringency. </w:t>
      </w:r>
    </w:p>
    <w:p w:rsidR="00242C46" w:rsidRDefault="00242C46" w:rsidP="00242C46">
      <w:pPr>
        <w:pStyle w:val="BodyText"/>
      </w:pPr>
      <w:r w:rsidRPr="003E7824">
        <w:t>The impact o</w:t>
      </w:r>
      <w:r>
        <w:t>f</w:t>
      </w:r>
      <w:r w:rsidRPr="003E7824">
        <w:t xml:space="preserve"> increases in stringency on space for services </w:t>
      </w:r>
      <w:r>
        <w:t>i</w:t>
      </w:r>
      <w:r w:rsidRPr="003E7824">
        <w:t xml:space="preserve">s again raised in the context of an overlooked consequence. </w:t>
      </w:r>
      <w:r>
        <w:t>Benmax argues that air conditioning air paths in ceiling spaces have been choked by the increase in the thickness of insulation within ceiling space in response to Section J requirements with resultant impacts upon user thermal comfort and increases in fan energy.</w:t>
      </w:r>
    </w:p>
    <w:p w:rsidR="00242C46" w:rsidRDefault="00242C46" w:rsidP="00242C46">
      <w:pPr>
        <w:pStyle w:val="BodyText"/>
      </w:pPr>
      <w:r>
        <w:t>Benmax suspects all compliance installations will be operating as commissioning time is often compressed in order to meet a construction deadline. As such it proposes to mandate employment of an independent commissioning agent.</w:t>
      </w:r>
    </w:p>
    <w:p w:rsidR="00242C46" w:rsidRDefault="00242C46" w:rsidP="00242C46">
      <w:pPr>
        <w:pStyle w:val="BodyText"/>
      </w:pPr>
      <w:r>
        <w:t>Rheem reiterates its concern on the viability of its products as a result of the proposed changes. It seems that the increase in stringency may affect market access and make some previous R&amp;D investment useless.</w:t>
      </w:r>
    </w:p>
    <w:p w:rsidR="00242C46" w:rsidRDefault="00242C46" w:rsidP="00242C46">
      <w:pPr>
        <w:pStyle w:val="BodyText"/>
      </w:pPr>
      <w:r>
        <w:t>SUHO suggests that p</w:t>
      </w:r>
      <w:r w:rsidRPr="00C37E2B">
        <w:t xml:space="preserve">eak </w:t>
      </w:r>
      <w:r>
        <w:t>e</w:t>
      </w:r>
      <w:r w:rsidRPr="00C37E2B">
        <w:t xml:space="preserve">lectricity </w:t>
      </w:r>
      <w:r>
        <w:t>d</w:t>
      </w:r>
      <w:r w:rsidRPr="00C37E2B">
        <w:t xml:space="preserve">emand (PED) and </w:t>
      </w:r>
      <w:r>
        <w:t>u</w:t>
      </w:r>
      <w:r w:rsidRPr="00C37E2B">
        <w:t>rban heat island effect</w:t>
      </w:r>
      <w:r>
        <w:t xml:space="preserve"> should be considered.</w:t>
      </w:r>
    </w:p>
    <w:p w:rsidR="00242C46" w:rsidRPr="00A62C2A" w:rsidRDefault="00242C46" w:rsidP="00242C46">
      <w:pPr>
        <w:pStyle w:val="BodyText"/>
      </w:pPr>
      <w:r>
        <w:t>Think Brick suggests that cost and energy consumption comparison should be given for high thermal mass products with low thermal mass products.</w:t>
      </w:r>
    </w:p>
    <w:p w:rsidR="00242C46" w:rsidRDefault="00242C46" w:rsidP="00242C46">
      <w:pPr>
        <w:pStyle w:val="Heading7"/>
        <w:numPr>
          <w:ilvl w:val="6"/>
          <w:numId w:val="5"/>
        </w:numPr>
      </w:pPr>
      <w:bookmarkStart w:id="4826" w:name="_Toc525715643"/>
      <w:r>
        <w:t>Preferred option in relation to the proposed changes</w:t>
      </w:r>
      <w:bookmarkEnd w:id="4826"/>
    </w:p>
    <w:p w:rsidR="00242C46" w:rsidRDefault="00242C46" w:rsidP="00242C46">
      <w:pPr>
        <w:pStyle w:val="BodyText"/>
      </w:pPr>
      <w:r>
        <w:t>Consultation RIS discusses three options for the NCC changes:</w:t>
      </w:r>
    </w:p>
    <w:p w:rsidR="00242C46" w:rsidRDefault="00242C46" w:rsidP="00242C46">
      <w:pPr>
        <w:pStyle w:val="ListBullet"/>
      </w:pPr>
      <w:r>
        <w:t>Option 1 – no change to Section J of the NCC, the status quo;</w:t>
      </w:r>
    </w:p>
    <w:p w:rsidR="00242C46" w:rsidRDefault="00242C46" w:rsidP="00242C46">
      <w:pPr>
        <w:pStyle w:val="ListBullet"/>
      </w:pPr>
      <w:r>
        <w:t>Option 2 – the proposed changes to Section J of the NCC; and</w:t>
      </w:r>
    </w:p>
    <w:p w:rsidR="00242C46" w:rsidRDefault="00242C46" w:rsidP="00242C46">
      <w:pPr>
        <w:pStyle w:val="ListBullet"/>
      </w:pPr>
      <w:r>
        <w:t xml:space="preserve">Option 3 – alternative voluntary </w:t>
      </w:r>
      <w:r w:rsidR="00537C50">
        <w:t>option, which</w:t>
      </w:r>
      <w:r>
        <w:t xml:space="preserve"> is converting the proposed changes to the NCC into a non-regulatory handbook for industry to adopt.</w:t>
      </w:r>
    </w:p>
    <w:p w:rsidR="00242C46" w:rsidRDefault="00242C46" w:rsidP="00242C46">
      <w:pPr>
        <w:pStyle w:val="BodyText"/>
      </w:pPr>
      <w:r>
        <w:t xml:space="preserve">Stakeholders were asked to provide their preference of options and their reasoning. </w:t>
      </w:r>
    </w:p>
    <w:p w:rsidR="00242C46" w:rsidRPr="00695C93" w:rsidRDefault="00242C46" w:rsidP="00242C46">
      <w:pPr>
        <w:pStyle w:val="Caption"/>
      </w:pPr>
      <w:r w:rsidRPr="00D00F02">
        <w:fldChar w:fldCharType="begin"/>
      </w:r>
      <w:r w:rsidRPr="00D00F02">
        <w:instrText xml:space="preserve"> IF 1 = 1 "</w:instrText>
      </w:r>
      <w:r w:rsidRPr="00D00F02">
        <w:fldChar w:fldCharType="begin"/>
      </w:r>
      <w:r w:rsidRPr="00D00F02">
        <w:instrText xml:space="preserve"> IF </w:instrText>
      </w:r>
      <w:r w:rsidR="001451C0" w:rsidRPr="00D00F02">
        <w:rPr>
          <w:noProof/>
        </w:rPr>
        <w:fldChar w:fldCharType="begin"/>
      </w:r>
      <w:r w:rsidR="001451C0" w:rsidRPr="00D00F02">
        <w:rPr>
          <w:noProof/>
        </w:rPr>
        <w:instrText xml:space="preserve"> STYLEREF "Heading 6" \l \n </w:instrText>
      </w:r>
      <w:r w:rsidR="001451C0" w:rsidRPr="00D00F02">
        <w:rPr>
          <w:noProof/>
        </w:rPr>
        <w:fldChar w:fldCharType="separate"/>
      </w:r>
      <w:r w:rsidR="00B833F1">
        <w:rPr>
          <w:noProof/>
        </w:rPr>
        <w:instrText>C</w:instrText>
      </w:r>
      <w:r w:rsidR="001451C0" w:rsidRPr="00D00F02">
        <w:rPr>
          <w:noProof/>
        </w:rPr>
        <w:fldChar w:fldCharType="end"/>
      </w:r>
      <w:r w:rsidRPr="00D00F02">
        <w:instrText xml:space="preserve"> = 0 "</w:instrText>
      </w:r>
      <w:r w:rsidRPr="00D00F02">
        <w:fldChar w:fldCharType="begin"/>
      </w:r>
      <w:r w:rsidRPr="00D00F02">
        <w:instrText xml:space="preserve"> IF </w:instrText>
      </w:r>
      <w:r w:rsidRPr="00D00F02">
        <w:fldChar w:fldCharType="begin"/>
      </w:r>
      <w:r w:rsidRPr="00D00F02">
        <w:instrText xml:space="preserve"> STYLEREF "Heading 1" \l \n </w:instrText>
      </w:r>
      <w:r w:rsidRPr="00D00F02">
        <w:fldChar w:fldCharType="separate"/>
      </w:r>
      <w:r w:rsidRPr="00D00F02">
        <w:rPr>
          <w:b/>
          <w:bCs/>
          <w:noProof/>
          <w:lang w:val="en-US"/>
        </w:rPr>
        <w:instrText>Error! No text of specified style in document.</w:instrText>
      </w:r>
      <w:r w:rsidRPr="00D00F02">
        <w:rPr>
          <w:noProof/>
        </w:rPr>
        <w:fldChar w:fldCharType="end"/>
      </w:r>
      <w:r w:rsidRPr="00D00F02">
        <w:instrText xml:space="preserve"> = 0 "" "</w:instrText>
      </w:r>
      <w:r w:rsidRPr="00D00F02">
        <w:fldChar w:fldCharType="begin"/>
      </w:r>
      <w:r w:rsidRPr="00D00F02">
        <w:instrText xml:space="preserve"> STYLEREF "Heading 1" \l \n </w:instrText>
      </w:r>
      <w:r w:rsidRPr="00D00F02">
        <w:fldChar w:fldCharType="separate"/>
      </w:r>
      <w:r w:rsidRPr="00D00F02">
        <w:rPr>
          <w:b/>
          <w:bCs/>
          <w:noProof/>
          <w:lang w:val="en-US"/>
        </w:rPr>
        <w:instrText>Error! No text of specified style in document.</w:instrText>
      </w:r>
      <w:r w:rsidRPr="00D00F02">
        <w:rPr>
          <w:noProof/>
        </w:rPr>
        <w:fldChar w:fldCharType="end"/>
      </w:r>
      <w:r w:rsidRPr="00D00F02">
        <w:instrText xml:space="preserve">." </w:instrText>
      </w:r>
      <w:r w:rsidRPr="00D00F02">
        <w:fldChar w:fldCharType="separate"/>
      </w:r>
      <w:r w:rsidRPr="00D00F02">
        <w:rPr>
          <w:b/>
          <w:bCs/>
          <w:noProof/>
          <w:lang w:val="en-US"/>
        </w:rPr>
        <w:instrText>Error! No text of specified style in document.</w:instrText>
      </w:r>
      <w:r w:rsidRPr="00D00F02">
        <w:rPr>
          <w:noProof/>
        </w:rPr>
        <w:instrText>.</w:instrText>
      </w:r>
      <w:r w:rsidRPr="00D00F02">
        <w:fldChar w:fldCharType="end"/>
      </w:r>
      <w:r w:rsidRPr="00D00F02">
        <w:instrText>" "</w:instrText>
      </w:r>
      <w:r w:rsidR="001451C0" w:rsidRPr="00D00F02">
        <w:rPr>
          <w:noProof/>
        </w:rPr>
        <w:fldChar w:fldCharType="begin"/>
      </w:r>
      <w:r w:rsidR="001451C0" w:rsidRPr="00D00F02">
        <w:rPr>
          <w:noProof/>
        </w:rPr>
        <w:instrText xml:space="preserve"> STYLEREF "Heading 6" \l \n </w:instrText>
      </w:r>
      <w:r w:rsidR="001451C0" w:rsidRPr="00D00F02">
        <w:rPr>
          <w:noProof/>
        </w:rPr>
        <w:fldChar w:fldCharType="separate"/>
      </w:r>
      <w:r w:rsidR="00B833F1">
        <w:rPr>
          <w:noProof/>
        </w:rPr>
        <w:instrText>C</w:instrText>
      </w:r>
      <w:r w:rsidR="001451C0" w:rsidRPr="00D00F02">
        <w:rPr>
          <w:noProof/>
        </w:rPr>
        <w:fldChar w:fldCharType="end"/>
      </w:r>
      <w:r w:rsidRPr="00D00F02">
        <w:instrText xml:space="preserve">." </w:instrText>
      </w:r>
      <w:r w:rsidRPr="00D00F02">
        <w:fldChar w:fldCharType="separate"/>
      </w:r>
      <w:r w:rsidR="00B833F1">
        <w:rPr>
          <w:noProof/>
        </w:rPr>
        <w:instrText>C</w:instrText>
      </w:r>
      <w:r w:rsidR="00B833F1" w:rsidRPr="00D00F02">
        <w:rPr>
          <w:noProof/>
        </w:rPr>
        <w:instrText>.</w:instrText>
      </w:r>
      <w:r w:rsidRPr="00D00F02">
        <w:fldChar w:fldCharType="end"/>
      </w:r>
      <w:r w:rsidRPr="00D00F02">
        <w:fldChar w:fldCharType="begin"/>
      </w:r>
      <w:r w:rsidRPr="00D00F02">
        <w:instrText xml:space="preserve"> SEQ Item \* ARABIC \s </w:instrText>
      </w:r>
      <w:r w:rsidRPr="00D00F02">
        <w:fldChar w:fldCharType="begin"/>
      </w:r>
      <w:r w:rsidRPr="00D00F02">
        <w:instrText xml:space="preserve"> IF </w:instrText>
      </w:r>
      <w:r w:rsidR="001451C0" w:rsidRPr="00D00F02">
        <w:rPr>
          <w:noProof/>
        </w:rPr>
        <w:fldChar w:fldCharType="begin"/>
      </w:r>
      <w:r w:rsidR="001451C0" w:rsidRPr="00D00F02">
        <w:rPr>
          <w:noProof/>
        </w:rPr>
        <w:instrText xml:space="preserve"> STYLEREF "Heading 6" \l \n </w:instrText>
      </w:r>
      <w:r w:rsidR="001451C0" w:rsidRPr="00D00F02">
        <w:rPr>
          <w:noProof/>
        </w:rPr>
        <w:fldChar w:fldCharType="separate"/>
      </w:r>
      <w:r w:rsidR="00B833F1">
        <w:rPr>
          <w:noProof/>
        </w:rPr>
        <w:instrText>C</w:instrText>
      </w:r>
      <w:r w:rsidR="001451C0" w:rsidRPr="00D00F02">
        <w:rPr>
          <w:noProof/>
        </w:rPr>
        <w:fldChar w:fldCharType="end"/>
      </w:r>
      <w:r w:rsidRPr="00D00F02">
        <w:instrText xml:space="preserve"> = 0 "</w:instrText>
      </w:r>
      <w:r w:rsidRPr="00D00F02">
        <w:fldChar w:fldCharType="begin"/>
      </w:r>
      <w:r w:rsidRPr="00D00F02">
        <w:instrText xml:space="preserve"> IF </w:instrText>
      </w:r>
      <w:r w:rsidRPr="00D00F02">
        <w:fldChar w:fldCharType="begin"/>
      </w:r>
      <w:r w:rsidRPr="00D00F02">
        <w:instrText xml:space="preserve"> STYLEREF "Heading 1" \l \n </w:instrText>
      </w:r>
      <w:r w:rsidRPr="00D00F02">
        <w:fldChar w:fldCharType="separate"/>
      </w:r>
      <w:r w:rsidRPr="00D00F02">
        <w:rPr>
          <w:b/>
          <w:bCs/>
          <w:noProof/>
          <w:lang w:val="en-US"/>
        </w:rPr>
        <w:instrText>Error! No text of specified style in document.</w:instrText>
      </w:r>
      <w:r w:rsidRPr="00D00F02">
        <w:rPr>
          <w:noProof/>
        </w:rPr>
        <w:fldChar w:fldCharType="end"/>
      </w:r>
      <w:r w:rsidRPr="00D00F02">
        <w:instrText xml:space="preserve"> = 0 "" "1" </w:instrText>
      </w:r>
      <w:r w:rsidRPr="00D00F02">
        <w:fldChar w:fldCharType="separate"/>
      </w:r>
      <w:r w:rsidRPr="00D00F02">
        <w:rPr>
          <w:noProof/>
        </w:rPr>
        <w:instrText>1</w:instrText>
      </w:r>
      <w:r w:rsidRPr="00D00F02">
        <w:fldChar w:fldCharType="end"/>
      </w:r>
      <w:r w:rsidRPr="00D00F02">
        <w:instrText xml:space="preserve">" "6" </w:instrText>
      </w:r>
      <w:r w:rsidRPr="00D00F02">
        <w:fldChar w:fldCharType="separate"/>
      </w:r>
      <w:r w:rsidR="00B833F1" w:rsidRPr="00D00F02">
        <w:rPr>
          <w:noProof/>
        </w:rPr>
        <w:instrText>6</w:instrText>
      </w:r>
      <w:r w:rsidRPr="00D00F02">
        <w:fldChar w:fldCharType="end"/>
      </w:r>
      <w:r w:rsidRPr="00D00F02">
        <w:instrText xml:space="preserve"> </w:instrText>
      </w:r>
      <w:r w:rsidRPr="00D00F02">
        <w:fldChar w:fldCharType="separate"/>
      </w:r>
      <w:r w:rsidR="00B833F1">
        <w:rPr>
          <w:noProof/>
        </w:rPr>
        <w:instrText>1</w:instrText>
      </w:r>
      <w:r w:rsidRPr="00D00F02">
        <w:fldChar w:fldCharType="end"/>
      </w:r>
      <w:r w:rsidRPr="00D00F02">
        <w:instrText xml:space="preserve">" "" </w:instrText>
      </w:r>
      <w:r w:rsidRPr="00D00F02">
        <w:fldChar w:fldCharType="separate"/>
      </w:r>
      <w:bookmarkStart w:id="4827" w:name="_Caption0763"/>
      <w:bookmarkStart w:id="4828" w:name="_Caption4624"/>
      <w:bookmarkStart w:id="4829" w:name="_Caption8654"/>
      <w:bookmarkStart w:id="4830" w:name="_Caption2141"/>
      <w:bookmarkStart w:id="4831" w:name="_Caption0869"/>
      <w:bookmarkStart w:id="4832" w:name="_Caption1266"/>
      <w:bookmarkStart w:id="4833" w:name="_Caption0609"/>
      <w:bookmarkStart w:id="4834" w:name="_Caption4773"/>
      <w:bookmarkStart w:id="4835" w:name="_Caption3538"/>
      <w:bookmarkStart w:id="4836" w:name="_Caption3706"/>
      <w:bookmarkStart w:id="4837" w:name="_Caption7165"/>
      <w:bookmarkStart w:id="4838" w:name="_Caption6345"/>
      <w:bookmarkStart w:id="4839" w:name="_Caption2249"/>
      <w:bookmarkStart w:id="4840" w:name="_Caption5843"/>
      <w:bookmarkStart w:id="4841" w:name="_Caption9592"/>
      <w:bookmarkStart w:id="4842" w:name="_Caption6157"/>
      <w:bookmarkStart w:id="4843" w:name="_Caption1241"/>
      <w:bookmarkStart w:id="4844" w:name="_Caption3273"/>
      <w:bookmarkStart w:id="4845" w:name="_Caption8675"/>
      <w:bookmarkStart w:id="4846" w:name="_Caption5755"/>
      <w:bookmarkStart w:id="4847" w:name="_Caption7515"/>
      <w:bookmarkStart w:id="4848" w:name="_Caption4281"/>
      <w:bookmarkStart w:id="4849" w:name="_Caption3813"/>
      <w:bookmarkStart w:id="4850" w:name="_Caption9638"/>
      <w:bookmarkStart w:id="4851" w:name="_Caption2447"/>
      <w:bookmarkStart w:id="4852" w:name="_Caption6658"/>
      <w:bookmarkStart w:id="4853" w:name="_Caption0907"/>
      <w:bookmarkStart w:id="4854" w:name="_Caption4678"/>
      <w:bookmarkStart w:id="4855" w:name="_Caption2122"/>
      <w:bookmarkStart w:id="4856" w:name="_Caption2276"/>
      <w:bookmarkStart w:id="4857" w:name="_Caption6543"/>
      <w:bookmarkStart w:id="4858" w:name="_Caption1294"/>
      <w:bookmarkStart w:id="4859" w:name="_Caption3400"/>
      <w:bookmarkStart w:id="4860" w:name="_Caption5731"/>
      <w:bookmarkStart w:id="4861" w:name="_Caption3786"/>
      <w:bookmarkStart w:id="4862" w:name="_Caption2800"/>
      <w:bookmarkStart w:id="4863" w:name="_Toc525900598"/>
      <w:bookmarkStart w:id="4864" w:name="_Toc529869968"/>
      <w:bookmarkStart w:id="4865" w:name="_Toc530748464"/>
      <w:r w:rsidR="00EA42ED">
        <w:rPr>
          <w:noProof/>
        </w:rPr>
        <w:t>C</w:t>
      </w:r>
      <w:r w:rsidR="00EA42ED" w:rsidRPr="00D00F02">
        <w:rPr>
          <w:noProof/>
        </w:rPr>
        <w:t>.</w:t>
      </w:r>
      <w:r w:rsidR="00EA42ED">
        <w:rPr>
          <w:noProof/>
        </w:rPr>
        <w:t>1</w:t>
      </w:r>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r w:rsidRPr="00D00F02">
        <w:fldChar w:fldCharType="end"/>
      </w:r>
      <w:r w:rsidRPr="00D00F02">
        <w:tab/>
        <w:t>Preferred option to proposed changes</w:t>
      </w:r>
      <w:bookmarkEnd w:id="4863"/>
      <w:bookmarkEnd w:id="4864"/>
      <w:bookmarkEnd w:id="4865"/>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8"/>
      </w:tblGrid>
      <w:tr w:rsidR="00242C46" w:rsidTr="00242C46">
        <w:trPr>
          <w:cantSplit/>
        </w:trPr>
        <w:tc>
          <w:tcPr>
            <w:tcW w:w="7938" w:type="dxa"/>
            <w:shd w:val="clear" w:color="auto" w:fill="E9E8E5" w:themeFill="background2"/>
          </w:tcPr>
          <w:p w:rsidR="00242C46" w:rsidRDefault="00242C46" w:rsidP="00143A66">
            <w:pPr>
              <w:pStyle w:val="Chart"/>
              <w:spacing w:before="120"/>
            </w:pPr>
            <w:r w:rsidRPr="00676737">
              <w:rPr>
                <w:noProof/>
                <w:lang w:eastAsia="en-AU"/>
              </w:rPr>
              <w:drawing>
                <wp:inline distT="0" distB="0" distL="0" distR="0" wp14:anchorId="37A9FCEB" wp14:editId="498064A6">
                  <wp:extent cx="5013960" cy="2499360"/>
                  <wp:effectExtent l="0" t="0" r="0" b="0"/>
                  <wp:docPr id="17" name="Picture 17" descr="This chart shows that most of respondents (10 out of 18) expressed their support or conditional support to the proposed changes to the energy efficiency provisions in the Code. Only one respondent express the objection to the change." title="Chart C.1: Preferred option to proposed ch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13960" cy="2499360"/>
                          </a:xfrm>
                          <a:prstGeom prst="rect">
                            <a:avLst/>
                          </a:prstGeom>
                          <a:noFill/>
                          <a:ln>
                            <a:noFill/>
                          </a:ln>
                        </pic:spPr>
                      </pic:pic>
                    </a:graphicData>
                  </a:graphic>
                </wp:inline>
              </w:drawing>
            </w:r>
          </w:p>
        </w:tc>
      </w:tr>
    </w:tbl>
    <w:p w:rsidR="00242C46" w:rsidRPr="00A97BEC" w:rsidRDefault="00242C46" w:rsidP="00242C46">
      <w:pPr>
        <w:pStyle w:val="Note"/>
      </w:pPr>
      <w:r w:rsidRPr="00A97BEC">
        <w:rPr>
          <w:i/>
        </w:rPr>
        <w:t xml:space="preserve">Note: </w:t>
      </w:r>
      <w:r>
        <w:rPr>
          <w:i/>
        </w:rPr>
        <w:t>Other category includes choices not relating to Options 1, 2 or 3 or no clear indication of preference to one option</w:t>
      </w:r>
    </w:p>
    <w:p w:rsidR="00242C46" w:rsidRDefault="00242C46" w:rsidP="00242C46">
      <w:pPr>
        <w:pStyle w:val="Source"/>
      </w:pPr>
      <w:r>
        <w:rPr>
          <w:i/>
        </w:rPr>
        <w:t>Data source</w:t>
      </w:r>
      <w:r w:rsidRPr="00A67576">
        <w:rPr>
          <w:i/>
        </w:rPr>
        <w:t>:</w:t>
      </w:r>
      <w:r>
        <w:t xml:space="preserve"> CIE construction based on submissions</w:t>
      </w:r>
    </w:p>
    <w:p w:rsidR="00242C46" w:rsidRDefault="00242C46" w:rsidP="00242C46">
      <w:pPr>
        <w:pStyle w:val="BodyText"/>
      </w:pPr>
      <w:r w:rsidRPr="003E7824">
        <w:t>A majority of responses</w:t>
      </w:r>
      <w:r>
        <w:t xml:space="preserve"> prefer the Option 2 (the proposed changes to the provisions in Section J of the NCC), either conditionally or unconditionally (chart </w:t>
      </w:r>
      <w:r w:rsidR="001451C0">
        <w:rPr>
          <w:noProof/>
        </w:rPr>
        <w:fldChar w:fldCharType="begin"/>
      </w:r>
      <w:r w:rsidR="001451C0">
        <w:rPr>
          <w:noProof/>
        </w:rPr>
        <w:instrText xml:space="preserve"> REF _Caption3706 </w:instrText>
      </w:r>
      <w:r w:rsidR="001451C0">
        <w:rPr>
          <w:noProof/>
        </w:rPr>
        <w:fldChar w:fldCharType="separate"/>
      </w:r>
      <w:r w:rsidR="006B79B8">
        <w:rPr>
          <w:noProof/>
        </w:rPr>
        <w:t>C</w:t>
      </w:r>
      <w:r w:rsidR="006B79B8" w:rsidRPr="00D00F02">
        <w:rPr>
          <w:noProof/>
        </w:rPr>
        <w:t>.</w:t>
      </w:r>
      <w:r w:rsidR="006B79B8">
        <w:rPr>
          <w:noProof/>
        </w:rPr>
        <w:t>1</w:t>
      </w:r>
      <w:r w:rsidR="001451C0">
        <w:rPr>
          <w:noProof/>
        </w:rPr>
        <w:fldChar w:fldCharType="end"/>
      </w:r>
      <w:r>
        <w:t>).</w:t>
      </w:r>
    </w:p>
    <w:p w:rsidR="00242C46" w:rsidRDefault="00242C46" w:rsidP="00242C46">
      <w:pPr>
        <w:pStyle w:val="BodyText"/>
      </w:pPr>
      <w:r>
        <w:t xml:space="preserve">Supporters of the Option 2 include Real Project Solutions, ASBEC, City of </w:t>
      </w:r>
      <w:r w:rsidR="00537C50">
        <w:t>Parramatta</w:t>
      </w:r>
      <w:r>
        <w:t xml:space="preserve"> Cou</w:t>
      </w:r>
      <w:r w:rsidR="00537C50">
        <w:t>ncil, G. James, PCA and</w:t>
      </w:r>
      <w:r>
        <w:t xml:space="preserve"> GBCA</w:t>
      </w:r>
      <w:r w:rsidRPr="003E7824">
        <w:t xml:space="preserve">. </w:t>
      </w:r>
      <w:r w:rsidR="006C0010">
        <w:t>Frank Acitelli, Unions NSW, BlueScope, Anderson Energy Efficiency, DEE did not provide answer to this question.</w:t>
      </w:r>
    </w:p>
    <w:p w:rsidR="00242C46" w:rsidRDefault="00242C46" w:rsidP="00242C46">
      <w:pPr>
        <w:pStyle w:val="BodyText"/>
      </w:pPr>
      <w:r w:rsidRPr="003E7824">
        <w:t xml:space="preserve">Benmax, Real Project solutions, ASBEC, GBC, </w:t>
      </w:r>
      <w:r w:rsidR="00537C50" w:rsidRPr="003E7824">
        <w:t>and PCA</w:t>
      </w:r>
      <w:r w:rsidRPr="003E7824">
        <w:t xml:space="preserve"> are all in broad agreement with an increase in stringency not</w:t>
      </w:r>
      <w:r>
        <w:t>ing</w:t>
      </w:r>
      <w:r w:rsidRPr="003E7824">
        <w:t xml:space="preserve"> there will be pockets of major impact around capability and communication that will necessitate time to transition to a new system. G.</w:t>
      </w:r>
      <w:r>
        <w:t xml:space="preserve"> </w:t>
      </w:r>
      <w:r w:rsidRPr="003E7824">
        <w:t xml:space="preserve">James, despite being quite critical of the assumptions around stringency, </w:t>
      </w:r>
      <w:r>
        <w:t>i</w:t>
      </w:r>
      <w:r w:rsidRPr="003E7824">
        <w:t xml:space="preserve">s also supportive of an increase. </w:t>
      </w:r>
    </w:p>
    <w:p w:rsidR="00242C46" w:rsidRDefault="00242C46" w:rsidP="00242C46">
      <w:pPr>
        <w:pStyle w:val="BodyText"/>
      </w:pPr>
      <w:r>
        <w:t>Although not specifically stating the preference of options, Environment Victoria ‘strongly supports the Australian Building Code Board’s efforts to improve building energy performance’.</w:t>
      </w:r>
    </w:p>
    <w:p w:rsidR="00242C46" w:rsidRDefault="00242C46" w:rsidP="00242C46">
      <w:pPr>
        <w:pStyle w:val="BodyText"/>
      </w:pPr>
      <w:r w:rsidRPr="003E7824">
        <w:t xml:space="preserve">The NSW </w:t>
      </w:r>
      <w:r>
        <w:t>B</w:t>
      </w:r>
      <w:r w:rsidRPr="003E7824">
        <w:t>uilding Administration support</w:t>
      </w:r>
      <w:r>
        <w:t>s</w:t>
      </w:r>
      <w:r w:rsidRPr="003E7824">
        <w:t xml:space="preserve"> Option 2 on the bas</w:t>
      </w:r>
      <w:r>
        <w:t>i</w:t>
      </w:r>
      <w:r w:rsidRPr="003E7824">
        <w:t xml:space="preserve">s </w:t>
      </w:r>
      <w:r>
        <w:t xml:space="preserve">that </w:t>
      </w:r>
      <w:r w:rsidRPr="003E7824">
        <w:t xml:space="preserve">technical issues are resolved and </w:t>
      </w:r>
      <w:r>
        <w:t>a minimum level of performance being required for the building fabric</w:t>
      </w:r>
      <w:r w:rsidRPr="003E7824">
        <w:t>.</w:t>
      </w:r>
    </w:p>
    <w:p w:rsidR="00242C46" w:rsidRDefault="00242C46" w:rsidP="00242C46">
      <w:pPr>
        <w:pStyle w:val="BodyText"/>
      </w:pPr>
      <w:r>
        <w:t xml:space="preserve">Think Brick Australia prefers Option 2 on the condition that the reference of NZS 4214 is removed. </w:t>
      </w:r>
    </w:p>
    <w:p w:rsidR="00242C46" w:rsidRDefault="00242C46" w:rsidP="00242C46">
      <w:pPr>
        <w:pStyle w:val="BodyText"/>
      </w:pPr>
      <w:r w:rsidRPr="003E7824">
        <w:t xml:space="preserve">Sustainability House </w:t>
      </w:r>
      <w:r>
        <w:t xml:space="preserve">also </w:t>
      </w:r>
      <w:r w:rsidRPr="003E7824">
        <w:t>provide</w:t>
      </w:r>
      <w:r>
        <w:t>d</w:t>
      </w:r>
      <w:r w:rsidRPr="003E7824">
        <w:t xml:space="preserve"> conditional support noting the potential for VM stringency to change outside of an NCC cycle</w:t>
      </w:r>
      <w:r>
        <w:t>.</w:t>
      </w:r>
      <w:r w:rsidRPr="003E7824">
        <w:t xml:space="preserve"> </w:t>
      </w:r>
      <w:r>
        <w:t>It argues that the DTS lighting allowances need to be updated even if the Option 1 (</w:t>
      </w:r>
      <w:r w:rsidRPr="009E23DD">
        <w:rPr>
          <w:i/>
        </w:rPr>
        <w:t>the status quo</w:t>
      </w:r>
      <w:r>
        <w:t>) were chosen. For Option 2, it objects some changes to Performance Requirements, in particular the proposed new compliance pathways through NABERS and Green Star. For Option 3 (voluntary option), it agrees that the industry can benefit greatly by improving and increasing the extent of voluntary rating schemes and non-regulatory, self-regulatory and co-regulatory options.</w:t>
      </w:r>
    </w:p>
    <w:p w:rsidR="00242C46" w:rsidRDefault="00242C46" w:rsidP="00242C46">
      <w:pPr>
        <w:pStyle w:val="BodyText"/>
      </w:pPr>
      <w:r w:rsidRPr="003E7824">
        <w:t>NASH suggest</w:t>
      </w:r>
      <w:r>
        <w:t>s</w:t>
      </w:r>
      <w:r w:rsidRPr="003E7824">
        <w:t xml:space="preserve"> the market demands different approaches based on their level of capability to respond to the change</w:t>
      </w:r>
      <w:r>
        <w:t>s</w:t>
      </w:r>
      <w:r w:rsidRPr="003E7824">
        <w:t xml:space="preserve"> </w:t>
      </w:r>
      <w:r>
        <w:t>–</w:t>
      </w:r>
      <w:r w:rsidRPr="003E7824">
        <w:t xml:space="preserve"> larger</w:t>
      </w:r>
      <w:r>
        <w:t xml:space="preserve"> </w:t>
      </w:r>
      <w:r w:rsidRPr="003E7824">
        <w:t>buildings not necessitating regulatory intervention and smaller buildings which are more likely to be using the D</w:t>
      </w:r>
      <w:r>
        <w:t>T</w:t>
      </w:r>
      <w:r w:rsidRPr="003E7824">
        <w:t xml:space="preserve">S, be provided simple options for compliance to enable increases in stringency. </w:t>
      </w:r>
    </w:p>
    <w:p w:rsidR="00242C46" w:rsidRDefault="00242C46" w:rsidP="00242C46">
      <w:pPr>
        <w:pStyle w:val="BodyText"/>
      </w:pPr>
      <w:r>
        <w:t>Australian Small Business and Family Enterprise Ombudsman provided general comments as to allow ‘flexible compliance options’ for small business, and to give consideration for ‘exclusions or voluntary stringency requirements for spaces most likely used by small business, particularly in the retail industry including small business franchisees’.</w:t>
      </w:r>
    </w:p>
    <w:p w:rsidR="00242C46" w:rsidRDefault="00242C46" w:rsidP="00242C46">
      <w:pPr>
        <w:pStyle w:val="BodyText"/>
      </w:pPr>
      <w:r w:rsidRPr="003E7824">
        <w:t xml:space="preserve">BlueScope </w:t>
      </w:r>
      <w:r>
        <w:t xml:space="preserve">does not answer the question directly, but </w:t>
      </w:r>
      <w:r w:rsidRPr="003E7824">
        <w:t xml:space="preserve">makes a moral argument </w:t>
      </w:r>
      <w:r>
        <w:t xml:space="preserve">elsewhere </w:t>
      </w:r>
      <w:r w:rsidRPr="003E7824">
        <w:t xml:space="preserve">theoretically solar absorptance gains should not be used to offset other costs. </w:t>
      </w:r>
    </w:p>
    <w:p w:rsidR="00242C46" w:rsidRDefault="00242C46" w:rsidP="00242C46">
      <w:pPr>
        <w:pStyle w:val="BodyText"/>
      </w:pPr>
      <w:r w:rsidRPr="003E7824">
        <w:t>Those that object to increase in stringency include:</w:t>
      </w:r>
    </w:p>
    <w:p w:rsidR="00242C46" w:rsidRDefault="00242C46" w:rsidP="00242C46">
      <w:pPr>
        <w:pStyle w:val="ListBullet"/>
      </w:pPr>
      <w:r w:rsidRPr="003E7824">
        <w:t xml:space="preserve">Bondor </w:t>
      </w:r>
      <w:r>
        <w:t>G</w:t>
      </w:r>
      <w:r w:rsidRPr="003E7824">
        <w:t xml:space="preserve">roup argues individual impacts have not been considered and </w:t>
      </w:r>
      <w:r>
        <w:t>the proposed changes are complex, impractical and unable to be implemented or lead to inadvertent non-compliance.</w:t>
      </w:r>
    </w:p>
    <w:p w:rsidR="00242C46" w:rsidRDefault="00242C46" w:rsidP="00242C46">
      <w:pPr>
        <w:pStyle w:val="ListBullet"/>
      </w:pPr>
      <w:r w:rsidRPr="003E7824">
        <w:t>Rheem note</w:t>
      </w:r>
      <w:r>
        <w:t>s</w:t>
      </w:r>
      <w:r w:rsidRPr="003E7824">
        <w:t xml:space="preserve"> the level at which the technical stringency for products is set will have a major impact on their viability. </w:t>
      </w:r>
    </w:p>
    <w:p w:rsidR="00242C46" w:rsidRPr="00A62C2A" w:rsidRDefault="00242C46" w:rsidP="00242C46">
      <w:pPr>
        <w:pStyle w:val="BodyText"/>
      </w:pPr>
      <w:r w:rsidRPr="003E7824">
        <w:t>Manufacturers generally d</w:t>
      </w:r>
      <w:r>
        <w:t xml:space="preserve">o </w:t>
      </w:r>
      <w:r w:rsidRPr="003E7824">
        <w:t>not disclose a position on the options in part this could be due to the individual impacts of the changes being obscured by the modelling approach. HIA argue</w:t>
      </w:r>
      <w:r>
        <w:t>s</w:t>
      </w:r>
      <w:r w:rsidRPr="003E7824">
        <w:t xml:space="preserve"> the status quo should be adopted and in the event the changes progress a 3 year transition</w:t>
      </w:r>
      <w:r>
        <w:t xml:space="preserve"> may be required</w:t>
      </w:r>
      <w:r w:rsidRPr="003E7824">
        <w:t>. MBA suggest</w:t>
      </w:r>
      <w:r>
        <w:t>s</w:t>
      </w:r>
      <w:r w:rsidRPr="003E7824">
        <w:t xml:space="preserve"> the non-regulatory route </w:t>
      </w:r>
      <w:r>
        <w:t xml:space="preserve">(Option 3) </w:t>
      </w:r>
      <w:r w:rsidRPr="003E7824">
        <w:t xml:space="preserve">be adopted as a means to </w:t>
      </w:r>
      <w:r>
        <w:t>‘allow for an examination of the uptake and effectiveness of the new regulatory guidelines before imposing them on the entire industry’, and to ‘provides greater choice to industry and leaves room for more flexibility for the market to meet the differing demands of businesses’.</w:t>
      </w:r>
    </w:p>
    <w:p w:rsidR="00242C46" w:rsidRDefault="00242C46" w:rsidP="00242C46">
      <w:pPr>
        <w:pStyle w:val="Heading7"/>
        <w:numPr>
          <w:ilvl w:val="6"/>
          <w:numId w:val="5"/>
        </w:numPr>
      </w:pPr>
      <w:bookmarkStart w:id="4866" w:name="_Toc525715644"/>
      <w:r>
        <w:t>Existing average window-to-wall ratio (WWR) in new buildings</w:t>
      </w:r>
      <w:bookmarkEnd w:id="4866"/>
    </w:p>
    <w:p w:rsidR="00242C46" w:rsidRDefault="00242C46" w:rsidP="00242C46">
      <w:pPr>
        <w:pStyle w:val="BodyText"/>
      </w:pPr>
      <w:r>
        <w:t xml:space="preserve">To prepare the submission, DEE commissioned </w:t>
      </w:r>
      <w:r w:rsidR="003F28DD">
        <w:t>EA</w:t>
      </w:r>
      <w:r>
        <w:t xml:space="preserve"> to survey the WWR across various building types. To estimate the WWR, </w:t>
      </w:r>
      <w:r w:rsidR="003F28DD">
        <w:t>EA</w:t>
      </w:r>
      <w:r>
        <w:t xml:space="preserve"> used a software tool on a combination of elevation drawings, Google Streetview and photographs for a sample of buildings. The findings are summarised in table</w:t>
      </w:r>
      <w:r w:rsidR="0079334C">
        <w:t xml:space="preserve"> </w:t>
      </w:r>
      <w:r w:rsidR="001451C0">
        <w:rPr>
          <w:noProof/>
        </w:rPr>
        <w:fldChar w:fldCharType="begin"/>
      </w:r>
      <w:r w:rsidR="001451C0">
        <w:rPr>
          <w:noProof/>
        </w:rPr>
        <w:instrText xml:space="preserve"> REF _Caption7650 </w:instrText>
      </w:r>
      <w:r w:rsidR="001451C0">
        <w:rPr>
          <w:noProof/>
        </w:rPr>
        <w:fldChar w:fldCharType="separate"/>
      </w:r>
      <w:r w:rsidR="006B79B8">
        <w:rPr>
          <w:noProof/>
        </w:rPr>
        <w:t>C</w:t>
      </w:r>
      <w:r w:rsidR="006B79B8" w:rsidRPr="00695C93">
        <w:rPr>
          <w:noProof/>
        </w:rPr>
        <w:t>.</w:t>
      </w:r>
      <w:r w:rsidR="006B79B8">
        <w:rPr>
          <w:noProof/>
        </w:rPr>
        <w:t>2</w:t>
      </w:r>
      <w:r w:rsidR="001451C0">
        <w:rPr>
          <w:noProof/>
        </w:rPr>
        <w:fldChar w:fldCharType="end"/>
      </w:r>
      <w:r>
        <w:t>. It should be noted that the sample size is small and some states may be under-represented in each category. It was also difficult to estimate other façades if using photographs or Google Streetview.</w:t>
      </w:r>
    </w:p>
    <w:p w:rsidR="00242C46" w:rsidRDefault="00242C46" w:rsidP="00242C46">
      <w:pPr>
        <w:pStyle w:val="Caption"/>
      </w:pPr>
      <w:r w:rsidRPr="00695C93">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sidR="00B833F1">
        <w:rPr>
          <w:noProof/>
        </w:rPr>
        <w:instrText>C</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4</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Pr>
          <w:noProof/>
        </w:rPr>
        <w:instrText>4</w:instrText>
      </w:r>
      <w:r>
        <w:rPr>
          <w:noProof/>
        </w:rPr>
        <w:fldChar w:fldCharType="end"/>
      </w:r>
      <w:r w:rsidRPr="00695C93">
        <w:instrText xml:space="preserve">." </w:instrText>
      </w:r>
      <w:r w:rsidRPr="00695C93">
        <w:fldChar w:fldCharType="separate"/>
      </w:r>
      <w:r>
        <w:rPr>
          <w:noProof/>
        </w:rPr>
        <w:instrText>4</w:instrText>
      </w:r>
      <w:r w:rsidRPr="00695C93">
        <w:rPr>
          <w:noProof/>
        </w:rPr>
        <w:instrText>.</w:instrText>
      </w:r>
      <w:r w:rsidRPr="00695C93">
        <w:fldChar w:fldCharType="end"/>
      </w:r>
      <w:r w:rsidRPr="00695C93">
        <w:instrText>" "</w:instrText>
      </w:r>
      <w:r w:rsidR="001451C0">
        <w:rPr>
          <w:noProof/>
        </w:rPr>
        <w:fldChar w:fldCharType="begin"/>
      </w:r>
      <w:r w:rsidR="001451C0">
        <w:rPr>
          <w:noProof/>
        </w:rPr>
        <w:instrText xml:space="preserve"> STYLEREF "Heading 6" \l \n </w:instrText>
      </w:r>
      <w:r w:rsidR="001451C0">
        <w:rPr>
          <w:noProof/>
        </w:rPr>
        <w:fldChar w:fldCharType="separate"/>
      </w:r>
      <w:r w:rsidR="00B833F1">
        <w:rPr>
          <w:noProof/>
        </w:rPr>
        <w:instrText>C</w:instrText>
      </w:r>
      <w:r w:rsidR="001451C0">
        <w:rPr>
          <w:noProof/>
        </w:rPr>
        <w:fldChar w:fldCharType="end"/>
      </w:r>
      <w:r w:rsidRPr="00695C93">
        <w:instrText xml:space="preserve">." </w:instrText>
      </w:r>
      <w:r w:rsidRPr="00695C93">
        <w:fldChar w:fldCharType="separate"/>
      </w:r>
      <w:r w:rsidR="00B833F1">
        <w:rPr>
          <w:noProof/>
        </w:rPr>
        <w:instrText>C</w:instrText>
      </w:r>
      <w:r w:rsidR="00B833F1"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sidR="00B833F1">
        <w:rPr>
          <w:noProof/>
        </w:rPr>
        <w:instrText>C</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4</w:instrText>
      </w:r>
      <w:r>
        <w:rPr>
          <w:noProof/>
        </w:rPr>
        <w:fldChar w:fldCharType="end"/>
      </w:r>
      <w:r w:rsidRPr="00695C93">
        <w:instrText xml:space="preserve"> = 0 "" "1" </w:instrText>
      </w:r>
      <w:r w:rsidRPr="00695C93">
        <w:fldChar w:fldCharType="separate"/>
      </w:r>
      <w:r w:rsidRPr="00695C93">
        <w:rPr>
          <w:noProof/>
        </w:rPr>
        <w:instrText>1</w:instrText>
      </w:r>
      <w:r w:rsidRPr="00695C93">
        <w:fldChar w:fldCharType="end"/>
      </w:r>
      <w:r w:rsidRPr="00695C93">
        <w:instrText xml:space="preserve">" "6" </w:instrText>
      </w:r>
      <w:r w:rsidRPr="00695C93">
        <w:fldChar w:fldCharType="separate"/>
      </w:r>
      <w:r w:rsidR="00B833F1" w:rsidRPr="00695C93">
        <w:rPr>
          <w:noProof/>
        </w:rPr>
        <w:instrText>6</w:instrText>
      </w:r>
      <w:r w:rsidRPr="00695C93">
        <w:fldChar w:fldCharType="end"/>
      </w:r>
      <w:r w:rsidRPr="00695C93">
        <w:instrText xml:space="preserve"> </w:instrText>
      </w:r>
      <w:r w:rsidRPr="00695C93">
        <w:fldChar w:fldCharType="separate"/>
      </w:r>
      <w:r w:rsidR="00B833F1">
        <w:rPr>
          <w:noProof/>
        </w:rPr>
        <w:instrText>2</w:instrText>
      </w:r>
      <w:r w:rsidRPr="00695C93">
        <w:fldChar w:fldCharType="end"/>
      </w:r>
      <w:r w:rsidRPr="00695C93">
        <w:instrText xml:space="preserve">" "" </w:instrText>
      </w:r>
      <w:r w:rsidRPr="00695C93">
        <w:fldChar w:fldCharType="separate"/>
      </w:r>
      <w:bookmarkStart w:id="4867" w:name="_Caption9202"/>
      <w:bookmarkStart w:id="4868" w:name="_Caption7482"/>
      <w:bookmarkStart w:id="4869" w:name="_Caption8583"/>
      <w:bookmarkStart w:id="4870" w:name="_Caption6520"/>
      <w:bookmarkStart w:id="4871" w:name="_Caption1204"/>
      <w:bookmarkStart w:id="4872" w:name="_Caption5991"/>
      <w:bookmarkStart w:id="4873" w:name="_Caption0196"/>
      <w:bookmarkStart w:id="4874" w:name="_Caption9834"/>
      <w:bookmarkStart w:id="4875" w:name="_Caption6962"/>
      <w:bookmarkStart w:id="4876" w:name="_Caption6604"/>
      <w:bookmarkStart w:id="4877" w:name="_Caption9759"/>
      <w:bookmarkStart w:id="4878" w:name="_Caption3056"/>
      <w:bookmarkStart w:id="4879" w:name="_Caption7650"/>
      <w:bookmarkStart w:id="4880" w:name="_Caption9811"/>
      <w:bookmarkStart w:id="4881" w:name="_Caption6898"/>
      <w:bookmarkStart w:id="4882" w:name="_Caption0703"/>
      <w:bookmarkStart w:id="4883" w:name="_Caption4683"/>
      <w:bookmarkStart w:id="4884" w:name="_Caption5754"/>
      <w:bookmarkStart w:id="4885" w:name="_Caption8420"/>
      <w:bookmarkStart w:id="4886" w:name="_Caption7777"/>
      <w:bookmarkStart w:id="4887" w:name="_Caption9224"/>
      <w:bookmarkStart w:id="4888" w:name="_Caption9971"/>
      <w:bookmarkStart w:id="4889" w:name="_Caption3806"/>
      <w:bookmarkStart w:id="4890" w:name="_Caption5776"/>
      <w:bookmarkStart w:id="4891" w:name="_Caption8743"/>
      <w:bookmarkStart w:id="4892" w:name="_Caption7537"/>
      <w:bookmarkStart w:id="4893" w:name="_Caption8635"/>
      <w:bookmarkStart w:id="4894" w:name="_Caption7769"/>
      <w:bookmarkStart w:id="4895" w:name="_Caption8295"/>
      <w:bookmarkStart w:id="4896" w:name="_Caption4925"/>
      <w:bookmarkStart w:id="4897" w:name="_Caption5506"/>
      <w:bookmarkStart w:id="4898" w:name="_Caption8047"/>
      <w:bookmarkStart w:id="4899" w:name="_Caption0627"/>
      <w:bookmarkStart w:id="4900" w:name="_Caption5643"/>
      <w:bookmarkStart w:id="4901" w:name="_Caption2261"/>
      <w:bookmarkStart w:id="4902" w:name="_Caption8838"/>
      <w:bookmarkStart w:id="4903" w:name="_Caption9919"/>
      <w:bookmarkStart w:id="4904" w:name="_Toc525715656"/>
      <w:bookmarkStart w:id="4905" w:name="_Toc525900599"/>
      <w:bookmarkStart w:id="4906" w:name="_Toc529869969"/>
      <w:bookmarkStart w:id="4907" w:name="_Toc530748465"/>
      <w:r w:rsidR="00EA42ED">
        <w:rPr>
          <w:noProof/>
        </w:rPr>
        <w:t>C</w:t>
      </w:r>
      <w:r w:rsidR="00EA42ED" w:rsidRPr="00695C93">
        <w:rPr>
          <w:noProof/>
        </w:rPr>
        <w:t>.</w:t>
      </w:r>
      <w:r w:rsidR="00EA42ED">
        <w:rPr>
          <w:noProof/>
        </w:rPr>
        <w:t>2</w:t>
      </w:r>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r w:rsidRPr="00695C93">
        <w:fldChar w:fldCharType="end"/>
      </w:r>
      <w:r w:rsidRPr="00695C93">
        <w:tab/>
      </w:r>
      <w:r>
        <w:t>WWR across different building sub-types</w:t>
      </w:r>
      <w:bookmarkEnd w:id="4904"/>
      <w:bookmarkEnd w:id="4905"/>
      <w:bookmarkEnd w:id="4906"/>
      <w:bookmarkEnd w:id="4907"/>
    </w:p>
    <w:tbl>
      <w:tblPr>
        <w:tblW w:w="0" w:type="auto"/>
        <w:tblLayout w:type="fixed"/>
        <w:tblLook w:val="0000" w:firstRow="0" w:lastRow="0" w:firstColumn="0" w:lastColumn="0" w:noHBand="0" w:noVBand="0"/>
        <w:tblCaption w:val="Table C.2: WWR across different building sub-types"/>
        <w:tblDescription w:val="This table shows the WWR accross different building sub-types based on research undertaken by Energy Action. "/>
      </w:tblPr>
      <w:tblGrid>
        <w:gridCol w:w="3207"/>
        <w:gridCol w:w="1182"/>
        <w:gridCol w:w="1182"/>
        <w:gridCol w:w="1182"/>
        <w:gridCol w:w="1184"/>
      </w:tblGrid>
      <w:tr w:rsidR="00242C46" w:rsidTr="00242C46">
        <w:trPr>
          <w:trHeight w:val="461"/>
        </w:trPr>
        <w:tc>
          <w:tcPr>
            <w:tcW w:w="3207" w:type="dxa"/>
            <w:shd w:val="clear" w:color="auto" w:fill="6F6652"/>
            <w:tcMar>
              <w:left w:w="57" w:type="dxa"/>
              <w:right w:w="57" w:type="dxa"/>
            </w:tcMar>
          </w:tcPr>
          <w:p w:rsidR="00242C46" w:rsidRDefault="00242C46" w:rsidP="00242C46">
            <w:pPr>
              <w:pStyle w:val="TableDataColumnHeading"/>
              <w:jc w:val="left"/>
              <w:rPr>
                <w:lang w:val="en-GB"/>
              </w:rPr>
            </w:pPr>
          </w:p>
        </w:tc>
        <w:tc>
          <w:tcPr>
            <w:tcW w:w="1182" w:type="dxa"/>
            <w:shd w:val="clear" w:color="auto" w:fill="6F6652"/>
            <w:tcMar>
              <w:left w:w="57" w:type="dxa"/>
              <w:right w:w="57" w:type="dxa"/>
            </w:tcMar>
          </w:tcPr>
          <w:p w:rsidR="00242C46" w:rsidRDefault="00242C46" w:rsidP="00242C46">
            <w:pPr>
              <w:pStyle w:val="TableDataColumnHeading"/>
              <w:rPr>
                <w:lang w:val="en-GB"/>
              </w:rPr>
            </w:pPr>
            <w:r>
              <w:rPr>
                <w:lang w:val="en-GB"/>
              </w:rPr>
              <w:t>Sample</w:t>
            </w:r>
          </w:p>
        </w:tc>
        <w:tc>
          <w:tcPr>
            <w:tcW w:w="1182" w:type="dxa"/>
            <w:shd w:val="clear" w:color="auto" w:fill="6F6652"/>
            <w:tcMar>
              <w:left w:w="57" w:type="dxa"/>
              <w:right w:w="57" w:type="dxa"/>
            </w:tcMar>
          </w:tcPr>
          <w:p w:rsidR="00242C46" w:rsidRDefault="00242C46" w:rsidP="00242C46">
            <w:pPr>
              <w:pStyle w:val="TableDataColumnHeading"/>
              <w:rPr>
                <w:lang w:val="en-GB"/>
              </w:rPr>
            </w:pPr>
            <w:r>
              <w:rPr>
                <w:lang w:val="en-GB"/>
              </w:rPr>
              <w:t>Average WWR</w:t>
            </w:r>
          </w:p>
        </w:tc>
        <w:tc>
          <w:tcPr>
            <w:tcW w:w="1182" w:type="dxa"/>
            <w:shd w:val="clear" w:color="auto" w:fill="6F6652"/>
            <w:tcMar>
              <w:left w:w="57" w:type="dxa"/>
              <w:right w:w="57" w:type="dxa"/>
            </w:tcMar>
          </w:tcPr>
          <w:p w:rsidR="00242C46" w:rsidRDefault="00242C46" w:rsidP="00242C46">
            <w:pPr>
              <w:pStyle w:val="TableDataColumnHeading"/>
              <w:rPr>
                <w:lang w:val="en-GB"/>
              </w:rPr>
            </w:pPr>
            <w:r>
              <w:rPr>
                <w:lang w:val="en-GB"/>
              </w:rPr>
              <w:t>Minimum WWR</w:t>
            </w:r>
          </w:p>
        </w:tc>
        <w:tc>
          <w:tcPr>
            <w:tcW w:w="1184" w:type="dxa"/>
            <w:shd w:val="clear" w:color="auto" w:fill="6F6652"/>
            <w:tcMar>
              <w:left w:w="57" w:type="dxa"/>
              <w:right w:w="57" w:type="dxa"/>
            </w:tcMar>
          </w:tcPr>
          <w:p w:rsidR="00242C46" w:rsidRDefault="00242C46" w:rsidP="00242C46">
            <w:pPr>
              <w:pStyle w:val="TableDataColumnHeading"/>
              <w:rPr>
                <w:lang w:val="en-GB"/>
              </w:rPr>
            </w:pPr>
            <w:r>
              <w:rPr>
                <w:lang w:val="en-GB"/>
              </w:rPr>
              <w:t>Maximum WWR</w:t>
            </w:r>
          </w:p>
        </w:tc>
      </w:tr>
      <w:tr w:rsidR="00242C46" w:rsidTr="00242C46">
        <w:trPr>
          <w:trHeight w:val="230"/>
        </w:trPr>
        <w:tc>
          <w:tcPr>
            <w:tcW w:w="3207" w:type="dxa"/>
            <w:tcBorders>
              <w:bottom w:val="single" w:sz="8" w:space="0" w:color="FFFFFF" w:themeColor="background1"/>
            </w:tcBorders>
            <w:shd w:val="clear" w:color="auto" w:fill="auto"/>
            <w:tcMar>
              <w:left w:w="57" w:type="dxa"/>
              <w:right w:w="57" w:type="dxa"/>
            </w:tcMar>
          </w:tcPr>
          <w:p w:rsidR="00242C46" w:rsidRDefault="00242C46" w:rsidP="00242C46">
            <w:pPr>
              <w:pStyle w:val="TableUnit"/>
              <w:jc w:val="left"/>
              <w:rPr>
                <w:lang w:val="en-GB"/>
              </w:rPr>
            </w:pPr>
          </w:p>
        </w:tc>
        <w:tc>
          <w:tcPr>
            <w:tcW w:w="1182" w:type="dxa"/>
            <w:tcBorders>
              <w:bottom w:val="single" w:sz="8" w:space="0" w:color="FFFFFF" w:themeColor="background1"/>
            </w:tcBorders>
            <w:shd w:val="clear" w:color="auto" w:fill="auto"/>
            <w:tcMar>
              <w:left w:w="57" w:type="dxa"/>
              <w:right w:w="57" w:type="dxa"/>
            </w:tcMar>
          </w:tcPr>
          <w:p w:rsidR="00242C46" w:rsidRDefault="00242C46" w:rsidP="00242C46">
            <w:pPr>
              <w:pStyle w:val="TableUnit"/>
              <w:rPr>
                <w:lang w:val="en-GB"/>
              </w:rPr>
            </w:pPr>
            <w:r>
              <w:rPr>
                <w:lang w:val="en-GB"/>
              </w:rPr>
              <w:t>No.</w:t>
            </w:r>
          </w:p>
        </w:tc>
        <w:tc>
          <w:tcPr>
            <w:tcW w:w="1182" w:type="dxa"/>
            <w:tcBorders>
              <w:bottom w:val="single" w:sz="8" w:space="0" w:color="FFFFFF" w:themeColor="background1"/>
            </w:tcBorders>
            <w:shd w:val="clear" w:color="auto" w:fill="auto"/>
            <w:tcMar>
              <w:left w:w="57" w:type="dxa"/>
              <w:right w:w="57" w:type="dxa"/>
            </w:tcMar>
          </w:tcPr>
          <w:p w:rsidR="00242C46" w:rsidRDefault="00242C46" w:rsidP="00242C46">
            <w:pPr>
              <w:pStyle w:val="TableUnit"/>
              <w:rPr>
                <w:lang w:val="en-GB"/>
              </w:rPr>
            </w:pPr>
            <w:r>
              <w:rPr>
                <w:lang w:val="en-GB"/>
              </w:rPr>
              <w:t>Per cent</w:t>
            </w:r>
          </w:p>
        </w:tc>
        <w:tc>
          <w:tcPr>
            <w:tcW w:w="1182" w:type="dxa"/>
            <w:tcBorders>
              <w:bottom w:val="single" w:sz="8" w:space="0" w:color="FFFFFF" w:themeColor="background1"/>
            </w:tcBorders>
            <w:shd w:val="clear" w:color="auto" w:fill="auto"/>
            <w:tcMar>
              <w:left w:w="57" w:type="dxa"/>
              <w:right w:w="57" w:type="dxa"/>
            </w:tcMar>
          </w:tcPr>
          <w:p w:rsidR="00242C46" w:rsidRDefault="00242C46" w:rsidP="00242C46">
            <w:pPr>
              <w:pStyle w:val="TableUnit"/>
              <w:rPr>
                <w:lang w:val="en-GB"/>
              </w:rPr>
            </w:pPr>
            <w:r>
              <w:rPr>
                <w:lang w:val="en-GB"/>
              </w:rPr>
              <w:t>Per cent</w:t>
            </w:r>
          </w:p>
        </w:tc>
        <w:tc>
          <w:tcPr>
            <w:tcW w:w="1184" w:type="dxa"/>
            <w:tcBorders>
              <w:bottom w:val="single" w:sz="8" w:space="0" w:color="FFFFFF" w:themeColor="background1"/>
            </w:tcBorders>
            <w:shd w:val="clear" w:color="auto" w:fill="auto"/>
            <w:tcMar>
              <w:left w:w="57" w:type="dxa"/>
              <w:right w:w="57" w:type="dxa"/>
            </w:tcMar>
          </w:tcPr>
          <w:p w:rsidR="00242C46" w:rsidRDefault="00242C46" w:rsidP="00242C46">
            <w:pPr>
              <w:pStyle w:val="TableUnit"/>
              <w:rPr>
                <w:lang w:val="en-GB"/>
              </w:rPr>
            </w:pPr>
            <w:r>
              <w:rPr>
                <w:lang w:val="en-GB"/>
              </w:rPr>
              <w:t>Per cent</w:t>
            </w:r>
          </w:p>
        </w:tc>
      </w:tr>
      <w:tr w:rsidR="00242C46" w:rsidRPr="000D5320" w:rsidTr="00242C46">
        <w:trPr>
          <w:trHeight w:val="230"/>
        </w:trPr>
        <w:tc>
          <w:tcPr>
            <w:tcW w:w="3207"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242C46" w:rsidRPr="000D5320" w:rsidRDefault="00242C46" w:rsidP="00242C46">
            <w:pPr>
              <w:pStyle w:val="TableDataEntries"/>
              <w:jc w:val="left"/>
              <w:rPr>
                <w:rFonts w:ascii="Franklin Gothic Demi" w:hAnsi="Franklin Gothic Demi"/>
                <w:lang w:val="en-GB"/>
              </w:rPr>
            </w:pPr>
            <w:r w:rsidRPr="000D5320">
              <w:rPr>
                <w:rFonts w:ascii="Franklin Gothic Demi" w:hAnsi="Franklin Gothic Demi"/>
                <w:lang w:val="en-GB"/>
              </w:rPr>
              <w:t>Hotels</w:t>
            </w:r>
          </w:p>
        </w:tc>
        <w:tc>
          <w:tcPr>
            <w:tcW w:w="1182"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242C46" w:rsidRPr="000D5320" w:rsidRDefault="00242C46" w:rsidP="00242C46">
            <w:pPr>
              <w:pStyle w:val="TableDataEntries"/>
              <w:rPr>
                <w:rFonts w:ascii="Franklin Gothic Demi" w:hAnsi="Franklin Gothic Demi"/>
                <w:lang w:val="en-GB"/>
              </w:rPr>
            </w:pPr>
            <w:r w:rsidRPr="000D5320">
              <w:rPr>
                <w:rFonts w:ascii="Franklin Gothic Demi" w:hAnsi="Franklin Gothic Demi"/>
                <w:lang w:val="en-GB"/>
              </w:rPr>
              <w:t>26</w:t>
            </w:r>
          </w:p>
        </w:tc>
        <w:tc>
          <w:tcPr>
            <w:tcW w:w="1182"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242C46" w:rsidRPr="000D5320" w:rsidRDefault="00242C46" w:rsidP="00242C46">
            <w:pPr>
              <w:pStyle w:val="TableDataEntries"/>
              <w:rPr>
                <w:rFonts w:ascii="Franklin Gothic Demi" w:hAnsi="Franklin Gothic Demi"/>
                <w:lang w:val="en-GB"/>
              </w:rPr>
            </w:pPr>
            <w:r w:rsidRPr="000D5320">
              <w:rPr>
                <w:rFonts w:ascii="Franklin Gothic Demi" w:hAnsi="Franklin Gothic Demi"/>
                <w:lang w:val="en-GB"/>
              </w:rPr>
              <w:t>27</w:t>
            </w:r>
          </w:p>
        </w:tc>
        <w:tc>
          <w:tcPr>
            <w:tcW w:w="1182"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242C46" w:rsidRPr="000D5320" w:rsidRDefault="00242C46" w:rsidP="00242C46">
            <w:pPr>
              <w:pStyle w:val="TableDataEntries"/>
              <w:rPr>
                <w:rFonts w:ascii="Franklin Gothic Demi" w:hAnsi="Franklin Gothic Demi"/>
                <w:lang w:val="en-GB"/>
              </w:rPr>
            </w:pPr>
            <w:r w:rsidRPr="000D5320">
              <w:rPr>
                <w:rFonts w:ascii="Franklin Gothic Demi" w:hAnsi="Franklin Gothic Demi"/>
                <w:lang w:val="en-GB"/>
              </w:rPr>
              <w:t>12</w:t>
            </w:r>
          </w:p>
        </w:tc>
        <w:tc>
          <w:tcPr>
            <w:tcW w:w="1184"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242C46" w:rsidRPr="000D5320" w:rsidRDefault="00242C46" w:rsidP="00242C46">
            <w:pPr>
              <w:pStyle w:val="TableDataEntries"/>
              <w:rPr>
                <w:rFonts w:ascii="Franklin Gothic Demi" w:hAnsi="Franklin Gothic Demi"/>
                <w:lang w:val="en-GB"/>
              </w:rPr>
            </w:pPr>
            <w:r w:rsidRPr="000D5320">
              <w:rPr>
                <w:rFonts w:ascii="Franklin Gothic Demi" w:hAnsi="Franklin Gothic Demi"/>
                <w:lang w:val="en-GB"/>
              </w:rPr>
              <w:t>40</w:t>
            </w:r>
          </w:p>
        </w:tc>
      </w:tr>
      <w:tr w:rsidR="00242C46" w:rsidTr="00242C46">
        <w:trPr>
          <w:trHeight w:val="230"/>
        </w:trPr>
        <w:tc>
          <w:tcPr>
            <w:tcW w:w="320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42C46" w:rsidRDefault="00242C46" w:rsidP="00C74C79">
            <w:pPr>
              <w:pStyle w:val="TableDataEntries"/>
              <w:ind w:firstLine="82"/>
              <w:jc w:val="left"/>
              <w:rPr>
                <w:lang w:val="en-GB"/>
              </w:rPr>
            </w:pPr>
            <w:r>
              <w:rPr>
                <w:lang w:val="en-GB"/>
              </w:rPr>
              <w:t>Business hotel</w:t>
            </w:r>
          </w:p>
        </w:tc>
        <w:tc>
          <w:tcPr>
            <w:tcW w:w="11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42C46" w:rsidRDefault="00242C46" w:rsidP="00242C46">
            <w:pPr>
              <w:pStyle w:val="TableDataEntries"/>
              <w:rPr>
                <w:lang w:val="en-GB"/>
              </w:rPr>
            </w:pPr>
            <w:r>
              <w:rPr>
                <w:lang w:val="en-GB"/>
              </w:rPr>
              <w:t>18</w:t>
            </w:r>
          </w:p>
        </w:tc>
        <w:tc>
          <w:tcPr>
            <w:tcW w:w="11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42C46" w:rsidRDefault="00242C46" w:rsidP="00242C46">
            <w:pPr>
              <w:pStyle w:val="TableDataEntries"/>
              <w:rPr>
                <w:lang w:val="en-GB"/>
              </w:rPr>
            </w:pPr>
            <w:r>
              <w:rPr>
                <w:lang w:val="en-GB"/>
              </w:rPr>
              <w:t>32</w:t>
            </w:r>
          </w:p>
        </w:tc>
        <w:tc>
          <w:tcPr>
            <w:tcW w:w="11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42C46" w:rsidRDefault="00242C46" w:rsidP="00242C46">
            <w:pPr>
              <w:pStyle w:val="TableDataEntries"/>
              <w:rPr>
                <w:lang w:val="en-GB"/>
              </w:rPr>
            </w:pPr>
            <w:r>
              <w:rPr>
                <w:lang w:val="en-GB"/>
              </w:rPr>
              <w:t>15</w:t>
            </w:r>
          </w:p>
        </w:tc>
        <w:tc>
          <w:tcPr>
            <w:tcW w:w="118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42C46" w:rsidRDefault="00242C46" w:rsidP="00242C46">
            <w:pPr>
              <w:pStyle w:val="TableDataEntries"/>
              <w:rPr>
                <w:lang w:val="en-GB"/>
              </w:rPr>
            </w:pPr>
            <w:r>
              <w:rPr>
                <w:lang w:val="en-GB"/>
              </w:rPr>
              <w:t>47</w:t>
            </w:r>
          </w:p>
        </w:tc>
      </w:tr>
      <w:tr w:rsidR="00242C46" w:rsidTr="00242C46">
        <w:trPr>
          <w:trHeight w:val="230"/>
        </w:trPr>
        <w:tc>
          <w:tcPr>
            <w:tcW w:w="320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42C46" w:rsidRDefault="00242C46" w:rsidP="00C74C79">
            <w:pPr>
              <w:pStyle w:val="TableDataEntries"/>
              <w:ind w:firstLine="82"/>
              <w:jc w:val="left"/>
              <w:rPr>
                <w:lang w:val="en-GB"/>
              </w:rPr>
            </w:pPr>
            <w:r>
              <w:rPr>
                <w:lang w:val="en-GB"/>
              </w:rPr>
              <w:t>Motel</w:t>
            </w:r>
          </w:p>
        </w:tc>
        <w:tc>
          <w:tcPr>
            <w:tcW w:w="11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42C46" w:rsidRDefault="00242C46" w:rsidP="00242C46">
            <w:pPr>
              <w:pStyle w:val="TableDataEntries"/>
              <w:rPr>
                <w:lang w:val="en-GB"/>
              </w:rPr>
            </w:pPr>
            <w:r>
              <w:rPr>
                <w:lang w:val="en-GB"/>
              </w:rPr>
              <w:t>8</w:t>
            </w:r>
          </w:p>
        </w:tc>
        <w:tc>
          <w:tcPr>
            <w:tcW w:w="11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42C46" w:rsidRDefault="00242C46" w:rsidP="00242C46">
            <w:pPr>
              <w:pStyle w:val="TableDataEntries"/>
              <w:rPr>
                <w:lang w:val="en-GB"/>
              </w:rPr>
            </w:pPr>
            <w:r>
              <w:rPr>
                <w:lang w:val="en-GB"/>
              </w:rPr>
              <w:t>16</w:t>
            </w:r>
          </w:p>
        </w:tc>
        <w:tc>
          <w:tcPr>
            <w:tcW w:w="11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42C46" w:rsidRDefault="00242C46" w:rsidP="00242C46">
            <w:pPr>
              <w:pStyle w:val="TableDataEntries"/>
              <w:rPr>
                <w:lang w:val="en-GB"/>
              </w:rPr>
            </w:pPr>
            <w:r>
              <w:rPr>
                <w:lang w:val="en-GB"/>
              </w:rPr>
              <w:t>5</w:t>
            </w:r>
          </w:p>
        </w:tc>
        <w:tc>
          <w:tcPr>
            <w:tcW w:w="118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42C46" w:rsidRDefault="00242C46" w:rsidP="00242C46">
            <w:pPr>
              <w:pStyle w:val="TableDataEntries"/>
              <w:rPr>
                <w:lang w:val="en-GB"/>
              </w:rPr>
            </w:pPr>
            <w:r>
              <w:rPr>
                <w:lang w:val="en-GB"/>
              </w:rPr>
              <w:t>29</w:t>
            </w:r>
          </w:p>
        </w:tc>
      </w:tr>
      <w:tr w:rsidR="00242C46" w:rsidRPr="000D5320" w:rsidTr="00242C46">
        <w:trPr>
          <w:trHeight w:val="230"/>
        </w:trPr>
        <w:tc>
          <w:tcPr>
            <w:tcW w:w="3207"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242C46" w:rsidRPr="000D5320" w:rsidRDefault="00242C46" w:rsidP="00242C46">
            <w:pPr>
              <w:pStyle w:val="TableDataEntries"/>
              <w:jc w:val="left"/>
              <w:rPr>
                <w:rFonts w:ascii="Franklin Gothic Demi" w:hAnsi="Franklin Gothic Demi"/>
                <w:lang w:val="en-GB"/>
              </w:rPr>
            </w:pPr>
            <w:r w:rsidRPr="000D5320">
              <w:rPr>
                <w:rFonts w:ascii="Franklin Gothic Demi" w:hAnsi="Franklin Gothic Demi"/>
                <w:lang w:val="en-GB"/>
              </w:rPr>
              <w:t>Office</w:t>
            </w:r>
          </w:p>
        </w:tc>
        <w:tc>
          <w:tcPr>
            <w:tcW w:w="1182"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242C46" w:rsidRPr="000D5320" w:rsidRDefault="00242C46" w:rsidP="00242C46">
            <w:pPr>
              <w:pStyle w:val="TableDataEntries"/>
              <w:rPr>
                <w:rFonts w:ascii="Franklin Gothic Demi" w:hAnsi="Franklin Gothic Demi"/>
                <w:lang w:val="en-GB"/>
              </w:rPr>
            </w:pPr>
            <w:r w:rsidRPr="000D5320">
              <w:rPr>
                <w:rFonts w:ascii="Franklin Gothic Demi" w:hAnsi="Franklin Gothic Demi"/>
                <w:lang w:val="en-GB"/>
              </w:rPr>
              <w:t>28</w:t>
            </w:r>
          </w:p>
        </w:tc>
        <w:tc>
          <w:tcPr>
            <w:tcW w:w="1182"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242C46" w:rsidRPr="000D5320" w:rsidRDefault="00242C46" w:rsidP="00242C46">
            <w:pPr>
              <w:pStyle w:val="TableDataEntries"/>
              <w:rPr>
                <w:rFonts w:ascii="Franklin Gothic Demi" w:hAnsi="Franklin Gothic Demi"/>
                <w:lang w:val="en-GB"/>
              </w:rPr>
            </w:pPr>
            <w:r w:rsidRPr="000D5320">
              <w:rPr>
                <w:rFonts w:ascii="Franklin Gothic Demi" w:hAnsi="Franklin Gothic Demi"/>
                <w:lang w:val="en-GB"/>
              </w:rPr>
              <w:t>46</w:t>
            </w:r>
          </w:p>
        </w:tc>
        <w:tc>
          <w:tcPr>
            <w:tcW w:w="1182"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242C46" w:rsidRPr="000D5320" w:rsidRDefault="00242C46" w:rsidP="00242C46">
            <w:pPr>
              <w:pStyle w:val="TableDataEntries"/>
              <w:rPr>
                <w:rFonts w:ascii="Franklin Gothic Demi" w:hAnsi="Franklin Gothic Demi"/>
                <w:lang w:val="en-GB"/>
              </w:rPr>
            </w:pPr>
            <w:r w:rsidRPr="000D5320">
              <w:rPr>
                <w:rFonts w:ascii="Franklin Gothic Demi" w:hAnsi="Franklin Gothic Demi"/>
                <w:lang w:val="en-GB"/>
              </w:rPr>
              <w:t>31</w:t>
            </w:r>
          </w:p>
        </w:tc>
        <w:tc>
          <w:tcPr>
            <w:tcW w:w="1184"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242C46" w:rsidRPr="000D5320" w:rsidRDefault="00242C46" w:rsidP="00242C46">
            <w:pPr>
              <w:pStyle w:val="TableDataEntries"/>
              <w:rPr>
                <w:rFonts w:ascii="Franklin Gothic Demi" w:hAnsi="Franklin Gothic Demi"/>
                <w:lang w:val="en-GB"/>
              </w:rPr>
            </w:pPr>
            <w:r w:rsidRPr="000D5320">
              <w:rPr>
                <w:rFonts w:ascii="Franklin Gothic Demi" w:hAnsi="Franklin Gothic Demi"/>
                <w:lang w:val="en-GB"/>
              </w:rPr>
              <w:t>61</w:t>
            </w:r>
          </w:p>
        </w:tc>
      </w:tr>
      <w:tr w:rsidR="00242C46" w:rsidTr="00242C46">
        <w:trPr>
          <w:trHeight w:val="230"/>
        </w:trPr>
        <w:tc>
          <w:tcPr>
            <w:tcW w:w="320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42C46" w:rsidRDefault="00242C46" w:rsidP="00C74C79">
            <w:pPr>
              <w:pStyle w:val="TableDataEntries"/>
              <w:ind w:firstLine="82"/>
              <w:jc w:val="left"/>
              <w:rPr>
                <w:lang w:val="en-GB"/>
              </w:rPr>
            </w:pPr>
            <w:r>
              <w:rPr>
                <w:lang w:val="en-GB"/>
              </w:rPr>
              <w:t>Low rise office (&lt;10 floors)</w:t>
            </w:r>
          </w:p>
        </w:tc>
        <w:tc>
          <w:tcPr>
            <w:tcW w:w="11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42C46" w:rsidRDefault="00242C46" w:rsidP="00242C46">
            <w:pPr>
              <w:pStyle w:val="TableDataEntries"/>
              <w:rPr>
                <w:lang w:val="en-GB"/>
              </w:rPr>
            </w:pPr>
            <w:r>
              <w:rPr>
                <w:lang w:val="en-GB"/>
              </w:rPr>
              <w:t>15</w:t>
            </w:r>
          </w:p>
        </w:tc>
        <w:tc>
          <w:tcPr>
            <w:tcW w:w="11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42C46" w:rsidRDefault="00242C46" w:rsidP="00242C46">
            <w:pPr>
              <w:pStyle w:val="TableDataEntries"/>
              <w:rPr>
                <w:lang w:val="en-GB"/>
              </w:rPr>
            </w:pPr>
            <w:r>
              <w:rPr>
                <w:lang w:val="en-GB"/>
              </w:rPr>
              <w:t>35</w:t>
            </w:r>
          </w:p>
        </w:tc>
        <w:tc>
          <w:tcPr>
            <w:tcW w:w="11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42C46" w:rsidRDefault="00242C46" w:rsidP="00242C46">
            <w:pPr>
              <w:pStyle w:val="TableDataEntries"/>
              <w:rPr>
                <w:lang w:val="en-GB"/>
              </w:rPr>
            </w:pPr>
            <w:r>
              <w:rPr>
                <w:lang w:val="en-GB"/>
              </w:rPr>
              <w:t>18</w:t>
            </w:r>
          </w:p>
        </w:tc>
        <w:tc>
          <w:tcPr>
            <w:tcW w:w="118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42C46" w:rsidRDefault="00242C46" w:rsidP="00242C46">
            <w:pPr>
              <w:pStyle w:val="TableDataEntries"/>
              <w:rPr>
                <w:lang w:val="en-GB"/>
              </w:rPr>
            </w:pPr>
            <w:r>
              <w:rPr>
                <w:lang w:val="en-GB"/>
              </w:rPr>
              <w:t>54</w:t>
            </w:r>
          </w:p>
        </w:tc>
      </w:tr>
      <w:tr w:rsidR="00242C46" w:rsidTr="00242C46">
        <w:trPr>
          <w:trHeight w:val="230"/>
        </w:trPr>
        <w:tc>
          <w:tcPr>
            <w:tcW w:w="320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42C46" w:rsidRDefault="00E6622A" w:rsidP="00C74C79">
            <w:pPr>
              <w:pStyle w:val="TableDataEntries"/>
              <w:ind w:firstLine="82"/>
              <w:jc w:val="left"/>
              <w:rPr>
                <w:lang w:val="en-GB"/>
              </w:rPr>
            </w:pPr>
            <w:r>
              <w:rPr>
                <w:lang w:val="en-GB"/>
              </w:rPr>
              <w:t>Mid-rise</w:t>
            </w:r>
            <w:r w:rsidR="00242C46">
              <w:rPr>
                <w:lang w:val="en-GB"/>
              </w:rPr>
              <w:t xml:space="preserve"> office (10-25 floors)</w:t>
            </w:r>
          </w:p>
        </w:tc>
        <w:tc>
          <w:tcPr>
            <w:tcW w:w="11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42C46" w:rsidRDefault="00242C46" w:rsidP="00242C46">
            <w:pPr>
              <w:pStyle w:val="TableDataEntries"/>
              <w:rPr>
                <w:lang w:val="en-GB"/>
              </w:rPr>
            </w:pPr>
            <w:r>
              <w:rPr>
                <w:lang w:val="en-GB"/>
              </w:rPr>
              <w:t>8</w:t>
            </w:r>
          </w:p>
        </w:tc>
        <w:tc>
          <w:tcPr>
            <w:tcW w:w="11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42C46" w:rsidRDefault="00242C46" w:rsidP="00242C46">
            <w:pPr>
              <w:pStyle w:val="TableDataEntries"/>
              <w:rPr>
                <w:lang w:val="en-GB"/>
              </w:rPr>
            </w:pPr>
            <w:r>
              <w:rPr>
                <w:lang w:val="en-GB"/>
              </w:rPr>
              <w:t>63</w:t>
            </w:r>
          </w:p>
        </w:tc>
        <w:tc>
          <w:tcPr>
            <w:tcW w:w="11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42C46" w:rsidRDefault="00242C46" w:rsidP="00242C46">
            <w:pPr>
              <w:pStyle w:val="TableDataEntries"/>
              <w:rPr>
                <w:lang w:val="en-GB"/>
              </w:rPr>
            </w:pPr>
            <w:r>
              <w:rPr>
                <w:lang w:val="en-GB"/>
              </w:rPr>
              <w:t>53</w:t>
            </w:r>
          </w:p>
        </w:tc>
        <w:tc>
          <w:tcPr>
            <w:tcW w:w="118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42C46" w:rsidRDefault="00242C46" w:rsidP="00242C46">
            <w:pPr>
              <w:pStyle w:val="TableDataEntries"/>
              <w:rPr>
                <w:lang w:val="en-GB"/>
              </w:rPr>
            </w:pPr>
            <w:r>
              <w:rPr>
                <w:lang w:val="en-GB"/>
              </w:rPr>
              <w:t>70</w:t>
            </w:r>
          </w:p>
        </w:tc>
      </w:tr>
      <w:tr w:rsidR="00242C46" w:rsidTr="00242C46">
        <w:trPr>
          <w:trHeight w:val="230"/>
        </w:trPr>
        <w:tc>
          <w:tcPr>
            <w:tcW w:w="320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42C46" w:rsidRDefault="00242C46" w:rsidP="00C74C79">
            <w:pPr>
              <w:pStyle w:val="TableDataEntries"/>
              <w:ind w:firstLine="82"/>
              <w:jc w:val="left"/>
              <w:rPr>
                <w:lang w:val="en-GB"/>
              </w:rPr>
            </w:pPr>
            <w:r>
              <w:rPr>
                <w:lang w:val="en-GB"/>
              </w:rPr>
              <w:t>High rise office (25+ floors)</w:t>
            </w:r>
          </w:p>
        </w:tc>
        <w:tc>
          <w:tcPr>
            <w:tcW w:w="11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42C46" w:rsidRDefault="00242C46" w:rsidP="00242C46">
            <w:pPr>
              <w:pStyle w:val="TableDataEntries"/>
              <w:rPr>
                <w:lang w:val="en-GB"/>
              </w:rPr>
            </w:pPr>
            <w:r>
              <w:rPr>
                <w:lang w:val="en-GB"/>
              </w:rPr>
              <w:t>5</w:t>
            </w:r>
          </w:p>
        </w:tc>
        <w:tc>
          <w:tcPr>
            <w:tcW w:w="11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42C46" w:rsidRDefault="00242C46" w:rsidP="00242C46">
            <w:pPr>
              <w:pStyle w:val="TableDataEntries"/>
              <w:rPr>
                <w:lang w:val="en-GB"/>
              </w:rPr>
            </w:pPr>
            <w:r>
              <w:rPr>
                <w:lang w:val="en-GB"/>
              </w:rPr>
              <w:t>57</w:t>
            </w:r>
          </w:p>
        </w:tc>
        <w:tc>
          <w:tcPr>
            <w:tcW w:w="11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42C46" w:rsidRDefault="00242C46" w:rsidP="00242C46">
            <w:pPr>
              <w:pStyle w:val="TableDataEntries"/>
              <w:rPr>
                <w:lang w:val="en-GB"/>
              </w:rPr>
            </w:pPr>
            <w:r>
              <w:rPr>
                <w:lang w:val="en-GB"/>
              </w:rPr>
              <w:t>41</w:t>
            </w:r>
          </w:p>
        </w:tc>
        <w:tc>
          <w:tcPr>
            <w:tcW w:w="118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42C46" w:rsidRDefault="00242C46" w:rsidP="00242C46">
            <w:pPr>
              <w:pStyle w:val="TableDataEntries"/>
              <w:rPr>
                <w:lang w:val="en-GB"/>
              </w:rPr>
            </w:pPr>
            <w:r>
              <w:rPr>
                <w:lang w:val="en-GB"/>
              </w:rPr>
              <w:t>69</w:t>
            </w:r>
          </w:p>
        </w:tc>
      </w:tr>
      <w:tr w:rsidR="00242C46" w:rsidRPr="000D5320" w:rsidTr="00242C46">
        <w:trPr>
          <w:trHeight w:val="230"/>
        </w:trPr>
        <w:tc>
          <w:tcPr>
            <w:tcW w:w="3207"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242C46" w:rsidRPr="000D5320" w:rsidRDefault="00242C46" w:rsidP="00242C46">
            <w:pPr>
              <w:pStyle w:val="TableDataEntries"/>
              <w:jc w:val="left"/>
              <w:rPr>
                <w:rFonts w:ascii="Franklin Gothic Demi" w:hAnsi="Franklin Gothic Demi"/>
                <w:lang w:val="en-GB"/>
              </w:rPr>
            </w:pPr>
            <w:r w:rsidRPr="000D5320">
              <w:rPr>
                <w:rFonts w:ascii="Franklin Gothic Demi" w:hAnsi="Franklin Gothic Demi"/>
                <w:lang w:val="en-GB"/>
              </w:rPr>
              <w:t>Retail</w:t>
            </w:r>
          </w:p>
        </w:tc>
        <w:tc>
          <w:tcPr>
            <w:tcW w:w="1182"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242C46" w:rsidRPr="000D5320" w:rsidRDefault="00242C46" w:rsidP="00242C46">
            <w:pPr>
              <w:pStyle w:val="TableDataEntries"/>
              <w:rPr>
                <w:rFonts w:ascii="Franklin Gothic Demi" w:hAnsi="Franklin Gothic Demi"/>
                <w:lang w:val="en-GB"/>
              </w:rPr>
            </w:pPr>
            <w:r w:rsidRPr="000D5320">
              <w:rPr>
                <w:rFonts w:ascii="Franklin Gothic Demi" w:hAnsi="Franklin Gothic Demi"/>
                <w:lang w:val="en-GB"/>
              </w:rPr>
              <w:t>27</w:t>
            </w:r>
          </w:p>
        </w:tc>
        <w:tc>
          <w:tcPr>
            <w:tcW w:w="1182"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242C46" w:rsidRPr="000D5320" w:rsidRDefault="00242C46" w:rsidP="00242C46">
            <w:pPr>
              <w:pStyle w:val="TableDataEntries"/>
              <w:rPr>
                <w:rFonts w:ascii="Franklin Gothic Demi" w:hAnsi="Franklin Gothic Demi"/>
                <w:lang w:val="en-GB"/>
              </w:rPr>
            </w:pPr>
            <w:r w:rsidRPr="000D5320">
              <w:rPr>
                <w:rFonts w:ascii="Franklin Gothic Demi" w:hAnsi="Franklin Gothic Demi"/>
                <w:lang w:val="en-GB"/>
              </w:rPr>
              <w:t>30</w:t>
            </w:r>
          </w:p>
        </w:tc>
        <w:tc>
          <w:tcPr>
            <w:tcW w:w="1182"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242C46" w:rsidRPr="000D5320" w:rsidRDefault="00242C46" w:rsidP="00242C46">
            <w:pPr>
              <w:pStyle w:val="TableDataEntries"/>
              <w:rPr>
                <w:rFonts w:ascii="Franklin Gothic Demi" w:hAnsi="Franklin Gothic Demi"/>
                <w:lang w:val="en-GB"/>
              </w:rPr>
            </w:pPr>
            <w:r w:rsidRPr="000D5320">
              <w:rPr>
                <w:rFonts w:ascii="Franklin Gothic Demi" w:hAnsi="Franklin Gothic Demi"/>
                <w:lang w:val="en-GB"/>
              </w:rPr>
              <w:t>10</w:t>
            </w:r>
          </w:p>
        </w:tc>
        <w:tc>
          <w:tcPr>
            <w:tcW w:w="1184"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242C46" w:rsidRPr="000D5320" w:rsidRDefault="00242C46" w:rsidP="00242C46">
            <w:pPr>
              <w:pStyle w:val="TableDataEntries"/>
              <w:rPr>
                <w:rFonts w:ascii="Franklin Gothic Demi" w:hAnsi="Franklin Gothic Demi"/>
                <w:lang w:val="en-GB"/>
              </w:rPr>
            </w:pPr>
            <w:r w:rsidRPr="000D5320">
              <w:rPr>
                <w:rFonts w:ascii="Franklin Gothic Demi" w:hAnsi="Franklin Gothic Demi"/>
                <w:lang w:val="en-GB"/>
              </w:rPr>
              <w:t>52</w:t>
            </w:r>
          </w:p>
        </w:tc>
      </w:tr>
      <w:tr w:rsidR="00242C46" w:rsidTr="00242C46">
        <w:trPr>
          <w:trHeight w:val="230"/>
        </w:trPr>
        <w:tc>
          <w:tcPr>
            <w:tcW w:w="320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42C46" w:rsidRDefault="00242C46" w:rsidP="00C74C79">
            <w:pPr>
              <w:pStyle w:val="TableDataEntries"/>
              <w:ind w:firstLine="82"/>
              <w:jc w:val="left"/>
              <w:rPr>
                <w:lang w:val="en-GB"/>
              </w:rPr>
            </w:pPr>
            <w:r>
              <w:rPr>
                <w:lang w:val="en-GB"/>
              </w:rPr>
              <w:t>Outdoor retail strip</w:t>
            </w:r>
          </w:p>
        </w:tc>
        <w:tc>
          <w:tcPr>
            <w:tcW w:w="11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42C46" w:rsidRDefault="00242C46" w:rsidP="00242C46">
            <w:pPr>
              <w:pStyle w:val="TableDataEntries"/>
              <w:rPr>
                <w:lang w:val="en-GB"/>
              </w:rPr>
            </w:pPr>
            <w:r>
              <w:rPr>
                <w:lang w:val="en-GB"/>
              </w:rPr>
              <w:t>8</w:t>
            </w:r>
          </w:p>
        </w:tc>
        <w:tc>
          <w:tcPr>
            <w:tcW w:w="11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42C46" w:rsidRDefault="00242C46" w:rsidP="00242C46">
            <w:pPr>
              <w:pStyle w:val="TableDataEntries"/>
              <w:rPr>
                <w:lang w:val="en-GB"/>
              </w:rPr>
            </w:pPr>
            <w:r>
              <w:rPr>
                <w:lang w:val="en-GB"/>
              </w:rPr>
              <w:t>50</w:t>
            </w:r>
          </w:p>
        </w:tc>
        <w:tc>
          <w:tcPr>
            <w:tcW w:w="11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42C46" w:rsidRDefault="00242C46" w:rsidP="00242C46">
            <w:pPr>
              <w:pStyle w:val="TableDataEntries"/>
              <w:rPr>
                <w:lang w:val="en-GB"/>
              </w:rPr>
            </w:pPr>
            <w:r>
              <w:rPr>
                <w:lang w:val="en-GB"/>
              </w:rPr>
              <w:t>13</w:t>
            </w:r>
          </w:p>
        </w:tc>
        <w:tc>
          <w:tcPr>
            <w:tcW w:w="118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42C46" w:rsidRDefault="00242C46" w:rsidP="00242C46">
            <w:pPr>
              <w:pStyle w:val="TableDataEntries"/>
              <w:rPr>
                <w:lang w:val="en-GB"/>
              </w:rPr>
            </w:pPr>
            <w:r>
              <w:rPr>
                <w:lang w:val="en-GB"/>
              </w:rPr>
              <w:t>59</w:t>
            </w:r>
          </w:p>
        </w:tc>
      </w:tr>
      <w:tr w:rsidR="00242C46" w:rsidTr="00242C46">
        <w:trPr>
          <w:trHeight w:val="230"/>
        </w:trPr>
        <w:tc>
          <w:tcPr>
            <w:tcW w:w="320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42C46" w:rsidRDefault="00242C46" w:rsidP="00C74C79">
            <w:pPr>
              <w:pStyle w:val="TableDataEntries"/>
              <w:ind w:firstLine="82"/>
              <w:jc w:val="left"/>
              <w:rPr>
                <w:lang w:val="en-GB"/>
              </w:rPr>
            </w:pPr>
            <w:r>
              <w:rPr>
                <w:lang w:val="en-GB"/>
              </w:rPr>
              <w:t>Shopping centre</w:t>
            </w:r>
          </w:p>
        </w:tc>
        <w:tc>
          <w:tcPr>
            <w:tcW w:w="11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42C46" w:rsidRDefault="00242C46" w:rsidP="00242C46">
            <w:pPr>
              <w:pStyle w:val="TableDataEntries"/>
              <w:rPr>
                <w:lang w:val="en-GB"/>
              </w:rPr>
            </w:pPr>
            <w:r>
              <w:rPr>
                <w:lang w:val="en-GB"/>
              </w:rPr>
              <w:t>5</w:t>
            </w:r>
          </w:p>
        </w:tc>
        <w:tc>
          <w:tcPr>
            <w:tcW w:w="11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42C46" w:rsidRDefault="00242C46" w:rsidP="00242C46">
            <w:pPr>
              <w:pStyle w:val="TableDataEntries"/>
              <w:rPr>
                <w:lang w:val="en-GB"/>
              </w:rPr>
            </w:pPr>
            <w:r>
              <w:rPr>
                <w:lang w:val="en-GB"/>
              </w:rPr>
              <w:t>28</w:t>
            </w:r>
          </w:p>
        </w:tc>
        <w:tc>
          <w:tcPr>
            <w:tcW w:w="11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42C46" w:rsidRDefault="00242C46" w:rsidP="00242C46">
            <w:pPr>
              <w:pStyle w:val="TableDataEntries"/>
              <w:rPr>
                <w:lang w:val="en-GB"/>
              </w:rPr>
            </w:pPr>
            <w:r>
              <w:rPr>
                <w:lang w:val="en-GB"/>
              </w:rPr>
              <w:t>10</w:t>
            </w:r>
          </w:p>
        </w:tc>
        <w:tc>
          <w:tcPr>
            <w:tcW w:w="118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42C46" w:rsidRDefault="00242C46" w:rsidP="00242C46">
            <w:pPr>
              <w:pStyle w:val="TableDataEntries"/>
              <w:rPr>
                <w:lang w:val="en-GB"/>
              </w:rPr>
            </w:pPr>
            <w:r>
              <w:rPr>
                <w:lang w:val="en-GB"/>
              </w:rPr>
              <w:t>45</w:t>
            </w:r>
          </w:p>
        </w:tc>
      </w:tr>
      <w:tr w:rsidR="00242C46" w:rsidTr="00242C46">
        <w:trPr>
          <w:trHeight w:val="230"/>
        </w:trPr>
        <w:tc>
          <w:tcPr>
            <w:tcW w:w="320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42C46" w:rsidRDefault="00242C46" w:rsidP="00C74C79">
            <w:pPr>
              <w:pStyle w:val="TableDataEntries"/>
              <w:ind w:firstLine="82"/>
              <w:jc w:val="left"/>
              <w:rPr>
                <w:lang w:val="en-GB"/>
              </w:rPr>
            </w:pPr>
            <w:r>
              <w:rPr>
                <w:lang w:val="en-GB"/>
              </w:rPr>
              <w:t>Standalone retail</w:t>
            </w:r>
          </w:p>
        </w:tc>
        <w:tc>
          <w:tcPr>
            <w:tcW w:w="11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42C46" w:rsidRDefault="00242C46" w:rsidP="00242C46">
            <w:pPr>
              <w:pStyle w:val="TableDataEntries"/>
              <w:rPr>
                <w:lang w:val="en-GB"/>
              </w:rPr>
            </w:pPr>
            <w:r>
              <w:rPr>
                <w:lang w:val="en-GB"/>
              </w:rPr>
              <w:t>14</w:t>
            </w:r>
          </w:p>
        </w:tc>
        <w:tc>
          <w:tcPr>
            <w:tcW w:w="11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42C46" w:rsidRDefault="00242C46" w:rsidP="00242C46">
            <w:pPr>
              <w:pStyle w:val="TableDataEntries"/>
              <w:rPr>
                <w:lang w:val="en-GB"/>
              </w:rPr>
            </w:pPr>
            <w:r>
              <w:rPr>
                <w:lang w:val="en-GB"/>
              </w:rPr>
              <w:t>18</w:t>
            </w:r>
          </w:p>
        </w:tc>
        <w:tc>
          <w:tcPr>
            <w:tcW w:w="11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42C46" w:rsidRDefault="00242C46" w:rsidP="00242C46">
            <w:pPr>
              <w:pStyle w:val="TableDataEntries"/>
              <w:rPr>
                <w:lang w:val="en-GB"/>
              </w:rPr>
            </w:pPr>
            <w:r>
              <w:rPr>
                <w:lang w:val="en-GB"/>
              </w:rPr>
              <w:t>9</w:t>
            </w:r>
          </w:p>
        </w:tc>
        <w:tc>
          <w:tcPr>
            <w:tcW w:w="118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42C46" w:rsidRDefault="00242C46" w:rsidP="00242C46">
            <w:pPr>
              <w:pStyle w:val="TableDataEntries"/>
              <w:rPr>
                <w:lang w:val="en-GB"/>
              </w:rPr>
            </w:pPr>
            <w:r>
              <w:rPr>
                <w:lang w:val="en-GB"/>
              </w:rPr>
              <w:t>51</w:t>
            </w:r>
          </w:p>
        </w:tc>
      </w:tr>
      <w:tr w:rsidR="00242C46" w:rsidRPr="000D5320" w:rsidTr="00242C46">
        <w:trPr>
          <w:trHeight w:val="230"/>
        </w:trPr>
        <w:tc>
          <w:tcPr>
            <w:tcW w:w="3207"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242C46" w:rsidRPr="000D5320" w:rsidRDefault="00242C46" w:rsidP="00242C46">
            <w:pPr>
              <w:pStyle w:val="TableDataEntries"/>
              <w:jc w:val="left"/>
              <w:rPr>
                <w:rFonts w:ascii="Franklin Gothic Demi" w:hAnsi="Franklin Gothic Demi"/>
                <w:lang w:val="en-GB"/>
              </w:rPr>
            </w:pPr>
            <w:r w:rsidRPr="000D5320">
              <w:rPr>
                <w:rFonts w:ascii="Franklin Gothic Demi" w:hAnsi="Franklin Gothic Demi"/>
                <w:lang w:val="en-GB"/>
              </w:rPr>
              <w:t>Hospitals</w:t>
            </w:r>
          </w:p>
        </w:tc>
        <w:tc>
          <w:tcPr>
            <w:tcW w:w="1182"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242C46" w:rsidRPr="000D5320" w:rsidRDefault="00242C46" w:rsidP="00242C46">
            <w:pPr>
              <w:pStyle w:val="TableDataEntries"/>
              <w:rPr>
                <w:rFonts w:ascii="Franklin Gothic Demi" w:hAnsi="Franklin Gothic Demi"/>
                <w:lang w:val="en-GB"/>
              </w:rPr>
            </w:pPr>
            <w:r w:rsidRPr="000D5320">
              <w:rPr>
                <w:rFonts w:ascii="Franklin Gothic Demi" w:hAnsi="Franklin Gothic Demi"/>
                <w:lang w:val="en-GB"/>
              </w:rPr>
              <w:t>25</w:t>
            </w:r>
          </w:p>
        </w:tc>
        <w:tc>
          <w:tcPr>
            <w:tcW w:w="1182"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242C46" w:rsidRPr="000D5320" w:rsidRDefault="00242C46" w:rsidP="00242C46">
            <w:pPr>
              <w:pStyle w:val="TableDataEntries"/>
              <w:rPr>
                <w:rFonts w:ascii="Franklin Gothic Demi" w:hAnsi="Franklin Gothic Demi"/>
                <w:lang w:val="en-GB"/>
              </w:rPr>
            </w:pPr>
            <w:r w:rsidRPr="000D5320">
              <w:rPr>
                <w:rFonts w:ascii="Franklin Gothic Demi" w:hAnsi="Franklin Gothic Demi"/>
                <w:lang w:val="en-GB"/>
              </w:rPr>
              <w:t>30</w:t>
            </w:r>
          </w:p>
        </w:tc>
        <w:tc>
          <w:tcPr>
            <w:tcW w:w="1182"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242C46" w:rsidRPr="000D5320" w:rsidRDefault="00242C46" w:rsidP="00242C46">
            <w:pPr>
              <w:pStyle w:val="TableDataEntries"/>
              <w:rPr>
                <w:rFonts w:ascii="Franklin Gothic Demi" w:hAnsi="Franklin Gothic Demi"/>
                <w:lang w:val="en-GB"/>
              </w:rPr>
            </w:pPr>
            <w:r w:rsidRPr="000D5320">
              <w:rPr>
                <w:rFonts w:ascii="Franklin Gothic Demi" w:hAnsi="Franklin Gothic Demi"/>
                <w:lang w:val="en-GB"/>
              </w:rPr>
              <w:t>14</w:t>
            </w:r>
          </w:p>
        </w:tc>
        <w:tc>
          <w:tcPr>
            <w:tcW w:w="1184"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242C46" w:rsidRPr="000D5320" w:rsidRDefault="00242C46" w:rsidP="00242C46">
            <w:pPr>
              <w:pStyle w:val="TableDataEntries"/>
              <w:rPr>
                <w:rFonts w:ascii="Franklin Gothic Demi" w:hAnsi="Franklin Gothic Demi"/>
                <w:lang w:val="en-GB"/>
              </w:rPr>
            </w:pPr>
            <w:r w:rsidRPr="000D5320">
              <w:rPr>
                <w:rFonts w:ascii="Franklin Gothic Demi" w:hAnsi="Franklin Gothic Demi"/>
                <w:lang w:val="en-GB"/>
              </w:rPr>
              <w:t>45</w:t>
            </w:r>
          </w:p>
        </w:tc>
      </w:tr>
      <w:tr w:rsidR="00242C46" w:rsidRPr="000D5320" w:rsidTr="00242C46">
        <w:trPr>
          <w:trHeight w:val="230"/>
        </w:trPr>
        <w:tc>
          <w:tcPr>
            <w:tcW w:w="3207"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242C46" w:rsidRPr="000D5320" w:rsidRDefault="00242C46" w:rsidP="00242C46">
            <w:pPr>
              <w:pStyle w:val="TableDataEntries"/>
              <w:jc w:val="left"/>
              <w:rPr>
                <w:rFonts w:ascii="Franklin Gothic Demi" w:hAnsi="Franklin Gothic Demi"/>
                <w:lang w:val="en-GB"/>
              </w:rPr>
            </w:pPr>
            <w:r w:rsidRPr="000D5320">
              <w:rPr>
                <w:rFonts w:ascii="Franklin Gothic Demi" w:hAnsi="Franklin Gothic Demi"/>
                <w:lang w:val="en-GB"/>
              </w:rPr>
              <w:t>Aged care</w:t>
            </w:r>
          </w:p>
        </w:tc>
        <w:tc>
          <w:tcPr>
            <w:tcW w:w="1182"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242C46" w:rsidRPr="000D5320" w:rsidRDefault="00242C46" w:rsidP="00242C46">
            <w:pPr>
              <w:pStyle w:val="TableDataEntries"/>
              <w:rPr>
                <w:rFonts w:ascii="Franklin Gothic Demi" w:hAnsi="Franklin Gothic Demi"/>
                <w:lang w:val="en-GB"/>
              </w:rPr>
            </w:pPr>
            <w:r w:rsidRPr="000D5320">
              <w:rPr>
                <w:rFonts w:ascii="Franklin Gothic Demi" w:hAnsi="Franklin Gothic Demi"/>
                <w:lang w:val="en-GB"/>
              </w:rPr>
              <w:t>30</w:t>
            </w:r>
          </w:p>
        </w:tc>
        <w:tc>
          <w:tcPr>
            <w:tcW w:w="1182"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242C46" w:rsidRPr="000D5320" w:rsidRDefault="00242C46" w:rsidP="00242C46">
            <w:pPr>
              <w:pStyle w:val="TableDataEntries"/>
              <w:rPr>
                <w:rFonts w:ascii="Franklin Gothic Demi" w:hAnsi="Franklin Gothic Demi"/>
                <w:lang w:val="en-GB"/>
              </w:rPr>
            </w:pPr>
            <w:r w:rsidRPr="000D5320">
              <w:rPr>
                <w:rFonts w:ascii="Franklin Gothic Demi" w:hAnsi="Franklin Gothic Demi"/>
                <w:lang w:val="en-GB"/>
              </w:rPr>
              <w:t>27</w:t>
            </w:r>
          </w:p>
        </w:tc>
        <w:tc>
          <w:tcPr>
            <w:tcW w:w="1182"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242C46" w:rsidRPr="000D5320" w:rsidRDefault="00242C46" w:rsidP="00242C46">
            <w:pPr>
              <w:pStyle w:val="TableDataEntries"/>
              <w:rPr>
                <w:rFonts w:ascii="Franklin Gothic Demi" w:hAnsi="Franklin Gothic Demi"/>
                <w:lang w:val="en-GB"/>
              </w:rPr>
            </w:pPr>
            <w:r w:rsidRPr="000D5320">
              <w:rPr>
                <w:rFonts w:ascii="Franklin Gothic Demi" w:hAnsi="Franklin Gothic Demi"/>
                <w:lang w:val="en-GB"/>
              </w:rPr>
              <w:t>15</w:t>
            </w:r>
          </w:p>
        </w:tc>
        <w:tc>
          <w:tcPr>
            <w:tcW w:w="1184"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242C46" w:rsidRPr="000D5320" w:rsidRDefault="00242C46" w:rsidP="00242C46">
            <w:pPr>
              <w:pStyle w:val="TableDataEntries"/>
              <w:rPr>
                <w:rFonts w:ascii="Franklin Gothic Demi" w:hAnsi="Franklin Gothic Demi"/>
                <w:lang w:val="en-GB"/>
              </w:rPr>
            </w:pPr>
            <w:r w:rsidRPr="000D5320">
              <w:rPr>
                <w:rFonts w:ascii="Franklin Gothic Demi" w:hAnsi="Franklin Gothic Demi"/>
                <w:lang w:val="en-GB"/>
              </w:rPr>
              <w:t>41</w:t>
            </w:r>
          </w:p>
        </w:tc>
      </w:tr>
      <w:tr w:rsidR="00242C46" w:rsidRPr="000D5320" w:rsidTr="00242C46">
        <w:trPr>
          <w:trHeight w:val="230"/>
        </w:trPr>
        <w:tc>
          <w:tcPr>
            <w:tcW w:w="3207"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242C46" w:rsidRPr="000D5320" w:rsidRDefault="00242C46" w:rsidP="00242C46">
            <w:pPr>
              <w:pStyle w:val="TableDataEntries"/>
              <w:jc w:val="left"/>
              <w:rPr>
                <w:rFonts w:ascii="Franklin Gothic Demi" w:hAnsi="Franklin Gothic Demi"/>
                <w:lang w:val="en-GB"/>
              </w:rPr>
            </w:pPr>
            <w:r w:rsidRPr="000D5320">
              <w:rPr>
                <w:rFonts w:ascii="Franklin Gothic Demi" w:hAnsi="Franklin Gothic Demi"/>
                <w:lang w:val="en-GB"/>
              </w:rPr>
              <w:t>Education</w:t>
            </w:r>
          </w:p>
        </w:tc>
        <w:tc>
          <w:tcPr>
            <w:tcW w:w="1182"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242C46" w:rsidRPr="000D5320" w:rsidRDefault="00242C46" w:rsidP="00242C46">
            <w:pPr>
              <w:pStyle w:val="TableDataEntries"/>
              <w:rPr>
                <w:rFonts w:ascii="Franklin Gothic Demi" w:hAnsi="Franklin Gothic Demi"/>
                <w:lang w:val="en-GB"/>
              </w:rPr>
            </w:pPr>
            <w:r w:rsidRPr="000D5320">
              <w:rPr>
                <w:rFonts w:ascii="Franklin Gothic Demi" w:hAnsi="Franklin Gothic Demi"/>
                <w:lang w:val="en-GB"/>
              </w:rPr>
              <w:t>29</w:t>
            </w:r>
          </w:p>
        </w:tc>
        <w:tc>
          <w:tcPr>
            <w:tcW w:w="1182"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242C46" w:rsidRPr="000D5320" w:rsidRDefault="00242C46" w:rsidP="00242C46">
            <w:pPr>
              <w:pStyle w:val="TableDataEntries"/>
              <w:rPr>
                <w:rFonts w:ascii="Franklin Gothic Demi" w:hAnsi="Franklin Gothic Demi"/>
                <w:lang w:val="en-GB"/>
              </w:rPr>
            </w:pPr>
            <w:r w:rsidRPr="000D5320">
              <w:rPr>
                <w:rFonts w:ascii="Franklin Gothic Demi" w:hAnsi="Franklin Gothic Demi"/>
                <w:lang w:val="en-GB"/>
              </w:rPr>
              <w:t>32</w:t>
            </w:r>
          </w:p>
        </w:tc>
        <w:tc>
          <w:tcPr>
            <w:tcW w:w="1182"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242C46" w:rsidRPr="000D5320" w:rsidRDefault="00242C46" w:rsidP="00242C46">
            <w:pPr>
              <w:pStyle w:val="TableDataEntries"/>
              <w:rPr>
                <w:rFonts w:ascii="Franklin Gothic Demi" w:hAnsi="Franklin Gothic Demi"/>
                <w:lang w:val="en-GB"/>
              </w:rPr>
            </w:pPr>
            <w:r w:rsidRPr="000D5320">
              <w:rPr>
                <w:rFonts w:ascii="Franklin Gothic Demi" w:hAnsi="Franklin Gothic Demi"/>
                <w:lang w:val="en-GB"/>
              </w:rPr>
              <w:t>11</w:t>
            </w:r>
          </w:p>
        </w:tc>
        <w:tc>
          <w:tcPr>
            <w:tcW w:w="1184"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242C46" w:rsidRPr="000D5320" w:rsidRDefault="00242C46" w:rsidP="00242C46">
            <w:pPr>
              <w:pStyle w:val="TableDataEntries"/>
              <w:rPr>
                <w:rFonts w:ascii="Franklin Gothic Demi" w:hAnsi="Franklin Gothic Demi"/>
                <w:lang w:val="en-GB"/>
              </w:rPr>
            </w:pPr>
            <w:r w:rsidRPr="000D5320">
              <w:rPr>
                <w:rFonts w:ascii="Franklin Gothic Demi" w:hAnsi="Franklin Gothic Demi"/>
                <w:lang w:val="en-GB"/>
              </w:rPr>
              <w:t>49</w:t>
            </w:r>
          </w:p>
        </w:tc>
      </w:tr>
      <w:tr w:rsidR="00242C46" w:rsidTr="00242C46">
        <w:trPr>
          <w:trHeight w:val="230"/>
        </w:trPr>
        <w:tc>
          <w:tcPr>
            <w:tcW w:w="320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42C46" w:rsidRDefault="00242C46" w:rsidP="00C74C79">
            <w:pPr>
              <w:pStyle w:val="TableDataEntries"/>
              <w:ind w:firstLine="82"/>
              <w:jc w:val="left"/>
              <w:rPr>
                <w:lang w:val="en-GB"/>
              </w:rPr>
            </w:pPr>
            <w:r>
              <w:rPr>
                <w:lang w:val="en-GB"/>
              </w:rPr>
              <w:t>Early learning centre</w:t>
            </w:r>
          </w:p>
        </w:tc>
        <w:tc>
          <w:tcPr>
            <w:tcW w:w="11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42C46" w:rsidRDefault="00242C46" w:rsidP="00242C46">
            <w:pPr>
              <w:pStyle w:val="TableDataEntries"/>
              <w:rPr>
                <w:lang w:val="en-GB"/>
              </w:rPr>
            </w:pPr>
            <w:r>
              <w:rPr>
                <w:lang w:val="en-GB"/>
              </w:rPr>
              <w:t>3</w:t>
            </w:r>
          </w:p>
        </w:tc>
        <w:tc>
          <w:tcPr>
            <w:tcW w:w="11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42C46" w:rsidRDefault="00242C46" w:rsidP="00242C46">
            <w:pPr>
              <w:pStyle w:val="TableDataEntries"/>
              <w:rPr>
                <w:lang w:val="en-GB"/>
              </w:rPr>
            </w:pPr>
            <w:r>
              <w:rPr>
                <w:lang w:val="en-GB"/>
              </w:rPr>
              <w:t>26</w:t>
            </w:r>
          </w:p>
        </w:tc>
        <w:tc>
          <w:tcPr>
            <w:tcW w:w="11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42C46" w:rsidRDefault="00242C46" w:rsidP="00242C46">
            <w:pPr>
              <w:pStyle w:val="TableDataEntries"/>
              <w:rPr>
                <w:lang w:val="en-GB"/>
              </w:rPr>
            </w:pPr>
            <w:r>
              <w:rPr>
                <w:lang w:val="en-GB"/>
              </w:rPr>
              <w:t>11</w:t>
            </w:r>
          </w:p>
        </w:tc>
        <w:tc>
          <w:tcPr>
            <w:tcW w:w="118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42C46" w:rsidRDefault="00242C46" w:rsidP="00242C46">
            <w:pPr>
              <w:pStyle w:val="TableDataEntries"/>
              <w:rPr>
                <w:lang w:val="en-GB"/>
              </w:rPr>
            </w:pPr>
            <w:r>
              <w:rPr>
                <w:lang w:val="en-GB"/>
              </w:rPr>
              <w:t>46</w:t>
            </w:r>
          </w:p>
        </w:tc>
      </w:tr>
      <w:tr w:rsidR="00242C46" w:rsidTr="00242C46">
        <w:trPr>
          <w:trHeight w:val="230"/>
        </w:trPr>
        <w:tc>
          <w:tcPr>
            <w:tcW w:w="320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42C46" w:rsidRDefault="00242C46" w:rsidP="00C74C79">
            <w:pPr>
              <w:pStyle w:val="TableDataEntries"/>
              <w:ind w:firstLine="82"/>
              <w:jc w:val="left"/>
              <w:rPr>
                <w:lang w:val="en-GB"/>
              </w:rPr>
            </w:pPr>
            <w:r>
              <w:rPr>
                <w:lang w:val="en-GB"/>
              </w:rPr>
              <w:t>Primary school</w:t>
            </w:r>
          </w:p>
        </w:tc>
        <w:tc>
          <w:tcPr>
            <w:tcW w:w="11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42C46" w:rsidRDefault="00242C46" w:rsidP="00242C46">
            <w:pPr>
              <w:pStyle w:val="TableDataEntries"/>
              <w:rPr>
                <w:lang w:val="en-GB"/>
              </w:rPr>
            </w:pPr>
            <w:r>
              <w:rPr>
                <w:lang w:val="en-GB"/>
              </w:rPr>
              <w:t>7</w:t>
            </w:r>
          </w:p>
        </w:tc>
        <w:tc>
          <w:tcPr>
            <w:tcW w:w="11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42C46" w:rsidRDefault="00242C46" w:rsidP="00242C46">
            <w:pPr>
              <w:pStyle w:val="TableDataEntries"/>
              <w:rPr>
                <w:lang w:val="en-GB"/>
              </w:rPr>
            </w:pPr>
            <w:r>
              <w:rPr>
                <w:lang w:val="en-GB"/>
              </w:rPr>
              <w:t>24</w:t>
            </w:r>
          </w:p>
        </w:tc>
        <w:tc>
          <w:tcPr>
            <w:tcW w:w="11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42C46" w:rsidRDefault="00242C46" w:rsidP="00242C46">
            <w:pPr>
              <w:pStyle w:val="TableDataEntries"/>
              <w:rPr>
                <w:lang w:val="en-GB"/>
              </w:rPr>
            </w:pPr>
            <w:r>
              <w:rPr>
                <w:lang w:val="en-GB"/>
              </w:rPr>
              <w:t>3</w:t>
            </w:r>
          </w:p>
        </w:tc>
        <w:tc>
          <w:tcPr>
            <w:tcW w:w="118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42C46" w:rsidRDefault="00242C46" w:rsidP="00242C46">
            <w:pPr>
              <w:pStyle w:val="TableDataEntries"/>
              <w:rPr>
                <w:lang w:val="en-GB"/>
              </w:rPr>
            </w:pPr>
            <w:r>
              <w:rPr>
                <w:lang w:val="en-GB"/>
              </w:rPr>
              <w:t>44</w:t>
            </w:r>
          </w:p>
        </w:tc>
      </w:tr>
      <w:tr w:rsidR="00242C46" w:rsidTr="00242C46">
        <w:trPr>
          <w:trHeight w:val="230"/>
        </w:trPr>
        <w:tc>
          <w:tcPr>
            <w:tcW w:w="320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42C46" w:rsidRDefault="00242C46" w:rsidP="00C74C79">
            <w:pPr>
              <w:pStyle w:val="TableDataEntries"/>
              <w:ind w:firstLine="82"/>
              <w:jc w:val="left"/>
              <w:rPr>
                <w:lang w:val="en-GB"/>
              </w:rPr>
            </w:pPr>
            <w:r>
              <w:rPr>
                <w:lang w:val="en-GB"/>
              </w:rPr>
              <w:t>Secondary school</w:t>
            </w:r>
          </w:p>
        </w:tc>
        <w:tc>
          <w:tcPr>
            <w:tcW w:w="11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42C46" w:rsidRDefault="00242C46" w:rsidP="00242C46">
            <w:pPr>
              <w:pStyle w:val="TableDataEntries"/>
              <w:rPr>
                <w:lang w:val="en-GB"/>
              </w:rPr>
            </w:pPr>
            <w:r>
              <w:rPr>
                <w:lang w:val="en-GB"/>
              </w:rPr>
              <w:t>7</w:t>
            </w:r>
          </w:p>
        </w:tc>
        <w:tc>
          <w:tcPr>
            <w:tcW w:w="11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42C46" w:rsidRDefault="00242C46" w:rsidP="00242C46">
            <w:pPr>
              <w:pStyle w:val="TableDataEntries"/>
              <w:rPr>
                <w:lang w:val="en-GB"/>
              </w:rPr>
            </w:pPr>
            <w:r>
              <w:rPr>
                <w:lang w:val="en-GB"/>
              </w:rPr>
              <w:t>25</w:t>
            </w:r>
          </w:p>
        </w:tc>
        <w:tc>
          <w:tcPr>
            <w:tcW w:w="11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42C46" w:rsidRDefault="00242C46" w:rsidP="00242C46">
            <w:pPr>
              <w:pStyle w:val="TableDataEntries"/>
              <w:rPr>
                <w:lang w:val="en-GB"/>
              </w:rPr>
            </w:pPr>
            <w:r>
              <w:rPr>
                <w:lang w:val="en-GB"/>
              </w:rPr>
              <w:t>7</w:t>
            </w:r>
          </w:p>
        </w:tc>
        <w:tc>
          <w:tcPr>
            <w:tcW w:w="118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42C46" w:rsidRDefault="00242C46" w:rsidP="00242C46">
            <w:pPr>
              <w:pStyle w:val="TableDataEntries"/>
              <w:rPr>
                <w:lang w:val="en-GB"/>
              </w:rPr>
            </w:pPr>
            <w:r>
              <w:rPr>
                <w:lang w:val="en-GB"/>
              </w:rPr>
              <w:t>43</w:t>
            </w:r>
          </w:p>
        </w:tc>
      </w:tr>
      <w:tr w:rsidR="00242C46" w:rsidTr="00242C46">
        <w:trPr>
          <w:trHeight w:val="230"/>
        </w:trPr>
        <w:tc>
          <w:tcPr>
            <w:tcW w:w="3207" w:type="dxa"/>
            <w:tcBorders>
              <w:top w:val="single" w:sz="8" w:space="0" w:color="FFFFFF" w:themeColor="background1"/>
              <w:bottom w:val="single" w:sz="6" w:space="0" w:color="6F6652"/>
            </w:tcBorders>
            <w:shd w:val="clear" w:color="auto" w:fill="E9E8E5" w:themeFill="background2"/>
            <w:tcMar>
              <w:left w:w="57" w:type="dxa"/>
              <w:right w:w="57" w:type="dxa"/>
            </w:tcMar>
          </w:tcPr>
          <w:p w:rsidR="00242C46" w:rsidRDefault="00242C46" w:rsidP="00C74C79">
            <w:pPr>
              <w:pStyle w:val="TableDataEntries"/>
              <w:ind w:firstLine="82"/>
              <w:jc w:val="left"/>
              <w:rPr>
                <w:lang w:val="en-GB"/>
              </w:rPr>
            </w:pPr>
            <w:r>
              <w:rPr>
                <w:lang w:val="en-GB"/>
              </w:rPr>
              <w:t>University</w:t>
            </w:r>
          </w:p>
        </w:tc>
        <w:tc>
          <w:tcPr>
            <w:tcW w:w="1182" w:type="dxa"/>
            <w:tcBorders>
              <w:top w:val="single" w:sz="8" w:space="0" w:color="FFFFFF" w:themeColor="background1"/>
              <w:bottom w:val="single" w:sz="6" w:space="0" w:color="6F6652"/>
            </w:tcBorders>
            <w:shd w:val="clear" w:color="auto" w:fill="E9E8E5" w:themeFill="background2"/>
            <w:tcMar>
              <w:left w:w="57" w:type="dxa"/>
              <w:right w:w="57" w:type="dxa"/>
            </w:tcMar>
          </w:tcPr>
          <w:p w:rsidR="00242C46" w:rsidRDefault="00242C46" w:rsidP="00242C46">
            <w:pPr>
              <w:pStyle w:val="TableDataEntries"/>
              <w:rPr>
                <w:lang w:val="en-GB"/>
              </w:rPr>
            </w:pPr>
            <w:r>
              <w:rPr>
                <w:lang w:val="en-GB"/>
              </w:rPr>
              <w:t>12</w:t>
            </w:r>
          </w:p>
        </w:tc>
        <w:tc>
          <w:tcPr>
            <w:tcW w:w="1182" w:type="dxa"/>
            <w:tcBorders>
              <w:top w:val="single" w:sz="8" w:space="0" w:color="FFFFFF" w:themeColor="background1"/>
              <w:bottom w:val="single" w:sz="6" w:space="0" w:color="6F6652"/>
            </w:tcBorders>
            <w:shd w:val="clear" w:color="auto" w:fill="E9E8E5" w:themeFill="background2"/>
            <w:tcMar>
              <w:left w:w="57" w:type="dxa"/>
              <w:right w:w="57" w:type="dxa"/>
            </w:tcMar>
          </w:tcPr>
          <w:p w:rsidR="00242C46" w:rsidRDefault="00242C46" w:rsidP="00242C46">
            <w:pPr>
              <w:pStyle w:val="TableDataEntries"/>
              <w:rPr>
                <w:lang w:val="en-GB"/>
              </w:rPr>
            </w:pPr>
            <w:r>
              <w:rPr>
                <w:lang w:val="en-GB"/>
              </w:rPr>
              <w:t>44</w:t>
            </w:r>
          </w:p>
        </w:tc>
        <w:tc>
          <w:tcPr>
            <w:tcW w:w="1182" w:type="dxa"/>
            <w:tcBorders>
              <w:top w:val="single" w:sz="8" w:space="0" w:color="FFFFFF" w:themeColor="background1"/>
              <w:bottom w:val="single" w:sz="6" w:space="0" w:color="6F6652"/>
            </w:tcBorders>
            <w:shd w:val="clear" w:color="auto" w:fill="E9E8E5" w:themeFill="background2"/>
            <w:tcMar>
              <w:left w:w="57" w:type="dxa"/>
              <w:right w:w="57" w:type="dxa"/>
            </w:tcMar>
          </w:tcPr>
          <w:p w:rsidR="00242C46" w:rsidRDefault="00242C46" w:rsidP="00242C46">
            <w:pPr>
              <w:pStyle w:val="TableDataEntries"/>
              <w:rPr>
                <w:lang w:val="en-GB"/>
              </w:rPr>
            </w:pPr>
            <w:r>
              <w:rPr>
                <w:lang w:val="en-GB"/>
              </w:rPr>
              <w:t>26</w:t>
            </w:r>
          </w:p>
        </w:tc>
        <w:tc>
          <w:tcPr>
            <w:tcW w:w="1184" w:type="dxa"/>
            <w:tcBorders>
              <w:top w:val="single" w:sz="8" w:space="0" w:color="FFFFFF" w:themeColor="background1"/>
              <w:bottom w:val="single" w:sz="6" w:space="0" w:color="6F6652"/>
            </w:tcBorders>
            <w:shd w:val="clear" w:color="auto" w:fill="E9E8E5" w:themeFill="background2"/>
            <w:tcMar>
              <w:left w:w="57" w:type="dxa"/>
              <w:right w:w="57" w:type="dxa"/>
            </w:tcMar>
          </w:tcPr>
          <w:p w:rsidR="00242C46" w:rsidRDefault="00242C46" w:rsidP="00242C46">
            <w:pPr>
              <w:pStyle w:val="TableDataEntries"/>
              <w:rPr>
                <w:lang w:val="en-GB"/>
              </w:rPr>
            </w:pPr>
            <w:r>
              <w:rPr>
                <w:lang w:val="en-GB"/>
              </w:rPr>
              <w:t>58</w:t>
            </w:r>
          </w:p>
        </w:tc>
      </w:tr>
    </w:tbl>
    <w:p w:rsidR="00242C46" w:rsidRDefault="00242C46" w:rsidP="00242C46">
      <w:pPr>
        <w:pStyle w:val="Source"/>
        <w:rPr>
          <w:lang w:bidi="fa-IR"/>
        </w:rPr>
      </w:pPr>
      <w:r w:rsidRPr="00E04EBF">
        <w:rPr>
          <w:i/>
          <w:lang w:bidi="fa-IR"/>
        </w:rPr>
        <w:t>Source:</w:t>
      </w:r>
      <w:r>
        <w:rPr>
          <w:lang w:bidi="fa-IR"/>
        </w:rPr>
        <w:t xml:space="preserve"> </w:t>
      </w:r>
      <w:r w:rsidR="003F28DD">
        <w:rPr>
          <w:lang w:bidi="fa-IR"/>
        </w:rPr>
        <w:t>EA</w:t>
      </w:r>
      <w:r>
        <w:rPr>
          <w:lang w:bidi="fa-IR"/>
        </w:rPr>
        <w:t>, Australian buildings window to wall ratios, Prepared for the Department of Energy and Climate Change.</w:t>
      </w:r>
    </w:p>
    <w:p w:rsidR="00242C46" w:rsidRPr="00A62C2A" w:rsidRDefault="00242C46" w:rsidP="00242C46">
      <w:pPr>
        <w:pStyle w:val="BodyText"/>
      </w:pPr>
      <w:r>
        <w:t>Benmax Group refers to average WWR in the US by building type, ranging from 6 per cent for warehouse to 54 per cent for large office, in a study of building envelope construction in 2003 CBECS undertaken for the US Department of Energy.</w:t>
      </w:r>
    </w:p>
    <w:p w:rsidR="00242C46" w:rsidRDefault="00242C46" w:rsidP="00242C46">
      <w:pPr>
        <w:pStyle w:val="BodyText"/>
      </w:pPr>
      <w:r>
        <w:t>Think Brick suggests the average WWR is 30 per cent, broadly consistent with the DEE submission.</w:t>
      </w:r>
    </w:p>
    <w:p w:rsidR="00242C46" w:rsidRDefault="00242C46" w:rsidP="00242C46">
      <w:pPr>
        <w:pStyle w:val="BodyText"/>
      </w:pPr>
      <w:r>
        <w:t>Sustainability House suggests that average WWR in new buildings is approximately 35-40 per cent based on 18 randomly selected recent buildings. It is also noted that Office Warehouse constructions have WWR of 50-60 per cent.</w:t>
      </w:r>
    </w:p>
    <w:p w:rsidR="00242C46" w:rsidRDefault="00242C46" w:rsidP="00242C46">
      <w:pPr>
        <w:pStyle w:val="BodyText"/>
      </w:pPr>
      <w:r>
        <w:t>JMG provides an answer of 1:1 ratio to this question, implying a WWR of 50 per cent.</w:t>
      </w:r>
    </w:p>
    <w:p w:rsidR="00242C46" w:rsidRDefault="00242C46" w:rsidP="00242C46">
      <w:pPr>
        <w:pStyle w:val="BodyText"/>
      </w:pPr>
      <w:r>
        <w:rPr>
          <w:lang w:eastAsia="en-US"/>
        </w:rPr>
        <w:t xml:space="preserve">However other submissions provide very different WWR figures. NSW Building Administration estimates the average WWR is around 70 per cent. </w:t>
      </w:r>
      <w:r>
        <w:t xml:space="preserve">G. James </w:t>
      </w:r>
      <w:r w:rsidR="00E6622A">
        <w:t>suggests</w:t>
      </w:r>
      <w:r>
        <w:t xml:space="preserve"> higher WWRs for some building types in its submission (table </w:t>
      </w:r>
      <w:r w:rsidR="001451C0">
        <w:rPr>
          <w:noProof/>
        </w:rPr>
        <w:fldChar w:fldCharType="begin"/>
      </w:r>
      <w:r w:rsidR="001451C0">
        <w:rPr>
          <w:noProof/>
        </w:rPr>
        <w:instrText xml:space="preserve"> REF _Caption2563 </w:instrText>
      </w:r>
      <w:r w:rsidR="001451C0">
        <w:rPr>
          <w:noProof/>
        </w:rPr>
        <w:fldChar w:fldCharType="separate"/>
      </w:r>
      <w:r w:rsidR="006B79B8">
        <w:rPr>
          <w:noProof/>
        </w:rPr>
        <w:t>C</w:t>
      </w:r>
      <w:r w:rsidR="006B79B8" w:rsidRPr="00695C93">
        <w:rPr>
          <w:noProof/>
        </w:rPr>
        <w:t>.</w:t>
      </w:r>
      <w:r w:rsidR="006B79B8">
        <w:rPr>
          <w:noProof/>
        </w:rPr>
        <w:t>3</w:t>
      </w:r>
      <w:r w:rsidR="001451C0">
        <w:rPr>
          <w:noProof/>
        </w:rPr>
        <w:fldChar w:fldCharType="end"/>
      </w:r>
      <w:r>
        <w:t xml:space="preserve">). City of </w:t>
      </w:r>
      <w:r w:rsidR="00537C50">
        <w:t>Parramatta</w:t>
      </w:r>
      <w:r>
        <w:t xml:space="preserve"> Council argues that new commercial office buildings have WWRs approaching 100 per cent.</w:t>
      </w:r>
      <w:bookmarkStart w:id="4908" w:name="_Ref525642018"/>
      <w:r>
        <w:rPr>
          <w:rStyle w:val="FootnoteReference"/>
        </w:rPr>
        <w:footnoteReference w:id="91"/>
      </w:r>
      <w:bookmarkEnd w:id="4908"/>
    </w:p>
    <w:p w:rsidR="00242C46" w:rsidRDefault="00242C46" w:rsidP="00242C46">
      <w:pPr>
        <w:pStyle w:val="Caption"/>
      </w:pPr>
      <w:r w:rsidRPr="00695C93">
        <w:fldChar w:fldCharType="begin"/>
      </w:r>
      <w:r w:rsidRPr="00695C93">
        <w:instrText xml:space="preserve"> IF 1 = 1 "</w:instrText>
      </w:r>
      <w:r w:rsidRPr="00695C93">
        <w:fldChar w:fldCharType="begin"/>
      </w:r>
      <w:r w:rsidRPr="00695C93">
        <w:instrText xml:space="preserve"> IF </w:instrText>
      </w:r>
      <w:r w:rsidR="001451C0">
        <w:rPr>
          <w:noProof/>
        </w:rPr>
        <w:fldChar w:fldCharType="begin"/>
      </w:r>
      <w:r w:rsidR="001451C0">
        <w:rPr>
          <w:noProof/>
        </w:rPr>
        <w:instrText xml:space="preserve"> STYLEREF "Heading 6" \l \n </w:instrText>
      </w:r>
      <w:r w:rsidR="001451C0">
        <w:rPr>
          <w:noProof/>
        </w:rPr>
        <w:fldChar w:fldCharType="separate"/>
      </w:r>
      <w:r w:rsidR="00B833F1">
        <w:rPr>
          <w:noProof/>
        </w:rPr>
        <w:instrText>C</w:instrText>
      </w:r>
      <w:r w:rsidR="001451C0">
        <w:rPr>
          <w:noProof/>
        </w:rPr>
        <w:fldChar w:fldCharType="end"/>
      </w:r>
      <w:r w:rsidRPr="00695C93">
        <w:instrText xml:space="preserve"> = 0 "</w:instrText>
      </w:r>
      <w:r w:rsidRPr="00695C93">
        <w:fldChar w:fldCharType="begin"/>
      </w:r>
      <w:r w:rsidRPr="00695C93">
        <w:instrText xml:space="preserve"> IF </w:instrText>
      </w:r>
      <w:r w:rsidR="001451C0">
        <w:rPr>
          <w:noProof/>
        </w:rPr>
        <w:fldChar w:fldCharType="begin"/>
      </w:r>
      <w:r w:rsidR="001451C0">
        <w:rPr>
          <w:noProof/>
        </w:rPr>
        <w:instrText xml:space="preserve"> STYLEREF "Heading 1" \l \n </w:instrText>
      </w:r>
      <w:r w:rsidR="001451C0">
        <w:rPr>
          <w:noProof/>
        </w:rPr>
        <w:fldChar w:fldCharType="separate"/>
      </w:r>
      <w:r>
        <w:rPr>
          <w:noProof/>
        </w:rPr>
        <w:instrText>0</w:instrText>
      </w:r>
      <w:r w:rsidR="001451C0">
        <w:rPr>
          <w:noProof/>
        </w:rPr>
        <w:fldChar w:fldCharType="end"/>
      </w:r>
      <w:r w:rsidRPr="00695C93">
        <w:instrText xml:space="preserve"> = 0 "" "</w:instrText>
      </w:r>
      <w:r w:rsidR="001451C0">
        <w:rPr>
          <w:noProof/>
        </w:rPr>
        <w:fldChar w:fldCharType="begin"/>
      </w:r>
      <w:r w:rsidR="001451C0">
        <w:rPr>
          <w:noProof/>
        </w:rPr>
        <w:instrText xml:space="preserve"> STYLEREF "Heading 1" \l \n </w:instrText>
      </w:r>
      <w:r w:rsidR="001451C0">
        <w:rPr>
          <w:noProof/>
        </w:rPr>
        <w:fldChar w:fldCharType="separate"/>
      </w:r>
      <w:r>
        <w:rPr>
          <w:noProof/>
        </w:rPr>
        <w:instrText>2</w:instrText>
      </w:r>
      <w:r w:rsidR="001451C0">
        <w:rPr>
          <w:noProof/>
        </w:rPr>
        <w:fldChar w:fldCharType="end"/>
      </w:r>
      <w:r w:rsidRPr="00695C93">
        <w:instrText xml:space="preserve">." </w:instrText>
      </w:r>
      <w:r w:rsidRPr="00695C93">
        <w:fldChar w:fldCharType="end"/>
      </w:r>
      <w:r w:rsidRPr="00695C93">
        <w:instrText>" "</w:instrText>
      </w:r>
      <w:r w:rsidR="001451C0">
        <w:rPr>
          <w:noProof/>
        </w:rPr>
        <w:fldChar w:fldCharType="begin"/>
      </w:r>
      <w:r w:rsidR="001451C0">
        <w:rPr>
          <w:noProof/>
        </w:rPr>
        <w:instrText xml:space="preserve"> STYLEREF "Heading 6" \l \n </w:instrText>
      </w:r>
      <w:r w:rsidR="001451C0">
        <w:rPr>
          <w:noProof/>
        </w:rPr>
        <w:fldChar w:fldCharType="separate"/>
      </w:r>
      <w:r w:rsidR="00B833F1">
        <w:rPr>
          <w:noProof/>
        </w:rPr>
        <w:instrText>C</w:instrText>
      </w:r>
      <w:r w:rsidR="001451C0">
        <w:rPr>
          <w:noProof/>
        </w:rPr>
        <w:fldChar w:fldCharType="end"/>
      </w:r>
      <w:r w:rsidRPr="00695C93">
        <w:instrText xml:space="preserve">." </w:instrText>
      </w:r>
      <w:r w:rsidRPr="00695C93">
        <w:fldChar w:fldCharType="separate"/>
      </w:r>
      <w:r w:rsidR="00B833F1">
        <w:rPr>
          <w:noProof/>
        </w:rPr>
        <w:instrText>C</w:instrText>
      </w:r>
      <w:r w:rsidR="00B833F1"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1451C0">
        <w:rPr>
          <w:noProof/>
        </w:rPr>
        <w:fldChar w:fldCharType="begin"/>
      </w:r>
      <w:r w:rsidR="001451C0">
        <w:rPr>
          <w:noProof/>
        </w:rPr>
        <w:instrText xml:space="preserve"> STYLEREF "Heading 6" \l \n </w:instrText>
      </w:r>
      <w:r w:rsidR="001451C0">
        <w:rPr>
          <w:noProof/>
        </w:rPr>
        <w:fldChar w:fldCharType="separate"/>
      </w:r>
      <w:r w:rsidR="00B833F1">
        <w:rPr>
          <w:noProof/>
        </w:rPr>
        <w:instrText>C</w:instrText>
      </w:r>
      <w:r w:rsidR="001451C0">
        <w:rPr>
          <w:noProof/>
        </w:rPr>
        <w:fldChar w:fldCharType="end"/>
      </w:r>
      <w:r w:rsidRPr="00695C93">
        <w:instrText xml:space="preserve"> = 0 "</w:instrText>
      </w:r>
      <w:r w:rsidRPr="00695C93">
        <w:fldChar w:fldCharType="begin"/>
      </w:r>
      <w:r w:rsidRPr="00695C93">
        <w:instrText xml:space="preserve"> IF </w:instrText>
      </w:r>
      <w:r w:rsidR="001451C0">
        <w:rPr>
          <w:noProof/>
        </w:rPr>
        <w:fldChar w:fldCharType="begin"/>
      </w:r>
      <w:r w:rsidR="001451C0">
        <w:rPr>
          <w:noProof/>
        </w:rPr>
        <w:instrText xml:space="preserve"> STYLEREF "Heading 1" \l \n </w:instrText>
      </w:r>
      <w:r w:rsidR="001451C0">
        <w:rPr>
          <w:noProof/>
        </w:rPr>
        <w:fldChar w:fldCharType="separate"/>
      </w:r>
      <w:r>
        <w:rPr>
          <w:noProof/>
        </w:rPr>
        <w:instrText>0</w:instrText>
      </w:r>
      <w:r w:rsidR="001451C0">
        <w:rPr>
          <w:noProof/>
        </w:rPr>
        <w:fldChar w:fldCharType="end"/>
      </w:r>
      <w:r w:rsidRPr="00695C93">
        <w:instrText xml:space="preserve"> = 0 "" "1" </w:instrText>
      </w:r>
      <w:r w:rsidRPr="00695C93">
        <w:fldChar w:fldCharType="end"/>
      </w:r>
      <w:r w:rsidRPr="00695C93">
        <w:instrText xml:space="preserve">" "6" </w:instrText>
      </w:r>
      <w:r w:rsidRPr="00695C93">
        <w:fldChar w:fldCharType="separate"/>
      </w:r>
      <w:r w:rsidR="00B833F1" w:rsidRPr="00695C93">
        <w:rPr>
          <w:noProof/>
        </w:rPr>
        <w:instrText>6</w:instrText>
      </w:r>
      <w:r w:rsidRPr="00695C93">
        <w:fldChar w:fldCharType="end"/>
      </w:r>
      <w:r w:rsidRPr="00695C93">
        <w:instrText xml:space="preserve"> </w:instrText>
      </w:r>
      <w:r w:rsidRPr="00695C93">
        <w:fldChar w:fldCharType="separate"/>
      </w:r>
      <w:r w:rsidR="00B833F1">
        <w:rPr>
          <w:noProof/>
        </w:rPr>
        <w:instrText>3</w:instrText>
      </w:r>
      <w:r w:rsidRPr="00695C93">
        <w:fldChar w:fldCharType="end"/>
      </w:r>
      <w:r w:rsidRPr="00695C93">
        <w:instrText xml:space="preserve">" "" </w:instrText>
      </w:r>
      <w:r w:rsidRPr="00695C93">
        <w:fldChar w:fldCharType="separate"/>
      </w:r>
      <w:bookmarkStart w:id="4909" w:name="_Caption7771"/>
      <w:bookmarkStart w:id="4910" w:name="_Caption0689"/>
      <w:bookmarkStart w:id="4911" w:name="_Caption1825"/>
      <w:bookmarkStart w:id="4912" w:name="_Caption9659"/>
      <w:bookmarkStart w:id="4913" w:name="_Caption5012"/>
      <w:bookmarkStart w:id="4914" w:name="_Caption0981"/>
      <w:bookmarkStart w:id="4915" w:name="_Caption0653"/>
      <w:bookmarkStart w:id="4916" w:name="_Caption5849"/>
      <w:bookmarkStart w:id="4917" w:name="_Caption4702"/>
      <w:bookmarkStart w:id="4918" w:name="_Caption2563"/>
      <w:bookmarkStart w:id="4919" w:name="_Caption3326"/>
      <w:bookmarkStart w:id="4920" w:name="_Caption2967"/>
      <w:bookmarkStart w:id="4921" w:name="_Caption1323"/>
      <w:bookmarkStart w:id="4922" w:name="_Caption4367"/>
      <w:bookmarkStart w:id="4923" w:name="_Caption5176"/>
      <w:bookmarkStart w:id="4924" w:name="_Caption0133"/>
      <w:bookmarkStart w:id="4925" w:name="_Caption2827"/>
      <w:bookmarkStart w:id="4926" w:name="_Caption8508"/>
      <w:bookmarkStart w:id="4927" w:name="_Caption6539"/>
      <w:bookmarkStart w:id="4928" w:name="_Caption6125"/>
      <w:bookmarkStart w:id="4929" w:name="_Caption2341"/>
      <w:bookmarkStart w:id="4930" w:name="_Caption8119"/>
      <w:bookmarkStart w:id="4931" w:name="_Caption0960"/>
      <w:bookmarkStart w:id="4932" w:name="_Caption5469"/>
      <w:bookmarkStart w:id="4933" w:name="_Caption3478"/>
      <w:bookmarkStart w:id="4934" w:name="_Caption0827"/>
      <w:bookmarkStart w:id="4935" w:name="_Caption7286"/>
      <w:bookmarkStart w:id="4936" w:name="_Caption6768"/>
      <w:bookmarkStart w:id="4937" w:name="_Caption2881"/>
      <w:bookmarkStart w:id="4938" w:name="_Caption8222"/>
      <w:bookmarkStart w:id="4939" w:name="_Caption0208"/>
      <w:bookmarkStart w:id="4940" w:name="_Caption5665"/>
      <w:bookmarkStart w:id="4941" w:name="_Caption1439"/>
      <w:bookmarkStart w:id="4942" w:name="_Caption5581"/>
      <w:bookmarkStart w:id="4943" w:name="_Caption7681"/>
      <w:bookmarkStart w:id="4944" w:name="_Caption1903"/>
      <w:bookmarkStart w:id="4945" w:name="_Caption0311"/>
      <w:bookmarkStart w:id="4946" w:name="_Caption2136"/>
      <w:bookmarkStart w:id="4947" w:name="_Toc525715657"/>
      <w:bookmarkStart w:id="4948" w:name="_Toc525900600"/>
      <w:bookmarkStart w:id="4949" w:name="_Toc529869970"/>
      <w:bookmarkStart w:id="4950" w:name="_Toc530748466"/>
      <w:r w:rsidR="00EA42ED">
        <w:rPr>
          <w:noProof/>
        </w:rPr>
        <w:t>C</w:t>
      </w:r>
      <w:r w:rsidR="00EA42ED" w:rsidRPr="00695C93">
        <w:rPr>
          <w:noProof/>
        </w:rPr>
        <w:t>.</w:t>
      </w:r>
      <w:r w:rsidR="00EA42ED">
        <w:rPr>
          <w:noProof/>
        </w:rPr>
        <w:t>3</w:t>
      </w:r>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r w:rsidRPr="00695C93">
        <w:fldChar w:fldCharType="end"/>
      </w:r>
      <w:r w:rsidRPr="00695C93">
        <w:tab/>
      </w:r>
      <w:r>
        <w:t>Average WWR suggested by G. James</w:t>
      </w:r>
      <w:bookmarkEnd w:id="4947"/>
      <w:bookmarkEnd w:id="4948"/>
      <w:bookmarkEnd w:id="4949"/>
      <w:bookmarkEnd w:id="4950"/>
    </w:p>
    <w:tbl>
      <w:tblPr>
        <w:tblW w:w="0" w:type="auto"/>
        <w:tblLayout w:type="fixed"/>
        <w:tblLook w:val="0000" w:firstRow="0" w:lastRow="0" w:firstColumn="0" w:lastColumn="0" w:noHBand="0" w:noVBand="0"/>
        <w:tblCaption w:val="Table C.3: Average WWR suggested by G.James"/>
        <w:tblDescription w:val="This table shows the average WWR suggested by a stakeholder as being representative of the industry. "/>
      </w:tblPr>
      <w:tblGrid>
        <w:gridCol w:w="3968"/>
        <w:gridCol w:w="3969"/>
      </w:tblGrid>
      <w:tr w:rsidR="00242C46" w:rsidTr="00242C46">
        <w:tc>
          <w:tcPr>
            <w:tcW w:w="3968" w:type="dxa"/>
            <w:tcBorders>
              <w:bottom w:val="single" w:sz="8" w:space="0" w:color="FFFFFF" w:themeColor="background1"/>
            </w:tcBorders>
            <w:shd w:val="clear" w:color="auto" w:fill="6F6652"/>
            <w:tcMar>
              <w:left w:w="57" w:type="dxa"/>
              <w:right w:w="57" w:type="dxa"/>
            </w:tcMar>
          </w:tcPr>
          <w:p w:rsidR="00242C46" w:rsidRDefault="00242C46" w:rsidP="00242C46">
            <w:pPr>
              <w:pStyle w:val="TableDataColumnHeading"/>
              <w:jc w:val="left"/>
            </w:pPr>
            <w:r>
              <w:t>Building type</w:t>
            </w:r>
          </w:p>
        </w:tc>
        <w:tc>
          <w:tcPr>
            <w:tcW w:w="3969" w:type="dxa"/>
            <w:tcBorders>
              <w:bottom w:val="single" w:sz="8" w:space="0" w:color="FFFFFF" w:themeColor="background1"/>
            </w:tcBorders>
            <w:shd w:val="clear" w:color="auto" w:fill="6F6652"/>
            <w:tcMar>
              <w:left w:w="57" w:type="dxa"/>
              <w:right w:w="57" w:type="dxa"/>
            </w:tcMar>
          </w:tcPr>
          <w:p w:rsidR="00242C46" w:rsidRDefault="00242C46" w:rsidP="00242C46">
            <w:pPr>
              <w:pStyle w:val="TableDataColumnHeading"/>
            </w:pPr>
            <w:r>
              <w:t>Average WWR (%)</w:t>
            </w:r>
          </w:p>
        </w:tc>
      </w:tr>
      <w:tr w:rsidR="00242C46" w:rsidTr="00242C46">
        <w:tc>
          <w:tcPr>
            <w:tcW w:w="396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42C46" w:rsidRDefault="00242C46" w:rsidP="00242C46">
            <w:pPr>
              <w:pStyle w:val="TableDataEntries"/>
              <w:jc w:val="left"/>
            </w:pPr>
            <w:r>
              <w:t>Large offices</w:t>
            </w:r>
          </w:p>
        </w:tc>
        <w:tc>
          <w:tcPr>
            <w:tcW w:w="396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42C46" w:rsidRDefault="00242C46" w:rsidP="00242C46">
            <w:pPr>
              <w:pStyle w:val="TableDataEntries"/>
            </w:pPr>
            <w:r>
              <w:t>&gt;65</w:t>
            </w:r>
          </w:p>
        </w:tc>
      </w:tr>
      <w:tr w:rsidR="00242C46" w:rsidTr="00242C46">
        <w:tc>
          <w:tcPr>
            <w:tcW w:w="396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42C46" w:rsidRDefault="00242C46" w:rsidP="00242C46">
            <w:pPr>
              <w:pStyle w:val="TableDataEntries"/>
              <w:jc w:val="left"/>
            </w:pPr>
            <w:r>
              <w:t>Medium offices</w:t>
            </w:r>
          </w:p>
        </w:tc>
        <w:tc>
          <w:tcPr>
            <w:tcW w:w="396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42C46" w:rsidRDefault="00242C46" w:rsidP="00242C46">
            <w:pPr>
              <w:pStyle w:val="TableDataEntries"/>
            </w:pPr>
            <w:r>
              <w:t>&gt;50</w:t>
            </w:r>
          </w:p>
        </w:tc>
      </w:tr>
      <w:tr w:rsidR="00242C46" w:rsidTr="00242C46">
        <w:tc>
          <w:tcPr>
            <w:tcW w:w="396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42C46" w:rsidRDefault="00242C46" w:rsidP="00242C46">
            <w:pPr>
              <w:pStyle w:val="TableDataEntries"/>
              <w:jc w:val="left"/>
            </w:pPr>
            <w:r>
              <w:t>Small offices</w:t>
            </w:r>
          </w:p>
        </w:tc>
        <w:tc>
          <w:tcPr>
            <w:tcW w:w="396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42C46" w:rsidRDefault="00242C46" w:rsidP="00242C46">
            <w:pPr>
              <w:pStyle w:val="TableDataEntries"/>
            </w:pPr>
            <w:r>
              <w:t>&gt;20</w:t>
            </w:r>
          </w:p>
        </w:tc>
      </w:tr>
      <w:tr w:rsidR="00242C46" w:rsidTr="00242C46">
        <w:tc>
          <w:tcPr>
            <w:tcW w:w="396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42C46" w:rsidRDefault="00242C46" w:rsidP="00242C46">
            <w:pPr>
              <w:pStyle w:val="TableDataEntries"/>
              <w:jc w:val="left"/>
            </w:pPr>
            <w:r>
              <w:t>Warehouse</w:t>
            </w:r>
          </w:p>
        </w:tc>
        <w:tc>
          <w:tcPr>
            <w:tcW w:w="396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42C46" w:rsidRDefault="00242C46" w:rsidP="00242C46">
            <w:pPr>
              <w:pStyle w:val="TableDataEntries"/>
            </w:pPr>
            <w:r>
              <w:t>6</w:t>
            </w:r>
          </w:p>
        </w:tc>
      </w:tr>
      <w:tr w:rsidR="00242C46" w:rsidTr="00242C46">
        <w:tc>
          <w:tcPr>
            <w:tcW w:w="396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42C46" w:rsidRDefault="00242C46" w:rsidP="00242C46">
            <w:pPr>
              <w:pStyle w:val="TableDataEntries"/>
              <w:jc w:val="left"/>
            </w:pPr>
            <w:r>
              <w:t>Sand-alone retail</w:t>
            </w:r>
          </w:p>
        </w:tc>
        <w:tc>
          <w:tcPr>
            <w:tcW w:w="396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42C46" w:rsidRDefault="00242C46" w:rsidP="00242C46">
            <w:pPr>
              <w:pStyle w:val="TableDataEntries"/>
            </w:pPr>
            <w:r>
              <w:t>&gt;80</w:t>
            </w:r>
          </w:p>
        </w:tc>
      </w:tr>
      <w:tr w:rsidR="00242C46" w:rsidTr="00242C46">
        <w:tc>
          <w:tcPr>
            <w:tcW w:w="396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42C46" w:rsidRDefault="00242C46" w:rsidP="00242C46">
            <w:pPr>
              <w:pStyle w:val="TableDataEntries"/>
              <w:jc w:val="left"/>
            </w:pPr>
            <w:r>
              <w:t>School</w:t>
            </w:r>
          </w:p>
        </w:tc>
        <w:tc>
          <w:tcPr>
            <w:tcW w:w="396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42C46" w:rsidRDefault="00242C46" w:rsidP="00242C46">
            <w:pPr>
              <w:pStyle w:val="TableDataEntries"/>
            </w:pPr>
            <w:r>
              <w:t>65</w:t>
            </w:r>
          </w:p>
        </w:tc>
      </w:tr>
      <w:tr w:rsidR="00242C46" w:rsidTr="00242C46">
        <w:tc>
          <w:tcPr>
            <w:tcW w:w="396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42C46" w:rsidRDefault="00242C46" w:rsidP="00242C46">
            <w:pPr>
              <w:pStyle w:val="TableDataEntries"/>
              <w:jc w:val="left"/>
            </w:pPr>
            <w:r>
              <w:t>Fast food</w:t>
            </w:r>
          </w:p>
        </w:tc>
        <w:tc>
          <w:tcPr>
            <w:tcW w:w="396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42C46" w:rsidRDefault="00242C46" w:rsidP="00242C46">
            <w:pPr>
              <w:pStyle w:val="TableDataEntries"/>
            </w:pPr>
            <w:r>
              <w:t>35</w:t>
            </w:r>
          </w:p>
        </w:tc>
      </w:tr>
      <w:tr w:rsidR="00242C46" w:rsidTr="00242C46">
        <w:tc>
          <w:tcPr>
            <w:tcW w:w="396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42C46" w:rsidRDefault="00242C46" w:rsidP="00242C46">
            <w:pPr>
              <w:pStyle w:val="TableDataEntries"/>
              <w:jc w:val="left"/>
            </w:pPr>
            <w:r>
              <w:t>Hospital</w:t>
            </w:r>
          </w:p>
        </w:tc>
        <w:tc>
          <w:tcPr>
            <w:tcW w:w="396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42C46" w:rsidRDefault="00242C46" w:rsidP="00242C46">
            <w:pPr>
              <w:pStyle w:val="TableDataEntries"/>
            </w:pPr>
            <w:r>
              <w:t>40-70</w:t>
            </w:r>
          </w:p>
        </w:tc>
      </w:tr>
      <w:tr w:rsidR="00242C46" w:rsidTr="00242C46">
        <w:tc>
          <w:tcPr>
            <w:tcW w:w="396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42C46" w:rsidRDefault="00242C46" w:rsidP="00242C46">
            <w:pPr>
              <w:pStyle w:val="TableDataEntries"/>
              <w:jc w:val="left"/>
            </w:pPr>
            <w:r>
              <w:t>Health care</w:t>
            </w:r>
          </w:p>
        </w:tc>
        <w:tc>
          <w:tcPr>
            <w:tcW w:w="396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42C46" w:rsidRDefault="00242C46" w:rsidP="00242C46">
            <w:pPr>
              <w:pStyle w:val="TableDataEntries"/>
            </w:pPr>
            <w:r>
              <w:t>20-60</w:t>
            </w:r>
          </w:p>
        </w:tc>
      </w:tr>
      <w:tr w:rsidR="00242C46" w:rsidTr="00242C46">
        <w:tc>
          <w:tcPr>
            <w:tcW w:w="396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42C46" w:rsidRDefault="00242C46" w:rsidP="00242C46">
            <w:pPr>
              <w:pStyle w:val="TableDataEntries"/>
              <w:jc w:val="left"/>
            </w:pPr>
            <w:r>
              <w:t>Hotel</w:t>
            </w:r>
          </w:p>
        </w:tc>
        <w:tc>
          <w:tcPr>
            <w:tcW w:w="396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42C46" w:rsidRDefault="00242C46" w:rsidP="00242C46">
            <w:pPr>
              <w:pStyle w:val="TableDataEntries"/>
            </w:pPr>
            <w:r>
              <w:t>&gt;70</w:t>
            </w:r>
          </w:p>
        </w:tc>
      </w:tr>
      <w:tr w:rsidR="00242C46" w:rsidTr="00242C46">
        <w:tc>
          <w:tcPr>
            <w:tcW w:w="396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42C46" w:rsidRDefault="00242C46" w:rsidP="00242C46">
            <w:pPr>
              <w:pStyle w:val="TableDataEntries"/>
              <w:jc w:val="left"/>
            </w:pPr>
            <w:r>
              <w:t>Large multi residential</w:t>
            </w:r>
          </w:p>
        </w:tc>
        <w:tc>
          <w:tcPr>
            <w:tcW w:w="396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42C46" w:rsidRDefault="00242C46" w:rsidP="00242C46">
            <w:pPr>
              <w:pStyle w:val="TableDataEntries"/>
            </w:pPr>
            <w:r>
              <w:t>&gt;70</w:t>
            </w:r>
          </w:p>
        </w:tc>
      </w:tr>
      <w:tr w:rsidR="00242C46" w:rsidTr="00242C46">
        <w:tc>
          <w:tcPr>
            <w:tcW w:w="3968" w:type="dxa"/>
            <w:tcBorders>
              <w:top w:val="single" w:sz="8" w:space="0" w:color="FFFFFF" w:themeColor="background1"/>
              <w:bottom w:val="single" w:sz="6" w:space="0" w:color="6F6652"/>
            </w:tcBorders>
            <w:shd w:val="clear" w:color="auto" w:fill="E9E8E5" w:themeFill="background2"/>
            <w:tcMar>
              <w:left w:w="57" w:type="dxa"/>
              <w:right w:w="57" w:type="dxa"/>
            </w:tcMar>
          </w:tcPr>
          <w:p w:rsidR="00242C46" w:rsidRDefault="00242C46" w:rsidP="00242C46">
            <w:pPr>
              <w:pStyle w:val="TableDataEntries"/>
              <w:jc w:val="left"/>
            </w:pPr>
            <w:r>
              <w:t>Medium residential</w:t>
            </w:r>
          </w:p>
        </w:tc>
        <w:tc>
          <w:tcPr>
            <w:tcW w:w="3969" w:type="dxa"/>
            <w:tcBorders>
              <w:top w:val="single" w:sz="8" w:space="0" w:color="FFFFFF" w:themeColor="background1"/>
              <w:bottom w:val="single" w:sz="6" w:space="0" w:color="6F6652"/>
            </w:tcBorders>
            <w:shd w:val="clear" w:color="auto" w:fill="E9E8E5" w:themeFill="background2"/>
            <w:tcMar>
              <w:left w:w="57" w:type="dxa"/>
              <w:right w:w="57" w:type="dxa"/>
            </w:tcMar>
          </w:tcPr>
          <w:p w:rsidR="00242C46" w:rsidRDefault="00242C46" w:rsidP="00242C46">
            <w:pPr>
              <w:pStyle w:val="TableDataEntries"/>
            </w:pPr>
            <w:r>
              <w:t>&gt;50</w:t>
            </w:r>
          </w:p>
        </w:tc>
      </w:tr>
    </w:tbl>
    <w:p w:rsidR="00242C46" w:rsidRDefault="00242C46" w:rsidP="00242C46">
      <w:pPr>
        <w:pStyle w:val="Note"/>
      </w:pPr>
      <w:r w:rsidRPr="007D1B4F">
        <w:rPr>
          <w:i/>
        </w:rPr>
        <w:t>Note:</w:t>
      </w:r>
      <w:r w:rsidRPr="00E879B8">
        <w:t xml:space="preserve"> </w:t>
      </w:r>
      <w:r>
        <w:t xml:space="preserve">the WWRs may be subject to adjustment as mentioned in footnote </w:t>
      </w:r>
      <w:r>
        <w:fldChar w:fldCharType="begin"/>
      </w:r>
      <w:r>
        <w:instrText xml:space="preserve"> NOTEREF _Ref525642018 \h </w:instrText>
      </w:r>
      <w:r>
        <w:fldChar w:fldCharType="separate"/>
      </w:r>
      <w:r w:rsidR="006B79B8">
        <w:t>90</w:t>
      </w:r>
      <w:r>
        <w:fldChar w:fldCharType="end"/>
      </w:r>
    </w:p>
    <w:p w:rsidR="00242C46" w:rsidRDefault="00242C46" w:rsidP="00242C46">
      <w:pPr>
        <w:pStyle w:val="Source"/>
      </w:pPr>
      <w:r>
        <w:rPr>
          <w:i/>
        </w:rPr>
        <w:t>Source</w:t>
      </w:r>
      <w:r w:rsidRPr="00E4232C">
        <w:rPr>
          <w:i/>
        </w:rPr>
        <w:t>:</w:t>
      </w:r>
      <w:r>
        <w:t xml:space="preserve"> G. James submission</w:t>
      </w:r>
    </w:p>
    <w:p w:rsidR="00242C46" w:rsidRPr="001D7ACC" w:rsidRDefault="00242C46" w:rsidP="00242C46">
      <w:pPr>
        <w:pStyle w:val="BodyText"/>
        <w:rPr>
          <w:lang w:eastAsia="en-US"/>
        </w:rPr>
      </w:pPr>
      <w:r>
        <w:rPr>
          <w:lang w:eastAsia="en-US"/>
        </w:rPr>
        <w:t xml:space="preserve">Property Council of Australia provides average WWR for different building classes based on member feedback (table </w:t>
      </w:r>
      <w:r>
        <w:rPr>
          <w:lang w:eastAsia="en-US"/>
        </w:rPr>
        <w:fldChar w:fldCharType="begin"/>
      </w:r>
      <w:r>
        <w:rPr>
          <w:lang w:eastAsia="en-US"/>
        </w:rPr>
        <w:instrText xml:space="preserve"> REF _Caption8185 </w:instrText>
      </w:r>
      <w:r>
        <w:rPr>
          <w:lang w:eastAsia="en-US"/>
        </w:rPr>
        <w:fldChar w:fldCharType="separate"/>
      </w:r>
      <w:r w:rsidR="006B79B8">
        <w:rPr>
          <w:noProof/>
        </w:rPr>
        <w:t>C</w:t>
      </w:r>
      <w:r w:rsidR="006B79B8" w:rsidRPr="00695C93">
        <w:rPr>
          <w:noProof/>
        </w:rPr>
        <w:t>.</w:t>
      </w:r>
      <w:r w:rsidR="006B79B8">
        <w:rPr>
          <w:noProof/>
        </w:rPr>
        <w:t>4</w:t>
      </w:r>
      <w:r>
        <w:rPr>
          <w:lang w:eastAsia="en-US"/>
        </w:rPr>
        <w:fldChar w:fldCharType="end"/>
      </w:r>
      <w:r>
        <w:rPr>
          <w:lang w:eastAsia="en-US"/>
        </w:rPr>
        <w:t>).</w:t>
      </w:r>
    </w:p>
    <w:p w:rsidR="00242C46" w:rsidRDefault="00242C46" w:rsidP="00242C46">
      <w:pPr>
        <w:pStyle w:val="Caption"/>
      </w:pPr>
      <w:r w:rsidRPr="00695C93">
        <w:fldChar w:fldCharType="begin"/>
      </w:r>
      <w:r w:rsidRPr="00695C93">
        <w:instrText xml:space="preserve"> IF 1 = 1 "</w:instrText>
      </w:r>
      <w:r w:rsidRPr="00695C93">
        <w:fldChar w:fldCharType="begin"/>
      </w:r>
      <w:r w:rsidRPr="00695C93">
        <w:instrText xml:space="preserve"> IF </w:instrText>
      </w:r>
      <w:r w:rsidR="001451C0">
        <w:rPr>
          <w:noProof/>
        </w:rPr>
        <w:fldChar w:fldCharType="begin"/>
      </w:r>
      <w:r w:rsidR="001451C0">
        <w:rPr>
          <w:noProof/>
        </w:rPr>
        <w:instrText xml:space="preserve"> STYLEREF "Heading 6" \l \n </w:instrText>
      </w:r>
      <w:r w:rsidR="001451C0">
        <w:rPr>
          <w:noProof/>
        </w:rPr>
        <w:fldChar w:fldCharType="separate"/>
      </w:r>
      <w:r w:rsidR="00B833F1">
        <w:rPr>
          <w:noProof/>
        </w:rPr>
        <w:instrText>C</w:instrText>
      </w:r>
      <w:r w:rsidR="001451C0">
        <w:rPr>
          <w:noProof/>
        </w:rPr>
        <w:fldChar w:fldCharType="end"/>
      </w:r>
      <w:r w:rsidRPr="00695C93">
        <w:instrText xml:space="preserve"> = 0 "</w:instrText>
      </w:r>
      <w:r w:rsidRPr="00695C93">
        <w:fldChar w:fldCharType="begin"/>
      </w:r>
      <w:r w:rsidRPr="00695C93">
        <w:instrText xml:space="preserve"> IF </w:instrText>
      </w:r>
      <w:r w:rsidR="001451C0">
        <w:rPr>
          <w:noProof/>
        </w:rPr>
        <w:fldChar w:fldCharType="begin"/>
      </w:r>
      <w:r w:rsidR="001451C0">
        <w:rPr>
          <w:noProof/>
        </w:rPr>
        <w:instrText xml:space="preserve"> STYLEREF "Heading 1" \l \n </w:instrText>
      </w:r>
      <w:r w:rsidR="001451C0">
        <w:rPr>
          <w:noProof/>
        </w:rPr>
        <w:fldChar w:fldCharType="separate"/>
      </w:r>
      <w:r>
        <w:rPr>
          <w:noProof/>
        </w:rPr>
        <w:instrText>0</w:instrText>
      </w:r>
      <w:r w:rsidR="001451C0">
        <w:rPr>
          <w:noProof/>
        </w:rPr>
        <w:fldChar w:fldCharType="end"/>
      </w:r>
      <w:r w:rsidRPr="00695C93">
        <w:instrText xml:space="preserve"> = 0 "" "</w:instrText>
      </w:r>
      <w:r w:rsidR="001451C0">
        <w:rPr>
          <w:noProof/>
        </w:rPr>
        <w:fldChar w:fldCharType="begin"/>
      </w:r>
      <w:r w:rsidR="001451C0">
        <w:rPr>
          <w:noProof/>
        </w:rPr>
        <w:instrText xml:space="preserve"> STYLEREF "Heading 1" \l \n </w:instrText>
      </w:r>
      <w:r w:rsidR="001451C0">
        <w:rPr>
          <w:noProof/>
        </w:rPr>
        <w:fldChar w:fldCharType="separate"/>
      </w:r>
      <w:r>
        <w:rPr>
          <w:noProof/>
        </w:rPr>
        <w:instrText>2</w:instrText>
      </w:r>
      <w:r w:rsidR="001451C0">
        <w:rPr>
          <w:noProof/>
        </w:rPr>
        <w:fldChar w:fldCharType="end"/>
      </w:r>
      <w:r w:rsidRPr="00695C93">
        <w:instrText xml:space="preserve">." </w:instrText>
      </w:r>
      <w:r w:rsidRPr="00695C93">
        <w:fldChar w:fldCharType="end"/>
      </w:r>
      <w:r w:rsidRPr="00695C93">
        <w:instrText>" "</w:instrText>
      </w:r>
      <w:r w:rsidR="001451C0">
        <w:rPr>
          <w:noProof/>
        </w:rPr>
        <w:fldChar w:fldCharType="begin"/>
      </w:r>
      <w:r w:rsidR="001451C0">
        <w:rPr>
          <w:noProof/>
        </w:rPr>
        <w:instrText xml:space="preserve"> STYLEREF "Heading 6" \l \n </w:instrText>
      </w:r>
      <w:r w:rsidR="001451C0">
        <w:rPr>
          <w:noProof/>
        </w:rPr>
        <w:fldChar w:fldCharType="separate"/>
      </w:r>
      <w:r w:rsidR="00B833F1">
        <w:rPr>
          <w:noProof/>
        </w:rPr>
        <w:instrText>C</w:instrText>
      </w:r>
      <w:r w:rsidR="001451C0">
        <w:rPr>
          <w:noProof/>
        </w:rPr>
        <w:fldChar w:fldCharType="end"/>
      </w:r>
      <w:r w:rsidRPr="00695C93">
        <w:instrText xml:space="preserve">." </w:instrText>
      </w:r>
      <w:r w:rsidRPr="00695C93">
        <w:fldChar w:fldCharType="separate"/>
      </w:r>
      <w:r w:rsidR="00B833F1">
        <w:rPr>
          <w:noProof/>
        </w:rPr>
        <w:instrText>C</w:instrText>
      </w:r>
      <w:r w:rsidR="00B833F1"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1451C0">
        <w:rPr>
          <w:noProof/>
        </w:rPr>
        <w:fldChar w:fldCharType="begin"/>
      </w:r>
      <w:r w:rsidR="001451C0">
        <w:rPr>
          <w:noProof/>
        </w:rPr>
        <w:instrText xml:space="preserve"> STYLEREF "Heading 6" \l \n </w:instrText>
      </w:r>
      <w:r w:rsidR="001451C0">
        <w:rPr>
          <w:noProof/>
        </w:rPr>
        <w:fldChar w:fldCharType="separate"/>
      </w:r>
      <w:r w:rsidR="00B833F1">
        <w:rPr>
          <w:noProof/>
        </w:rPr>
        <w:instrText>C</w:instrText>
      </w:r>
      <w:r w:rsidR="001451C0">
        <w:rPr>
          <w:noProof/>
        </w:rPr>
        <w:fldChar w:fldCharType="end"/>
      </w:r>
      <w:r w:rsidRPr="00695C93">
        <w:instrText xml:space="preserve"> = 0 "</w:instrText>
      </w:r>
      <w:r w:rsidRPr="00695C93">
        <w:fldChar w:fldCharType="begin"/>
      </w:r>
      <w:r w:rsidRPr="00695C93">
        <w:instrText xml:space="preserve"> IF </w:instrText>
      </w:r>
      <w:r w:rsidR="001451C0">
        <w:rPr>
          <w:noProof/>
        </w:rPr>
        <w:fldChar w:fldCharType="begin"/>
      </w:r>
      <w:r w:rsidR="001451C0">
        <w:rPr>
          <w:noProof/>
        </w:rPr>
        <w:instrText xml:space="preserve"> STYLEREF "Heading 1" \l \n </w:instrText>
      </w:r>
      <w:r w:rsidR="001451C0">
        <w:rPr>
          <w:noProof/>
        </w:rPr>
        <w:fldChar w:fldCharType="separate"/>
      </w:r>
      <w:r>
        <w:rPr>
          <w:noProof/>
        </w:rPr>
        <w:instrText>0</w:instrText>
      </w:r>
      <w:r w:rsidR="001451C0">
        <w:rPr>
          <w:noProof/>
        </w:rPr>
        <w:fldChar w:fldCharType="end"/>
      </w:r>
      <w:r w:rsidRPr="00695C93">
        <w:instrText xml:space="preserve"> = 0 "" "1" </w:instrText>
      </w:r>
      <w:r w:rsidRPr="00695C93">
        <w:fldChar w:fldCharType="end"/>
      </w:r>
      <w:r w:rsidRPr="00695C93">
        <w:instrText xml:space="preserve">" "6" </w:instrText>
      </w:r>
      <w:r w:rsidRPr="00695C93">
        <w:fldChar w:fldCharType="separate"/>
      </w:r>
      <w:r w:rsidR="00B833F1" w:rsidRPr="00695C93">
        <w:rPr>
          <w:noProof/>
        </w:rPr>
        <w:instrText>6</w:instrText>
      </w:r>
      <w:r w:rsidRPr="00695C93">
        <w:fldChar w:fldCharType="end"/>
      </w:r>
      <w:r w:rsidRPr="00695C93">
        <w:instrText xml:space="preserve"> </w:instrText>
      </w:r>
      <w:r w:rsidRPr="00695C93">
        <w:fldChar w:fldCharType="separate"/>
      </w:r>
      <w:r w:rsidR="00B833F1">
        <w:rPr>
          <w:noProof/>
        </w:rPr>
        <w:instrText>4</w:instrText>
      </w:r>
      <w:r w:rsidRPr="00695C93">
        <w:fldChar w:fldCharType="end"/>
      </w:r>
      <w:r w:rsidRPr="00695C93">
        <w:instrText xml:space="preserve">" "" </w:instrText>
      </w:r>
      <w:r w:rsidRPr="00695C93">
        <w:fldChar w:fldCharType="separate"/>
      </w:r>
      <w:bookmarkStart w:id="4951" w:name="_Caption6663"/>
      <w:bookmarkStart w:id="4952" w:name="_Caption5949"/>
      <w:bookmarkStart w:id="4953" w:name="_Caption7887"/>
      <w:bookmarkStart w:id="4954" w:name="_Caption9204"/>
      <w:bookmarkStart w:id="4955" w:name="_Caption6054"/>
      <w:bookmarkStart w:id="4956" w:name="_Caption6619"/>
      <w:bookmarkStart w:id="4957" w:name="_Caption5220"/>
      <w:bookmarkStart w:id="4958" w:name="_Caption9094"/>
      <w:bookmarkStart w:id="4959" w:name="_Caption8672"/>
      <w:bookmarkStart w:id="4960" w:name="_Caption8185"/>
      <w:bookmarkStart w:id="4961" w:name="_Caption6871"/>
      <w:bookmarkStart w:id="4962" w:name="_Caption3013"/>
      <w:bookmarkStart w:id="4963" w:name="_Caption6096"/>
      <w:bookmarkStart w:id="4964" w:name="_Caption7772"/>
      <w:bookmarkStart w:id="4965" w:name="_Caption4951"/>
      <w:bookmarkStart w:id="4966" w:name="_Caption3760"/>
      <w:bookmarkStart w:id="4967" w:name="_Caption7001"/>
      <w:bookmarkStart w:id="4968" w:name="_Caption7154"/>
      <w:bookmarkStart w:id="4969" w:name="_Caption5666"/>
      <w:bookmarkStart w:id="4970" w:name="_Caption1928"/>
      <w:bookmarkStart w:id="4971" w:name="_Caption8667"/>
      <w:bookmarkStart w:id="4972" w:name="_Caption3803"/>
      <w:bookmarkStart w:id="4973" w:name="_Caption6720"/>
      <w:bookmarkStart w:id="4974" w:name="_Caption2690"/>
      <w:bookmarkStart w:id="4975" w:name="_Caption6689"/>
      <w:bookmarkStart w:id="4976" w:name="_Caption0929"/>
      <w:bookmarkStart w:id="4977" w:name="_Caption9132"/>
      <w:bookmarkStart w:id="4978" w:name="_Caption2772"/>
      <w:bookmarkStart w:id="4979" w:name="_Caption0733"/>
      <w:bookmarkStart w:id="4980" w:name="_Caption4307"/>
      <w:bookmarkStart w:id="4981" w:name="_Caption2527"/>
      <w:bookmarkStart w:id="4982" w:name="_Caption6600"/>
      <w:bookmarkStart w:id="4983" w:name="_Caption1677"/>
      <w:bookmarkStart w:id="4984" w:name="_Caption9950"/>
      <w:bookmarkStart w:id="4985" w:name="_Caption8580"/>
      <w:bookmarkStart w:id="4986" w:name="_Caption4234"/>
      <w:bookmarkStart w:id="4987" w:name="_Caption1423"/>
      <w:bookmarkStart w:id="4988" w:name="_Toc525715658"/>
      <w:bookmarkStart w:id="4989" w:name="_Toc525900601"/>
      <w:bookmarkStart w:id="4990" w:name="_Toc529869971"/>
      <w:bookmarkStart w:id="4991" w:name="_Toc530748467"/>
      <w:r w:rsidR="00EA42ED">
        <w:rPr>
          <w:noProof/>
        </w:rPr>
        <w:t>C</w:t>
      </w:r>
      <w:r w:rsidR="00EA42ED" w:rsidRPr="00695C93">
        <w:rPr>
          <w:noProof/>
        </w:rPr>
        <w:t>.</w:t>
      </w:r>
      <w:r w:rsidR="00EA42ED">
        <w:rPr>
          <w:noProof/>
        </w:rPr>
        <w:t>4</w:t>
      </w:r>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r w:rsidRPr="00695C93">
        <w:fldChar w:fldCharType="end"/>
      </w:r>
      <w:r w:rsidRPr="00695C93">
        <w:tab/>
      </w:r>
      <w:r>
        <w:t>Average WWR suggested by PCA</w:t>
      </w:r>
      <w:bookmarkEnd w:id="4988"/>
      <w:bookmarkEnd w:id="4989"/>
      <w:bookmarkEnd w:id="4990"/>
      <w:bookmarkEnd w:id="4991"/>
    </w:p>
    <w:tbl>
      <w:tblPr>
        <w:tblW w:w="0" w:type="auto"/>
        <w:tblLayout w:type="fixed"/>
        <w:tblLook w:val="0000" w:firstRow="0" w:lastRow="0" w:firstColumn="0" w:lastColumn="0" w:noHBand="0" w:noVBand="0"/>
        <w:tblCaption w:val="Table C.4: Average WWR suggested by PCA"/>
        <w:tblDescription w:val="This table shows the average WWR suggested by the PCA as being representative of the construction industry. "/>
      </w:tblPr>
      <w:tblGrid>
        <w:gridCol w:w="3968"/>
        <w:gridCol w:w="3969"/>
      </w:tblGrid>
      <w:tr w:rsidR="00242C46" w:rsidTr="00242C46">
        <w:tc>
          <w:tcPr>
            <w:tcW w:w="3968" w:type="dxa"/>
            <w:tcBorders>
              <w:bottom w:val="single" w:sz="8" w:space="0" w:color="FFFFFF" w:themeColor="background1"/>
            </w:tcBorders>
            <w:shd w:val="clear" w:color="auto" w:fill="6F6652"/>
            <w:tcMar>
              <w:left w:w="57" w:type="dxa"/>
              <w:right w:w="57" w:type="dxa"/>
            </w:tcMar>
          </w:tcPr>
          <w:p w:rsidR="00242C46" w:rsidRDefault="00242C46" w:rsidP="00242C46">
            <w:pPr>
              <w:pStyle w:val="TableDataColumnHeading"/>
              <w:jc w:val="left"/>
            </w:pPr>
            <w:r>
              <w:t>Building class</w:t>
            </w:r>
          </w:p>
        </w:tc>
        <w:tc>
          <w:tcPr>
            <w:tcW w:w="3969" w:type="dxa"/>
            <w:tcBorders>
              <w:bottom w:val="single" w:sz="8" w:space="0" w:color="FFFFFF" w:themeColor="background1"/>
            </w:tcBorders>
            <w:shd w:val="clear" w:color="auto" w:fill="6F6652"/>
            <w:tcMar>
              <w:left w:w="57" w:type="dxa"/>
              <w:right w:w="57" w:type="dxa"/>
            </w:tcMar>
          </w:tcPr>
          <w:p w:rsidR="00242C46" w:rsidRDefault="00242C46" w:rsidP="00242C46">
            <w:pPr>
              <w:pStyle w:val="TableDataColumnHeading"/>
              <w:jc w:val="left"/>
            </w:pPr>
            <w:r>
              <w:t>Average WWR (%)</w:t>
            </w:r>
          </w:p>
        </w:tc>
      </w:tr>
      <w:tr w:rsidR="00242C46" w:rsidTr="00242C46">
        <w:tc>
          <w:tcPr>
            <w:tcW w:w="396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42C46" w:rsidRDefault="00242C46" w:rsidP="00242C46">
            <w:pPr>
              <w:pStyle w:val="TableDataEntries"/>
              <w:jc w:val="left"/>
            </w:pPr>
            <w:r>
              <w:t>2 (apartment common area)</w:t>
            </w:r>
          </w:p>
        </w:tc>
        <w:tc>
          <w:tcPr>
            <w:tcW w:w="396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42C46" w:rsidRDefault="00242C46" w:rsidP="00242C46">
            <w:pPr>
              <w:pStyle w:val="TableDataEntries"/>
              <w:jc w:val="left"/>
            </w:pPr>
            <w:r>
              <w:t>90 and above</w:t>
            </w:r>
          </w:p>
        </w:tc>
      </w:tr>
      <w:tr w:rsidR="00242C46" w:rsidTr="00242C46">
        <w:tc>
          <w:tcPr>
            <w:tcW w:w="396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42C46" w:rsidRDefault="00242C46" w:rsidP="00242C46">
            <w:pPr>
              <w:pStyle w:val="TableDataEntries"/>
              <w:jc w:val="left"/>
            </w:pPr>
            <w:r>
              <w:t>3 (hotel)</w:t>
            </w:r>
          </w:p>
        </w:tc>
        <w:tc>
          <w:tcPr>
            <w:tcW w:w="396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42C46" w:rsidRDefault="00242C46" w:rsidP="00242C46">
            <w:pPr>
              <w:pStyle w:val="TableDataEntries"/>
              <w:jc w:val="left"/>
            </w:pPr>
            <w:r>
              <w:t>75 for high-rise large buildings, 40 for smaller buildings</w:t>
            </w:r>
          </w:p>
        </w:tc>
      </w:tr>
      <w:tr w:rsidR="00242C46" w:rsidTr="00242C46">
        <w:tc>
          <w:tcPr>
            <w:tcW w:w="396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42C46" w:rsidRDefault="00242C46" w:rsidP="00242C46">
            <w:pPr>
              <w:pStyle w:val="TableDataEntries"/>
              <w:jc w:val="left"/>
            </w:pPr>
            <w:r>
              <w:t>5 (office)</w:t>
            </w:r>
          </w:p>
        </w:tc>
        <w:tc>
          <w:tcPr>
            <w:tcW w:w="396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42C46" w:rsidRDefault="00242C46" w:rsidP="00242C46">
            <w:pPr>
              <w:pStyle w:val="TableDataEntries"/>
              <w:jc w:val="left"/>
            </w:pPr>
            <w:r>
              <w:t xml:space="preserve">Premium and A-grade: above 80; B-grade: 60-75; </w:t>
            </w:r>
            <w:r>
              <w:br/>
              <w:t>Small, low-grade: 30-50, but for curtain wall up to 60</w:t>
            </w:r>
          </w:p>
        </w:tc>
      </w:tr>
      <w:tr w:rsidR="00242C46" w:rsidTr="00242C46">
        <w:tc>
          <w:tcPr>
            <w:tcW w:w="396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42C46" w:rsidRDefault="00242C46" w:rsidP="00242C46">
            <w:pPr>
              <w:pStyle w:val="TableDataEntries"/>
              <w:jc w:val="left"/>
            </w:pPr>
            <w:r>
              <w:t>6 (High street shop or base of mix use development)</w:t>
            </w:r>
          </w:p>
        </w:tc>
        <w:tc>
          <w:tcPr>
            <w:tcW w:w="396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42C46" w:rsidRDefault="00242C46" w:rsidP="00242C46">
            <w:pPr>
              <w:pStyle w:val="TableDataEntries"/>
              <w:jc w:val="left"/>
            </w:pPr>
            <w:r>
              <w:t>70-80</w:t>
            </w:r>
          </w:p>
        </w:tc>
      </w:tr>
      <w:tr w:rsidR="00242C46" w:rsidTr="00242C46">
        <w:tc>
          <w:tcPr>
            <w:tcW w:w="396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42C46" w:rsidRDefault="00242C46" w:rsidP="00242C46">
            <w:pPr>
              <w:pStyle w:val="TableDataEntries"/>
              <w:jc w:val="left"/>
            </w:pPr>
            <w:r>
              <w:t>6 (Vehicle showroom)</w:t>
            </w:r>
          </w:p>
        </w:tc>
        <w:tc>
          <w:tcPr>
            <w:tcW w:w="396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42C46" w:rsidRDefault="00242C46" w:rsidP="00242C46">
            <w:pPr>
              <w:pStyle w:val="TableDataEntries"/>
              <w:jc w:val="left"/>
            </w:pPr>
            <w:r>
              <w:t>As high as possible and up to 100</w:t>
            </w:r>
          </w:p>
        </w:tc>
      </w:tr>
      <w:tr w:rsidR="00242C46" w:rsidTr="00242C46">
        <w:tc>
          <w:tcPr>
            <w:tcW w:w="396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42C46" w:rsidRDefault="00242C46" w:rsidP="00242C46">
            <w:pPr>
              <w:pStyle w:val="TableDataEntries"/>
              <w:jc w:val="left"/>
            </w:pPr>
            <w:r>
              <w:t>9a (Hospitals)</w:t>
            </w:r>
          </w:p>
        </w:tc>
        <w:tc>
          <w:tcPr>
            <w:tcW w:w="396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42C46" w:rsidRDefault="00242C46" w:rsidP="00242C46">
            <w:pPr>
              <w:pStyle w:val="TableDataEntries"/>
              <w:jc w:val="left"/>
            </w:pPr>
            <w:r>
              <w:t>Up to 60</w:t>
            </w:r>
          </w:p>
        </w:tc>
      </w:tr>
      <w:tr w:rsidR="00242C46" w:rsidTr="00242C46">
        <w:tc>
          <w:tcPr>
            <w:tcW w:w="3968" w:type="dxa"/>
            <w:tcBorders>
              <w:top w:val="single" w:sz="8" w:space="0" w:color="FFFFFF" w:themeColor="background1"/>
              <w:bottom w:val="single" w:sz="6" w:space="0" w:color="6F6652"/>
            </w:tcBorders>
            <w:shd w:val="clear" w:color="auto" w:fill="E9E8E5" w:themeFill="background2"/>
            <w:tcMar>
              <w:left w:w="57" w:type="dxa"/>
              <w:right w:w="57" w:type="dxa"/>
            </w:tcMar>
          </w:tcPr>
          <w:p w:rsidR="00242C46" w:rsidRDefault="00242C46" w:rsidP="00242C46">
            <w:pPr>
              <w:pStyle w:val="TableDataEntries"/>
              <w:jc w:val="left"/>
            </w:pPr>
            <w:r>
              <w:t>9b (Schools, universities, civic buildings)</w:t>
            </w:r>
          </w:p>
        </w:tc>
        <w:tc>
          <w:tcPr>
            <w:tcW w:w="3969" w:type="dxa"/>
            <w:tcBorders>
              <w:top w:val="single" w:sz="8" w:space="0" w:color="FFFFFF" w:themeColor="background1"/>
              <w:bottom w:val="single" w:sz="6" w:space="0" w:color="6F6652"/>
            </w:tcBorders>
            <w:shd w:val="clear" w:color="auto" w:fill="E9E8E5" w:themeFill="background2"/>
            <w:tcMar>
              <w:left w:w="57" w:type="dxa"/>
              <w:right w:w="57" w:type="dxa"/>
            </w:tcMar>
          </w:tcPr>
          <w:p w:rsidR="00242C46" w:rsidRDefault="00242C46" w:rsidP="00242C46">
            <w:pPr>
              <w:pStyle w:val="TableDataEntries"/>
              <w:jc w:val="left"/>
            </w:pPr>
            <w:r>
              <w:t>School around 40 but there is trend towards more glazing; universities up to 90 in some instances</w:t>
            </w:r>
          </w:p>
        </w:tc>
      </w:tr>
    </w:tbl>
    <w:p w:rsidR="00242C46" w:rsidRDefault="00242C46" w:rsidP="00242C46">
      <w:pPr>
        <w:pStyle w:val="Note"/>
      </w:pPr>
      <w:r w:rsidRPr="007D1B4F">
        <w:rPr>
          <w:i/>
        </w:rPr>
        <w:t>Note:</w:t>
      </w:r>
      <w:r w:rsidRPr="00E879B8">
        <w:t xml:space="preserve"> </w:t>
      </w:r>
      <w:r>
        <w:t xml:space="preserve">the WWRs must be subject to adjustment as mentioned in footnote </w:t>
      </w:r>
      <w:r>
        <w:fldChar w:fldCharType="begin"/>
      </w:r>
      <w:r>
        <w:instrText xml:space="preserve"> NOTEREF _Ref525642018 \h </w:instrText>
      </w:r>
      <w:r>
        <w:fldChar w:fldCharType="separate"/>
      </w:r>
      <w:r w:rsidR="006B79B8">
        <w:t>90</w:t>
      </w:r>
      <w:r>
        <w:fldChar w:fldCharType="end"/>
      </w:r>
    </w:p>
    <w:p w:rsidR="00242C46" w:rsidRDefault="00242C46" w:rsidP="00242C46">
      <w:pPr>
        <w:pStyle w:val="Source"/>
      </w:pPr>
      <w:r>
        <w:rPr>
          <w:i/>
        </w:rPr>
        <w:t>Source</w:t>
      </w:r>
      <w:r w:rsidRPr="00E4232C">
        <w:rPr>
          <w:i/>
        </w:rPr>
        <w:t>:</w:t>
      </w:r>
      <w:r>
        <w:t xml:space="preserve"> PCA submission</w:t>
      </w:r>
    </w:p>
    <w:p w:rsidR="00242C46" w:rsidRDefault="00242C46" w:rsidP="00242C46">
      <w:pPr>
        <w:pStyle w:val="Heading7"/>
        <w:numPr>
          <w:ilvl w:val="6"/>
          <w:numId w:val="5"/>
        </w:numPr>
      </w:pPr>
      <w:r>
        <w:t>Likely responses of building designs to the proposed changes</w:t>
      </w:r>
    </w:p>
    <w:p w:rsidR="00242C46" w:rsidRDefault="00242C46" w:rsidP="00242C46">
      <w:pPr>
        <w:pStyle w:val="BodyText"/>
      </w:pPr>
      <w:r>
        <w:t xml:space="preserve">Reducing window size was originally suggested in energy modelling as a way to improve energy efficiency. Stakeholders were asked how building designs will most likely respond to the proposed changes: </w:t>
      </w:r>
    </w:p>
    <w:p w:rsidR="00242C46" w:rsidRDefault="00242C46" w:rsidP="00242C46">
      <w:pPr>
        <w:pStyle w:val="ListBullet"/>
      </w:pPr>
      <w:r>
        <w:t>A – Maintaining preferred WWR supplementing window performance through shading;</w:t>
      </w:r>
    </w:p>
    <w:p w:rsidR="00242C46" w:rsidRDefault="00242C46" w:rsidP="00242C46">
      <w:pPr>
        <w:pStyle w:val="ListBullet"/>
      </w:pPr>
      <w:r>
        <w:t>B – Reducing WWR to a minimum practical level; or</w:t>
      </w:r>
    </w:p>
    <w:p w:rsidR="00242C46" w:rsidRDefault="00242C46" w:rsidP="00242C46">
      <w:pPr>
        <w:pStyle w:val="ListBullet"/>
      </w:pPr>
      <w:r>
        <w:t>C – Adopting a different compliance pathway</w:t>
      </w:r>
    </w:p>
    <w:p w:rsidR="00242C46" w:rsidRDefault="00242C46" w:rsidP="00242C46">
      <w:pPr>
        <w:pStyle w:val="BodyText"/>
      </w:pPr>
      <w:r>
        <w:t xml:space="preserve">The </w:t>
      </w:r>
      <w:r w:rsidR="00E6622A">
        <w:t>respondents</w:t>
      </w:r>
      <w:r>
        <w:t xml:space="preserve"> is summarised in table</w:t>
      </w:r>
      <w:r w:rsidR="001972A5">
        <w:t xml:space="preserve"> </w:t>
      </w:r>
      <w:r w:rsidR="001451C0">
        <w:rPr>
          <w:noProof/>
        </w:rPr>
        <w:fldChar w:fldCharType="begin"/>
      </w:r>
      <w:r w:rsidR="001451C0">
        <w:rPr>
          <w:noProof/>
        </w:rPr>
        <w:instrText xml:space="preserve"> REF _Caption3788 </w:instrText>
      </w:r>
      <w:r w:rsidR="001451C0">
        <w:rPr>
          <w:noProof/>
        </w:rPr>
        <w:fldChar w:fldCharType="separate"/>
      </w:r>
      <w:r w:rsidR="006B79B8">
        <w:rPr>
          <w:noProof/>
        </w:rPr>
        <w:t>C</w:t>
      </w:r>
      <w:r w:rsidR="006B79B8" w:rsidRPr="00695C93">
        <w:rPr>
          <w:noProof/>
        </w:rPr>
        <w:t>.</w:t>
      </w:r>
      <w:r w:rsidR="006B79B8">
        <w:rPr>
          <w:noProof/>
        </w:rPr>
        <w:t>5</w:t>
      </w:r>
      <w:r w:rsidR="001451C0">
        <w:rPr>
          <w:noProof/>
        </w:rPr>
        <w:fldChar w:fldCharType="end"/>
      </w:r>
      <w:r>
        <w:t>. Most r</w:t>
      </w:r>
      <w:r w:rsidRPr="003E7824">
        <w:t xml:space="preserve">espondents </w:t>
      </w:r>
      <w:r>
        <w:t>are</w:t>
      </w:r>
      <w:r w:rsidRPr="003E7824">
        <w:t xml:space="preserve"> of the view </w:t>
      </w:r>
      <w:r>
        <w:t xml:space="preserve">that </w:t>
      </w:r>
      <w:r w:rsidRPr="003E7824">
        <w:t xml:space="preserve">reduced WWR </w:t>
      </w:r>
      <w:r>
        <w:t>will</w:t>
      </w:r>
      <w:r w:rsidRPr="003E7824">
        <w:t xml:space="preserve"> not be used as a method of compliance. Exceptions </w:t>
      </w:r>
      <w:r>
        <w:t>are</w:t>
      </w:r>
      <w:r w:rsidRPr="003E7824">
        <w:t xml:space="preserve"> JMG</w:t>
      </w:r>
      <w:r>
        <w:t>,</w:t>
      </w:r>
      <w:r w:rsidRPr="003E7824">
        <w:t xml:space="preserve"> Real Project Solutions </w:t>
      </w:r>
      <w:r>
        <w:t xml:space="preserve">and Think Brick who argue reducing WWR to a minimum practical level </w:t>
      </w:r>
      <w:r w:rsidRPr="003E7824">
        <w:t xml:space="preserve">but offer no further discussion or justification for this approach. </w:t>
      </w:r>
    </w:p>
    <w:p w:rsidR="00242C46" w:rsidRDefault="00242C46" w:rsidP="00242C46">
      <w:pPr>
        <w:pStyle w:val="Caption"/>
      </w:pPr>
      <w:r w:rsidRPr="00695C93">
        <w:fldChar w:fldCharType="begin"/>
      </w:r>
      <w:r w:rsidRPr="00695C93">
        <w:instrText xml:space="preserve"> IF 1 = 1 "</w:instrText>
      </w:r>
      <w:r w:rsidRPr="00695C93">
        <w:fldChar w:fldCharType="begin"/>
      </w:r>
      <w:r w:rsidRPr="00695C93">
        <w:instrText xml:space="preserve"> IF </w:instrText>
      </w:r>
      <w:r w:rsidR="001451C0">
        <w:rPr>
          <w:noProof/>
        </w:rPr>
        <w:fldChar w:fldCharType="begin"/>
      </w:r>
      <w:r w:rsidR="001451C0">
        <w:rPr>
          <w:noProof/>
        </w:rPr>
        <w:instrText xml:space="preserve"> STYLEREF "Heading 6" \l \n </w:instrText>
      </w:r>
      <w:r w:rsidR="001451C0">
        <w:rPr>
          <w:noProof/>
        </w:rPr>
        <w:fldChar w:fldCharType="separate"/>
      </w:r>
      <w:r w:rsidR="00B833F1">
        <w:rPr>
          <w:noProof/>
        </w:rPr>
        <w:instrText>C</w:instrText>
      </w:r>
      <w:r w:rsidR="001451C0">
        <w:rPr>
          <w:noProof/>
        </w:rPr>
        <w:fldChar w:fldCharType="end"/>
      </w:r>
      <w:r w:rsidRPr="00695C93">
        <w:instrText xml:space="preserve"> = 0 "</w:instrText>
      </w:r>
      <w:r w:rsidRPr="00695C93">
        <w:fldChar w:fldCharType="begin"/>
      </w:r>
      <w:r w:rsidRPr="00695C93">
        <w:instrText xml:space="preserve"> IF </w:instrText>
      </w:r>
      <w:r w:rsidR="001451C0">
        <w:rPr>
          <w:noProof/>
        </w:rPr>
        <w:fldChar w:fldCharType="begin"/>
      </w:r>
      <w:r w:rsidR="001451C0">
        <w:rPr>
          <w:noProof/>
        </w:rPr>
        <w:instrText xml:space="preserve"> STYLEREF "Heading 1" \l \n </w:instrText>
      </w:r>
      <w:r w:rsidR="001451C0">
        <w:rPr>
          <w:noProof/>
        </w:rPr>
        <w:fldChar w:fldCharType="separate"/>
      </w:r>
      <w:r>
        <w:rPr>
          <w:noProof/>
        </w:rPr>
        <w:instrText>0</w:instrText>
      </w:r>
      <w:r w:rsidR="001451C0">
        <w:rPr>
          <w:noProof/>
        </w:rPr>
        <w:fldChar w:fldCharType="end"/>
      </w:r>
      <w:r w:rsidRPr="00695C93">
        <w:instrText xml:space="preserve"> = 0 "" "</w:instrText>
      </w:r>
      <w:r w:rsidR="001451C0">
        <w:rPr>
          <w:noProof/>
        </w:rPr>
        <w:fldChar w:fldCharType="begin"/>
      </w:r>
      <w:r w:rsidR="001451C0">
        <w:rPr>
          <w:noProof/>
        </w:rPr>
        <w:instrText xml:space="preserve"> STYLEREF "Heading 1" \l \n </w:instrText>
      </w:r>
      <w:r w:rsidR="001451C0">
        <w:rPr>
          <w:noProof/>
        </w:rPr>
        <w:fldChar w:fldCharType="separate"/>
      </w:r>
      <w:r>
        <w:rPr>
          <w:noProof/>
        </w:rPr>
        <w:instrText>2</w:instrText>
      </w:r>
      <w:r w:rsidR="001451C0">
        <w:rPr>
          <w:noProof/>
        </w:rPr>
        <w:fldChar w:fldCharType="end"/>
      </w:r>
      <w:r w:rsidRPr="00695C93">
        <w:instrText xml:space="preserve">." </w:instrText>
      </w:r>
      <w:r w:rsidRPr="00695C93">
        <w:fldChar w:fldCharType="end"/>
      </w:r>
      <w:r w:rsidRPr="00695C93">
        <w:instrText>" "</w:instrText>
      </w:r>
      <w:r w:rsidR="001451C0">
        <w:rPr>
          <w:noProof/>
        </w:rPr>
        <w:fldChar w:fldCharType="begin"/>
      </w:r>
      <w:r w:rsidR="001451C0">
        <w:rPr>
          <w:noProof/>
        </w:rPr>
        <w:instrText xml:space="preserve"> STYLEREF "Heading 6" \l \n </w:instrText>
      </w:r>
      <w:r w:rsidR="001451C0">
        <w:rPr>
          <w:noProof/>
        </w:rPr>
        <w:fldChar w:fldCharType="separate"/>
      </w:r>
      <w:r w:rsidR="00B833F1">
        <w:rPr>
          <w:noProof/>
        </w:rPr>
        <w:instrText>C</w:instrText>
      </w:r>
      <w:r w:rsidR="001451C0">
        <w:rPr>
          <w:noProof/>
        </w:rPr>
        <w:fldChar w:fldCharType="end"/>
      </w:r>
      <w:r w:rsidRPr="00695C93">
        <w:instrText xml:space="preserve">." </w:instrText>
      </w:r>
      <w:r w:rsidRPr="00695C93">
        <w:fldChar w:fldCharType="separate"/>
      </w:r>
      <w:r w:rsidR="00B833F1">
        <w:rPr>
          <w:noProof/>
        </w:rPr>
        <w:instrText>C</w:instrText>
      </w:r>
      <w:r w:rsidR="00B833F1"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1451C0">
        <w:rPr>
          <w:noProof/>
        </w:rPr>
        <w:fldChar w:fldCharType="begin"/>
      </w:r>
      <w:r w:rsidR="001451C0">
        <w:rPr>
          <w:noProof/>
        </w:rPr>
        <w:instrText xml:space="preserve"> STYLEREF "Heading 6" \l \n </w:instrText>
      </w:r>
      <w:r w:rsidR="001451C0">
        <w:rPr>
          <w:noProof/>
        </w:rPr>
        <w:fldChar w:fldCharType="separate"/>
      </w:r>
      <w:r w:rsidR="00B833F1">
        <w:rPr>
          <w:noProof/>
        </w:rPr>
        <w:instrText>C</w:instrText>
      </w:r>
      <w:r w:rsidR="001451C0">
        <w:rPr>
          <w:noProof/>
        </w:rPr>
        <w:fldChar w:fldCharType="end"/>
      </w:r>
      <w:r w:rsidRPr="00695C93">
        <w:instrText xml:space="preserve"> = 0 "</w:instrText>
      </w:r>
      <w:r w:rsidRPr="00695C93">
        <w:fldChar w:fldCharType="begin"/>
      </w:r>
      <w:r w:rsidRPr="00695C93">
        <w:instrText xml:space="preserve"> IF </w:instrText>
      </w:r>
      <w:r w:rsidR="001451C0">
        <w:rPr>
          <w:noProof/>
        </w:rPr>
        <w:fldChar w:fldCharType="begin"/>
      </w:r>
      <w:r w:rsidR="001451C0">
        <w:rPr>
          <w:noProof/>
        </w:rPr>
        <w:instrText xml:space="preserve"> STYLEREF "Heading 1" \l \n </w:instrText>
      </w:r>
      <w:r w:rsidR="001451C0">
        <w:rPr>
          <w:noProof/>
        </w:rPr>
        <w:fldChar w:fldCharType="separate"/>
      </w:r>
      <w:r>
        <w:rPr>
          <w:noProof/>
        </w:rPr>
        <w:instrText>0</w:instrText>
      </w:r>
      <w:r w:rsidR="001451C0">
        <w:rPr>
          <w:noProof/>
        </w:rPr>
        <w:fldChar w:fldCharType="end"/>
      </w:r>
      <w:r w:rsidRPr="00695C93">
        <w:instrText xml:space="preserve"> = 0 "" "1" </w:instrText>
      </w:r>
      <w:r w:rsidRPr="00695C93">
        <w:fldChar w:fldCharType="end"/>
      </w:r>
      <w:r w:rsidRPr="00695C93">
        <w:instrText xml:space="preserve">" "6" </w:instrText>
      </w:r>
      <w:r w:rsidRPr="00695C93">
        <w:fldChar w:fldCharType="separate"/>
      </w:r>
      <w:r w:rsidR="00B833F1" w:rsidRPr="00695C93">
        <w:rPr>
          <w:noProof/>
        </w:rPr>
        <w:instrText>6</w:instrText>
      </w:r>
      <w:r w:rsidRPr="00695C93">
        <w:fldChar w:fldCharType="end"/>
      </w:r>
      <w:r w:rsidRPr="00695C93">
        <w:instrText xml:space="preserve"> </w:instrText>
      </w:r>
      <w:r w:rsidRPr="00695C93">
        <w:fldChar w:fldCharType="separate"/>
      </w:r>
      <w:r w:rsidR="00B833F1">
        <w:rPr>
          <w:noProof/>
        </w:rPr>
        <w:instrText>5</w:instrText>
      </w:r>
      <w:r w:rsidRPr="00695C93">
        <w:fldChar w:fldCharType="end"/>
      </w:r>
      <w:r w:rsidRPr="00695C93">
        <w:instrText xml:space="preserve">" "" </w:instrText>
      </w:r>
      <w:r w:rsidRPr="00695C93">
        <w:fldChar w:fldCharType="separate"/>
      </w:r>
      <w:bookmarkStart w:id="4992" w:name="_Caption1472"/>
      <w:bookmarkStart w:id="4993" w:name="_Caption3784"/>
      <w:bookmarkStart w:id="4994" w:name="_Caption0661"/>
      <w:bookmarkStart w:id="4995" w:name="_Caption7841"/>
      <w:bookmarkStart w:id="4996" w:name="_Caption4894"/>
      <w:bookmarkStart w:id="4997" w:name="_Caption1905"/>
      <w:bookmarkStart w:id="4998" w:name="_Caption1389"/>
      <w:bookmarkStart w:id="4999" w:name="_Caption7867"/>
      <w:bookmarkStart w:id="5000" w:name="_Caption7216"/>
      <w:bookmarkStart w:id="5001" w:name="_Caption3788"/>
      <w:bookmarkStart w:id="5002" w:name="_Caption7116"/>
      <w:bookmarkStart w:id="5003" w:name="_Caption4002"/>
      <w:bookmarkStart w:id="5004" w:name="_Caption2374"/>
      <w:bookmarkStart w:id="5005" w:name="_Caption0795"/>
      <w:bookmarkStart w:id="5006" w:name="_Caption9900"/>
      <w:bookmarkStart w:id="5007" w:name="_Caption6444"/>
      <w:bookmarkStart w:id="5008" w:name="_Caption9537"/>
      <w:bookmarkStart w:id="5009" w:name="_Caption8624"/>
      <w:bookmarkStart w:id="5010" w:name="_Caption7507"/>
      <w:bookmarkStart w:id="5011" w:name="_Caption0584"/>
      <w:bookmarkStart w:id="5012" w:name="_Caption9037"/>
      <w:bookmarkStart w:id="5013" w:name="_Caption9846"/>
      <w:bookmarkStart w:id="5014" w:name="_Caption9359"/>
      <w:bookmarkStart w:id="5015" w:name="_Caption6487"/>
      <w:bookmarkStart w:id="5016" w:name="_Caption1990"/>
      <w:bookmarkStart w:id="5017" w:name="_Caption3666"/>
      <w:bookmarkStart w:id="5018" w:name="_Caption2575"/>
      <w:bookmarkStart w:id="5019" w:name="_Caption4334"/>
      <w:bookmarkStart w:id="5020" w:name="_Caption4097"/>
      <w:bookmarkStart w:id="5021" w:name="_Caption6733"/>
      <w:bookmarkStart w:id="5022" w:name="_Caption7350"/>
      <w:bookmarkStart w:id="5023" w:name="_Caption6641"/>
      <w:bookmarkStart w:id="5024" w:name="_Caption9489"/>
      <w:bookmarkStart w:id="5025" w:name="_Caption2933"/>
      <w:bookmarkStart w:id="5026" w:name="_Caption5805"/>
      <w:bookmarkStart w:id="5027" w:name="_Toc525900602"/>
      <w:bookmarkStart w:id="5028" w:name="_Toc529869972"/>
      <w:bookmarkStart w:id="5029" w:name="_Toc530748468"/>
      <w:r w:rsidR="00EA42ED">
        <w:rPr>
          <w:noProof/>
        </w:rPr>
        <w:t>C</w:t>
      </w:r>
      <w:r w:rsidR="00EA42ED" w:rsidRPr="00695C93">
        <w:rPr>
          <w:noProof/>
        </w:rPr>
        <w:t>.</w:t>
      </w:r>
      <w:r w:rsidR="00EA42ED">
        <w:rPr>
          <w:noProof/>
        </w:rPr>
        <w:t>5</w:t>
      </w:r>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r w:rsidRPr="00695C93">
        <w:fldChar w:fldCharType="end"/>
      </w:r>
      <w:r w:rsidRPr="00695C93">
        <w:tab/>
      </w:r>
      <w:r>
        <w:t>Likely responses of building designs</w:t>
      </w:r>
      <w:bookmarkEnd w:id="5027"/>
      <w:bookmarkEnd w:id="5028"/>
      <w:bookmarkEnd w:id="5029"/>
    </w:p>
    <w:tbl>
      <w:tblPr>
        <w:tblW w:w="0" w:type="auto"/>
        <w:tblLayout w:type="fixed"/>
        <w:tblLook w:val="0000" w:firstRow="0" w:lastRow="0" w:firstColumn="0" w:lastColumn="0" w:noHBand="0" w:noVBand="0"/>
        <w:tblCaption w:val="Table C.5: Likely responses of building designs"/>
        <w:tblDescription w:val="This table shows the likeyl responses by the building industry as a result of the proposed changes to the NCC 2019 informed by stakeholders following the consultation RIS. "/>
      </w:tblPr>
      <w:tblGrid>
        <w:gridCol w:w="1984"/>
        <w:gridCol w:w="1984"/>
        <w:gridCol w:w="1984"/>
        <w:gridCol w:w="1985"/>
      </w:tblGrid>
      <w:tr w:rsidR="00242C46" w:rsidTr="00143A66">
        <w:trPr>
          <w:tblHeader/>
        </w:trPr>
        <w:tc>
          <w:tcPr>
            <w:tcW w:w="1984" w:type="dxa"/>
            <w:tcBorders>
              <w:bottom w:val="single" w:sz="8" w:space="0" w:color="FFFFFF" w:themeColor="background1"/>
            </w:tcBorders>
            <w:shd w:val="clear" w:color="auto" w:fill="6F6652"/>
            <w:tcMar>
              <w:left w:w="57" w:type="dxa"/>
              <w:right w:w="57" w:type="dxa"/>
            </w:tcMar>
          </w:tcPr>
          <w:p w:rsidR="00242C46" w:rsidRDefault="00242C46" w:rsidP="00242C46">
            <w:pPr>
              <w:pStyle w:val="TableTextColumnHeading"/>
            </w:pPr>
            <w:r>
              <w:t>Respondent</w:t>
            </w:r>
          </w:p>
        </w:tc>
        <w:tc>
          <w:tcPr>
            <w:tcW w:w="1984" w:type="dxa"/>
            <w:tcBorders>
              <w:bottom w:val="single" w:sz="8" w:space="0" w:color="FFFFFF" w:themeColor="background1"/>
            </w:tcBorders>
            <w:shd w:val="clear" w:color="auto" w:fill="6F6652"/>
            <w:tcMar>
              <w:left w:w="57" w:type="dxa"/>
              <w:right w:w="57" w:type="dxa"/>
            </w:tcMar>
          </w:tcPr>
          <w:p w:rsidR="00242C46" w:rsidRDefault="00242C46" w:rsidP="00242C46">
            <w:pPr>
              <w:pStyle w:val="TableTextColumnHeading"/>
            </w:pPr>
            <w:r>
              <w:t>A</w:t>
            </w:r>
            <w:r w:rsidR="001972A5">
              <w:t xml:space="preserve"> – Maintaining WWR</w:t>
            </w:r>
          </w:p>
        </w:tc>
        <w:tc>
          <w:tcPr>
            <w:tcW w:w="1984" w:type="dxa"/>
            <w:tcBorders>
              <w:bottom w:val="single" w:sz="8" w:space="0" w:color="FFFFFF" w:themeColor="background1"/>
            </w:tcBorders>
            <w:shd w:val="clear" w:color="auto" w:fill="6F6652"/>
            <w:tcMar>
              <w:left w:w="57" w:type="dxa"/>
              <w:right w:w="57" w:type="dxa"/>
            </w:tcMar>
          </w:tcPr>
          <w:p w:rsidR="00242C46" w:rsidRDefault="00242C46" w:rsidP="00242C46">
            <w:pPr>
              <w:pStyle w:val="TableTextColumnHeading"/>
            </w:pPr>
            <w:r>
              <w:t>B</w:t>
            </w:r>
            <w:r w:rsidR="001972A5">
              <w:t xml:space="preserve"> – Reducing WWR</w:t>
            </w:r>
          </w:p>
        </w:tc>
        <w:tc>
          <w:tcPr>
            <w:tcW w:w="1985" w:type="dxa"/>
            <w:tcBorders>
              <w:bottom w:val="single" w:sz="8" w:space="0" w:color="FFFFFF" w:themeColor="background1"/>
            </w:tcBorders>
            <w:shd w:val="clear" w:color="auto" w:fill="6F6652"/>
            <w:tcMar>
              <w:left w:w="57" w:type="dxa"/>
              <w:right w:w="57" w:type="dxa"/>
            </w:tcMar>
          </w:tcPr>
          <w:p w:rsidR="00242C46" w:rsidRDefault="00242C46" w:rsidP="00242C46">
            <w:pPr>
              <w:pStyle w:val="TableTextColumnHeading"/>
            </w:pPr>
            <w:r>
              <w:t>C</w:t>
            </w:r>
            <w:r w:rsidR="001972A5">
              <w:t xml:space="preserve"> – Different pathway</w:t>
            </w:r>
          </w:p>
        </w:tc>
      </w:tr>
      <w:tr w:rsidR="00242C46" w:rsidTr="00242C46">
        <w:tc>
          <w:tcPr>
            <w:tcW w:w="198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42C46" w:rsidRDefault="00242C46" w:rsidP="00242C46">
            <w:pPr>
              <w:pStyle w:val="TableTextEntries"/>
            </w:pPr>
            <w:r>
              <w:t>JMG</w:t>
            </w:r>
          </w:p>
        </w:tc>
        <w:tc>
          <w:tcPr>
            <w:tcW w:w="198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42C46" w:rsidRDefault="00242C46" w:rsidP="00242C46">
            <w:pPr>
              <w:pStyle w:val="TableTextEntries"/>
            </w:pPr>
          </w:p>
        </w:tc>
        <w:tc>
          <w:tcPr>
            <w:tcW w:w="198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42C46" w:rsidRDefault="00242C46" w:rsidP="00242C46">
            <w:pPr>
              <w:pStyle w:val="TableTextEntries"/>
            </w:pPr>
            <w:r>
              <w:t>B</w:t>
            </w:r>
          </w:p>
        </w:tc>
        <w:tc>
          <w:tcPr>
            <w:tcW w:w="198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42C46" w:rsidRDefault="00242C46" w:rsidP="00242C46">
            <w:pPr>
              <w:pStyle w:val="TableTextEntries"/>
            </w:pPr>
          </w:p>
        </w:tc>
      </w:tr>
      <w:tr w:rsidR="00242C46" w:rsidTr="00242C46">
        <w:tc>
          <w:tcPr>
            <w:tcW w:w="198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42C46" w:rsidRDefault="00242C46" w:rsidP="00242C46">
            <w:pPr>
              <w:pStyle w:val="TableTextEntries"/>
            </w:pPr>
            <w:r>
              <w:t>Benmax Group</w:t>
            </w:r>
          </w:p>
        </w:tc>
        <w:tc>
          <w:tcPr>
            <w:tcW w:w="198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42C46" w:rsidRDefault="00242C46" w:rsidP="00242C46">
            <w:pPr>
              <w:pStyle w:val="TableTextEntries"/>
            </w:pPr>
          </w:p>
        </w:tc>
        <w:tc>
          <w:tcPr>
            <w:tcW w:w="198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42C46" w:rsidRDefault="00242C46" w:rsidP="00242C46">
            <w:pPr>
              <w:pStyle w:val="TableTextEntries"/>
            </w:pPr>
          </w:p>
        </w:tc>
        <w:tc>
          <w:tcPr>
            <w:tcW w:w="198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42C46" w:rsidRDefault="00242C46" w:rsidP="00242C46">
            <w:pPr>
              <w:pStyle w:val="TableTextEntries"/>
            </w:pPr>
            <w:r>
              <w:t>C as shading presents problems; more and more use JV3 as DTS impractical</w:t>
            </w:r>
          </w:p>
        </w:tc>
      </w:tr>
      <w:tr w:rsidR="00242C46" w:rsidTr="00242C46">
        <w:tc>
          <w:tcPr>
            <w:tcW w:w="198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42C46" w:rsidRDefault="00242C46" w:rsidP="00242C46">
            <w:pPr>
              <w:pStyle w:val="TableTextEntries"/>
            </w:pPr>
            <w:r>
              <w:t>Real Project Solutions</w:t>
            </w:r>
          </w:p>
        </w:tc>
        <w:tc>
          <w:tcPr>
            <w:tcW w:w="198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42C46" w:rsidRDefault="00242C46" w:rsidP="00242C46">
            <w:pPr>
              <w:pStyle w:val="TableTextEntries"/>
            </w:pPr>
          </w:p>
        </w:tc>
        <w:tc>
          <w:tcPr>
            <w:tcW w:w="198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42C46" w:rsidRDefault="00242C46" w:rsidP="00242C46">
            <w:pPr>
              <w:pStyle w:val="TableTextEntries"/>
            </w:pPr>
            <w:r>
              <w:t>B</w:t>
            </w:r>
          </w:p>
        </w:tc>
        <w:tc>
          <w:tcPr>
            <w:tcW w:w="198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42C46" w:rsidRDefault="00242C46" w:rsidP="00242C46">
            <w:pPr>
              <w:pStyle w:val="TableTextEntries"/>
            </w:pPr>
          </w:p>
        </w:tc>
      </w:tr>
      <w:tr w:rsidR="00242C46" w:rsidTr="00242C46">
        <w:tc>
          <w:tcPr>
            <w:tcW w:w="198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42C46" w:rsidRDefault="00242C46" w:rsidP="00242C46">
            <w:pPr>
              <w:pStyle w:val="TableTextEntries"/>
            </w:pPr>
            <w:r>
              <w:t>G. James</w:t>
            </w:r>
          </w:p>
        </w:tc>
        <w:tc>
          <w:tcPr>
            <w:tcW w:w="198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42C46" w:rsidRDefault="00242C46" w:rsidP="00242C46">
            <w:pPr>
              <w:pStyle w:val="TableTextEntries"/>
            </w:pPr>
            <w:r>
              <w:t>A – shading already extensively used</w:t>
            </w:r>
          </w:p>
        </w:tc>
        <w:tc>
          <w:tcPr>
            <w:tcW w:w="198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42C46" w:rsidRDefault="00242C46" w:rsidP="00242C46">
            <w:pPr>
              <w:pStyle w:val="TableTextEntries"/>
            </w:pPr>
            <w:r>
              <w:t>B is the only tool for overnight operation buildings</w:t>
            </w:r>
          </w:p>
        </w:tc>
        <w:tc>
          <w:tcPr>
            <w:tcW w:w="198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42C46" w:rsidRDefault="00242C46" w:rsidP="00242C46">
            <w:pPr>
              <w:pStyle w:val="TableTextEntries"/>
            </w:pPr>
            <w:r>
              <w:t xml:space="preserve">C – JV3 virtually mandated for use in some </w:t>
            </w:r>
            <w:r w:rsidR="00E31EE8">
              <w:t>Climate Zone</w:t>
            </w:r>
            <w:r>
              <w:t>s and building classes</w:t>
            </w:r>
          </w:p>
        </w:tc>
      </w:tr>
      <w:tr w:rsidR="00242C46" w:rsidTr="00242C46">
        <w:tc>
          <w:tcPr>
            <w:tcW w:w="198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42C46" w:rsidRDefault="00242C46" w:rsidP="00242C46">
            <w:pPr>
              <w:pStyle w:val="TableTextEntries"/>
            </w:pPr>
            <w:r>
              <w:t>Sustainability House</w:t>
            </w:r>
          </w:p>
        </w:tc>
        <w:tc>
          <w:tcPr>
            <w:tcW w:w="198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42C46" w:rsidRDefault="00242C46" w:rsidP="00242C46">
            <w:pPr>
              <w:pStyle w:val="TableTextEntries"/>
            </w:pPr>
            <w:r w:rsidRPr="00E96A42">
              <w:t xml:space="preserve">A </w:t>
            </w:r>
            <w:r>
              <w:t xml:space="preserve">– </w:t>
            </w:r>
            <w:r w:rsidRPr="00E96A42">
              <w:t xml:space="preserve">architects, designers and owners want to maintain WWR but shading is expensive and difficult to implement </w:t>
            </w:r>
            <w:r w:rsidR="00537C50" w:rsidRPr="00E96A42">
              <w:t>e.g.</w:t>
            </w:r>
            <w:r w:rsidRPr="00E96A42">
              <w:t xml:space="preserve"> external shading on large high rise buildings</w:t>
            </w:r>
          </w:p>
        </w:tc>
        <w:tc>
          <w:tcPr>
            <w:tcW w:w="198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42C46" w:rsidRDefault="00242C46" w:rsidP="00242C46">
            <w:pPr>
              <w:pStyle w:val="TableTextEntries"/>
            </w:pPr>
            <w:r w:rsidRPr="00E96A42">
              <w:t>B more likely, however adverse effects</w:t>
            </w:r>
            <w:r>
              <w:t xml:space="preserve"> (indoor environment quality through loss of daylight and views; reduce passive solar benefits</w:t>
            </w:r>
            <w:r w:rsidRPr="00E96A42">
              <w:t xml:space="preserve"> </w:t>
            </w:r>
            <w:r>
              <w:t>in winter or mid-season)</w:t>
            </w:r>
          </w:p>
        </w:tc>
        <w:tc>
          <w:tcPr>
            <w:tcW w:w="198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42C46" w:rsidRDefault="00242C46" w:rsidP="00242C46">
            <w:pPr>
              <w:pStyle w:val="TableTextEntries"/>
            </w:pPr>
            <w:r w:rsidRPr="00E96A42">
              <w:t xml:space="preserve">C </w:t>
            </w:r>
            <w:r>
              <w:t xml:space="preserve">- </w:t>
            </w:r>
            <w:r w:rsidRPr="00E96A42">
              <w:t>JV3 preferred option for managing WWR at high levels</w:t>
            </w:r>
          </w:p>
        </w:tc>
      </w:tr>
      <w:tr w:rsidR="00242C46" w:rsidTr="00242C46">
        <w:tc>
          <w:tcPr>
            <w:tcW w:w="198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42C46" w:rsidRDefault="00242C46" w:rsidP="00242C46">
            <w:pPr>
              <w:pStyle w:val="TableTextEntries"/>
            </w:pPr>
            <w:r>
              <w:t>NASH</w:t>
            </w:r>
          </w:p>
        </w:tc>
        <w:tc>
          <w:tcPr>
            <w:tcW w:w="3968" w:type="dxa"/>
            <w:gridSpan w:val="2"/>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42C46" w:rsidRDefault="00242C46" w:rsidP="00242C46">
            <w:pPr>
              <w:pStyle w:val="TableTextEntries"/>
            </w:pPr>
            <w:r>
              <w:t>A most likely, but may with some reduction</w:t>
            </w:r>
          </w:p>
        </w:tc>
        <w:tc>
          <w:tcPr>
            <w:tcW w:w="198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42C46" w:rsidRDefault="00242C46" w:rsidP="00242C46">
            <w:pPr>
              <w:pStyle w:val="TableTextEntries"/>
            </w:pPr>
          </w:p>
        </w:tc>
      </w:tr>
      <w:tr w:rsidR="00242C46" w:rsidTr="00242C46">
        <w:tc>
          <w:tcPr>
            <w:tcW w:w="198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42C46" w:rsidRDefault="00242C46" w:rsidP="00242C46">
            <w:pPr>
              <w:pStyle w:val="TableTextEntries"/>
            </w:pPr>
            <w:r>
              <w:t>PCA</w:t>
            </w:r>
          </w:p>
        </w:tc>
        <w:tc>
          <w:tcPr>
            <w:tcW w:w="198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42C46" w:rsidRDefault="00242C46" w:rsidP="00242C46">
            <w:pPr>
              <w:pStyle w:val="TableTextEntries"/>
            </w:pPr>
            <w:r w:rsidRPr="00AC7E55">
              <w:t xml:space="preserve">A </w:t>
            </w:r>
            <w:r>
              <w:t>–</w:t>
            </w:r>
            <w:r w:rsidRPr="00AC7E55">
              <w:t xml:space="preserve"> premium</w:t>
            </w:r>
            <w:r>
              <w:t xml:space="preserve"> </w:t>
            </w:r>
            <w:r w:rsidRPr="00AC7E55">
              <w:t>and A-grade office buildings, but for high-rise buildings using shading may present difficulty to clean; low</w:t>
            </w:r>
            <w:r>
              <w:t>e</w:t>
            </w:r>
            <w:r w:rsidRPr="00AC7E55">
              <w:t xml:space="preserve">r end of the market already </w:t>
            </w:r>
            <w:r>
              <w:t xml:space="preserve">has </w:t>
            </w:r>
            <w:r w:rsidRPr="00AC7E55">
              <w:t xml:space="preserve">low WWR </w:t>
            </w:r>
          </w:p>
        </w:tc>
        <w:tc>
          <w:tcPr>
            <w:tcW w:w="198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42C46" w:rsidRDefault="00242C46" w:rsidP="00242C46">
            <w:pPr>
              <w:pStyle w:val="TableTextEntries"/>
            </w:pPr>
          </w:p>
        </w:tc>
        <w:tc>
          <w:tcPr>
            <w:tcW w:w="198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42C46" w:rsidRDefault="00242C46" w:rsidP="00242C46">
            <w:pPr>
              <w:pStyle w:val="TableTextEntries"/>
            </w:pPr>
            <w:r w:rsidRPr="00AC7E55">
              <w:t>C - JV3 initially, more through NABERS and Green Star pathways</w:t>
            </w:r>
            <w:r>
              <w:t xml:space="preserve"> later on</w:t>
            </w:r>
          </w:p>
        </w:tc>
      </w:tr>
      <w:tr w:rsidR="00242C46" w:rsidTr="00242C46">
        <w:tc>
          <w:tcPr>
            <w:tcW w:w="198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42C46" w:rsidRDefault="00242C46" w:rsidP="00242C46">
            <w:pPr>
              <w:pStyle w:val="TableTextEntries"/>
            </w:pPr>
            <w:r>
              <w:t>Think Brick</w:t>
            </w:r>
          </w:p>
        </w:tc>
        <w:tc>
          <w:tcPr>
            <w:tcW w:w="198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42C46" w:rsidRDefault="00242C46" w:rsidP="00242C46">
            <w:pPr>
              <w:pStyle w:val="TableTextEntries"/>
            </w:pPr>
          </w:p>
        </w:tc>
        <w:tc>
          <w:tcPr>
            <w:tcW w:w="198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42C46" w:rsidRDefault="00242C46" w:rsidP="00242C46">
            <w:pPr>
              <w:pStyle w:val="TableTextEntries"/>
            </w:pPr>
            <w:r>
              <w:t>B</w:t>
            </w:r>
          </w:p>
        </w:tc>
        <w:tc>
          <w:tcPr>
            <w:tcW w:w="198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42C46" w:rsidRDefault="00242C46" w:rsidP="00242C46">
            <w:pPr>
              <w:pStyle w:val="TableTextEntries"/>
            </w:pPr>
          </w:p>
        </w:tc>
      </w:tr>
      <w:tr w:rsidR="00242C46" w:rsidTr="00242C46">
        <w:tc>
          <w:tcPr>
            <w:tcW w:w="1984" w:type="dxa"/>
            <w:tcBorders>
              <w:top w:val="single" w:sz="8" w:space="0" w:color="FFFFFF" w:themeColor="background1"/>
              <w:bottom w:val="single" w:sz="6" w:space="0" w:color="6F6652"/>
            </w:tcBorders>
            <w:shd w:val="clear" w:color="auto" w:fill="E9E8E5" w:themeFill="background2"/>
            <w:tcMar>
              <w:left w:w="57" w:type="dxa"/>
              <w:right w:w="57" w:type="dxa"/>
            </w:tcMar>
          </w:tcPr>
          <w:p w:rsidR="00242C46" w:rsidRDefault="00242C46" w:rsidP="00242C46">
            <w:pPr>
              <w:pStyle w:val="TableTextEntries"/>
            </w:pPr>
            <w:r>
              <w:t>NSW Building Administration</w:t>
            </w:r>
          </w:p>
        </w:tc>
        <w:tc>
          <w:tcPr>
            <w:tcW w:w="1984" w:type="dxa"/>
            <w:tcBorders>
              <w:top w:val="single" w:sz="8" w:space="0" w:color="FFFFFF" w:themeColor="background1"/>
              <w:bottom w:val="single" w:sz="6" w:space="0" w:color="6F6652"/>
            </w:tcBorders>
            <w:shd w:val="clear" w:color="auto" w:fill="E9E8E5" w:themeFill="background2"/>
            <w:tcMar>
              <w:left w:w="57" w:type="dxa"/>
              <w:right w:w="57" w:type="dxa"/>
            </w:tcMar>
          </w:tcPr>
          <w:p w:rsidR="00242C46" w:rsidRDefault="00242C46" w:rsidP="00242C46">
            <w:pPr>
              <w:pStyle w:val="TableTextEntries"/>
            </w:pPr>
            <w:r>
              <w:t>A most likely</w:t>
            </w:r>
          </w:p>
        </w:tc>
        <w:tc>
          <w:tcPr>
            <w:tcW w:w="1984" w:type="dxa"/>
            <w:tcBorders>
              <w:top w:val="single" w:sz="8" w:space="0" w:color="FFFFFF" w:themeColor="background1"/>
              <w:bottom w:val="single" w:sz="6" w:space="0" w:color="6F6652"/>
            </w:tcBorders>
            <w:shd w:val="clear" w:color="auto" w:fill="E9E8E5" w:themeFill="background2"/>
            <w:tcMar>
              <w:left w:w="57" w:type="dxa"/>
              <w:right w:w="57" w:type="dxa"/>
            </w:tcMar>
          </w:tcPr>
          <w:p w:rsidR="00242C46" w:rsidRDefault="00242C46" w:rsidP="00242C46">
            <w:pPr>
              <w:pStyle w:val="TableTextEntries"/>
            </w:pPr>
            <w:r>
              <w:t>B very unlikely</w:t>
            </w:r>
          </w:p>
        </w:tc>
        <w:tc>
          <w:tcPr>
            <w:tcW w:w="1985" w:type="dxa"/>
            <w:tcBorders>
              <w:top w:val="single" w:sz="8" w:space="0" w:color="FFFFFF" w:themeColor="background1"/>
              <w:bottom w:val="single" w:sz="6" w:space="0" w:color="6F6652"/>
            </w:tcBorders>
            <w:shd w:val="clear" w:color="auto" w:fill="E9E8E5" w:themeFill="background2"/>
            <w:tcMar>
              <w:left w:w="57" w:type="dxa"/>
              <w:right w:w="57" w:type="dxa"/>
            </w:tcMar>
          </w:tcPr>
          <w:p w:rsidR="00242C46" w:rsidRDefault="00242C46" w:rsidP="00242C46">
            <w:pPr>
              <w:pStyle w:val="TableTextEntries"/>
            </w:pPr>
          </w:p>
        </w:tc>
      </w:tr>
    </w:tbl>
    <w:p w:rsidR="00242C46" w:rsidRDefault="00242C46" w:rsidP="00242C46">
      <w:pPr>
        <w:pStyle w:val="Source"/>
      </w:pPr>
      <w:r>
        <w:rPr>
          <w:i/>
        </w:rPr>
        <w:t>Source</w:t>
      </w:r>
      <w:r w:rsidRPr="00E4232C">
        <w:rPr>
          <w:i/>
        </w:rPr>
        <w:t>:</w:t>
      </w:r>
      <w:r>
        <w:t xml:space="preserve"> submissions as noted in the table</w:t>
      </w:r>
    </w:p>
    <w:p w:rsidR="00242C46" w:rsidRDefault="00242C46" w:rsidP="00242C46">
      <w:pPr>
        <w:pStyle w:val="BodyText"/>
      </w:pPr>
      <w:r>
        <w:t>Benmax Group, NASH, NSW Building Administration and PCA</w:t>
      </w:r>
      <w:r w:rsidRPr="003E7824">
        <w:t xml:space="preserve"> confirm the view that most designs w</w:t>
      </w:r>
      <w:r>
        <w:t>ill</w:t>
      </w:r>
      <w:r w:rsidRPr="003E7824">
        <w:t xml:space="preserve"> seek to maintain their current WWR</w:t>
      </w:r>
      <w:r>
        <w:t>. In particular, NASH states ‘</w:t>
      </w:r>
      <w:r w:rsidRPr="003E7824">
        <w:t>it seems improbable that the ratio will change suddenly from 70-75% to 30-45% with the proposed 2019 measures</w:t>
      </w:r>
      <w:r>
        <w:t xml:space="preserve"> </w:t>
      </w:r>
      <w:r w:rsidRPr="003E7824">
        <w:t>...</w:t>
      </w:r>
      <w:r>
        <w:t xml:space="preserve"> </w:t>
      </w:r>
      <w:r w:rsidRPr="003E7824">
        <w:t>this will only happen over time</w:t>
      </w:r>
      <w:r>
        <w:t>’</w:t>
      </w:r>
      <w:r w:rsidRPr="003E7824">
        <w:t xml:space="preserve">. </w:t>
      </w:r>
    </w:p>
    <w:p w:rsidR="00242C46" w:rsidRDefault="00242C46" w:rsidP="00242C46">
      <w:pPr>
        <w:pStyle w:val="BodyText"/>
      </w:pPr>
      <w:r w:rsidRPr="003E7824">
        <w:t xml:space="preserve">Views </w:t>
      </w:r>
      <w:r>
        <w:t>are</w:t>
      </w:r>
      <w:r w:rsidRPr="003E7824">
        <w:t xml:space="preserve"> mixed on how compliance w</w:t>
      </w:r>
      <w:r>
        <w:t>ill</w:t>
      </w:r>
      <w:r w:rsidRPr="003E7824">
        <w:t xml:space="preserve"> be achieved</w:t>
      </w:r>
      <w:r>
        <w:t>.</w:t>
      </w:r>
      <w:r w:rsidRPr="003E7824">
        <w:t xml:space="preserve"> </w:t>
      </w:r>
      <w:r>
        <w:t>T</w:t>
      </w:r>
      <w:r w:rsidRPr="003E7824">
        <w:t>here appear</w:t>
      </w:r>
      <w:r>
        <w:t>s</w:t>
      </w:r>
      <w:r w:rsidRPr="003E7824">
        <w:t xml:space="preserve"> to be many arguments against shading including </w:t>
      </w:r>
    </w:p>
    <w:p w:rsidR="00242C46" w:rsidRDefault="00242C46" w:rsidP="00242C46">
      <w:pPr>
        <w:pStyle w:val="ListBullet"/>
      </w:pPr>
      <w:r>
        <w:t>‘</w:t>
      </w:r>
      <w:r w:rsidRPr="003E7824">
        <w:t>it is already extensively used</w:t>
      </w:r>
      <w:r>
        <w:t>’</w:t>
      </w:r>
      <w:r w:rsidRPr="003E7824">
        <w:t xml:space="preserve"> </w:t>
      </w:r>
      <w:r>
        <w:t>(</w:t>
      </w:r>
      <w:r w:rsidRPr="003E7824">
        <w:t>G.</w:t>
      </w:r>
      <w:r>
        <w:t> </w:t>
      </w:r>
      <w:r w:rsidRPr="003E7824">
        <w:t>James</w:t>
      </w:r>
      <w:r>
        <w:t>);</w:t>
      </w:r>
      <w:r w:rsidRPr="003E7824">
        <w:t xml:space="preserve"> </w:t>
      </w:r>
    </w:p>
    <w:p w:rsidR="00242C46" w:rsidRDefault="00242C46" w:rsidP="00242C46">
      <w:pPr>
        <w:pStyle w:val="ListBullet"/>
      </w:pPr>
      <w:r>
        <w:t>‘</w:t>
      </w:r>
      <w:r w:rsidRPr="003E7824">
        <w:t>Shading may not get you over the line</w:t>
      </w:r>
      <w:r>
        <w:t>’</w:t>
      </w:r>
      <w:r w:rsidRPr="003E7824">
        <w:t xml:space="preserve">, </w:t>
      </w:r>
      <w:r>
        <w:t>‘</w:t>
      </w:r>
      <w:r w:rsidRPr="003E7824">
        <w:t>it may interfere with the architects vision</w:t>
      </w:r>
      <w:r>
        <w:t>’</w:t>
      </w:r>
      <w:r w:rsidRPr="003E7824">
        <w:t xml:space="preserve"> </w:t>
      </w:r>
      <w:r>
        <w:t>(</w:t>
      </w:r>
      <w:r w:rsidRPr="003E7824">
        <w:t>Benmax</w:t>
      </w:r>
      <w:r>
        <w:t>);</w:t>
      </w:r>
      <w:r w:rsidRPr="003E7824">
        <w:t xml:space="preserve"> </w:t>
      </w:r>
    </w:p>
    <w:p w:rsidR="00242C46" w:rsidRDefault="00242C46" w:rsidP="00242C46">
      <w:pPr>
        <w:pStyle w:val="ListBullet"/>
      </w:pPr>
      <w:r>
        <w:t>‘</w:t>
      </w:r>
      <w:r w:rsidRPr="003E7824">
        <w:t>Shading in high rise presents challenges</w:t>
      </w:r>
      <w:r>
        <w:t>’</w:t>
      </w:r>
      <w:r w:rsidRPr="003E7824">
        <w:t xml:space="preserve"> </w:t>
      </w:r>
      <w:r>
        <w:t>(</w:t>
      </w:r>
      <w:r w:rsidRPr="003E7824">
        <w:t>PCA</w:t>
      </w:r>
      <w:r>
        <w:t>)</w:t>
      </w:r>
      <w:r w:rsidRPr="003E7824">
        <w:t>,</w:t>
      </w:r>
      <w:r>
        <w:t xml:space="preserve"> and</w:t>
      </w:r>
      <w:r w:rsidRPr="003E7824">
        <w:t xml:space="preserve"> </w:t>
      </w:r>
    </w:p>
    <w:p w:rsidR="00242C46" w:rsidRDefault="00242C46" w:rsidP="00242C46">
      <w:pPr>
        <w:pStyle w:val="ListBullet"/>
      </w:pPr>
      <w:r>
        <w:t>‘</w:t>
      </w:r>
      <w:r w:rsidRPr="003E7824">
        <w:t>brings with it non-compliance</w:t>
      </w:r>
      <w:r>
        <w:t>’</w:t>
      </w:r>
      <w:r w:rsidRPr="003E7824">
        <w:t xml:space="preserve"> </w:t>
      </w:r>
      <w:r>
        <w:t>(</w:t>
      </w:r>
      <w:r w:rsidRPr="003E7824">
        <w:t>Sustainability House</w:t>
      </w:r>
      <w:r>
        <w:t>)</w:t>
      </w:r>
      <w:r w:rsidRPr="003E7824">
        <w:t xml:space="preserve">. </w:t>
      </w:r>
    </w:p>
    <w:p w:rsidR="00242C46" w:rsidRDefault="00242C46" w:rsidP="00242C46">
      <w:pPr>
        <w:pStyle w:val="BodyText"/>
      </w:pPr>
      <w:r w:rsidRPr="003E7824">
        <w:t>For the most part, respondents fe</w:t>
      </w:r>
      <w:r>
        <w:t>e</w:t>
      </w:r>
      <w:r w:rsidRPr="003E7824">
        <w:t>l a change in compliance pathway w</w:t>
      </w:r>
      <w:r>
        <w:t>ill</w:t>
      </w:r>
      <w:r w:rsidRPr="003E7824">
        <w:t xml:space="preserve"> be required. However this </w:t>
      </w:r>
      <w:r>
        <w:t>will present</w:t>
      </w:r>
      <w:r w:rsidRPr="003E7824">
        <w:t xml:space="preserve"> challenges </w:t>
      </w:r>
      <w:r>
        <w:t xml:space="preserve">too </w:t>
      </w:r>
      <w:r w:rsidRPr="003E7824">
        <w:t xml:space="preserve">and a particular concern </w:t>
      </w:r>
      <w:r>
        <w:t>i</w:t>
      </w:r>
      <w:r w:rsidRPr="003E7824">
        <w:t>s noted around the impacts on Class 9 buildings (probably arising from the case studies), noting the U-Values coupled with the need to maintain high WWR w</w:t>
      </w:r>
      <w:r>
        <w:t>ill</w:t>
      </w:r>
      <w:r w:rsidRPr="003E7824">
        <w:t xml:space="preserve"> be prohibitive to compliance. </w:t>
      </w:r>
    </w:p>
    <w:p w:rsidR="00242C46" w:rsidRDefault="00242C46" w:rsidP="00242C46">
      <w:pPr>
        <w:pStyle w:val="Heading7"/>
        <w:numPr>
          <w:ilvl w:val="6"/>
          <w:numId w:val="5"/>
        </w:numPr>
      </w:pPr>
      <w:bookmarkStart w:id="5030" w:name="_Toc525715646"/>
      <w:r>
        <w:t>Likely energy saving scenario in relation to modelled results and factors affecting the outcome</w:t>
      </w:r>
      <w:bookmarkEnd w:id="5030"/>
    </w:p>
    <w:p w:rsidR="00242C46" w:rsidRDefault="00242C46" w:rsidP="00242C46">
      <w:pPr>
        <w:pStyle w:val="BodyText"/>
      </w:pPr>
      <w:r>
        <w:t>Three scenarios of realisation of modelled energy outcomes were presented in the Consultation RIS:</w:t>
      </w:r>
    </w:p>
    <w:p w:rsidR="00242C46" w:rsidRDefault="00242C46" w:rsidP="00242C46">
      <w:pPr>
        <w:pStyle w:val="ListBullet"/>
      </w:pPr>
      <w:r>
        <w:t>Low – about half realisation of modelled outcome</w:t>
      </w:r>
    </w:p>
    <w:p w:rsidR="00242C46" w:rsidRDefault="00242C46" w:rsidP="00242C46">
      <w:pPr>
        <w:pStyle w:val="ListBullet"/>
      </w:pPr>
      <w:r>
        <w:t>Medium – 75 per cent realisation</w:t>
      </w:r>
    </w:p>
    <w:p w:rsidR="00242C46" w:rsidRPr="005D187B" w:rsidRDefault="00242C46" w:rsidP="00242C46">
      <w:pPr>
        <w:pStyle w:val="ListBullet"/>
      </w:pPr>
      <w:r>
        <w:t>High – full realisation</w:t>
      </w:r>
    </w:p>
    <w:p w:rsidR="00242C46" w:rsidRDefault="00242C46" w:rsidP="00242C46">
      <w:pPr>
        <w:pStyle w:val="BodyText"/>
      </w:pPr>
      <w:r>
        <w:t>Stakeholders were asked to comment on which scenario is more likely and what factors affect the realisation of modelled outcome.</w:t>
      </w:r>
    </w:p>
    <w:p w:rsidR="00242C46" w:rsidRDefault="00242C46" w:rsidP="00242C46">
      <w:pPr>
        <w:pStyle w:val="BodyText"/>
      </w:pPr>
      <w:r>
        <w:t xml:space="preserve">Most submissions answering this question suggest low or medium scenario of realisation (table </w:t>
      </w:r>
      <w:r w:rsidR="001451C0">
        <w:rPr>
          <w:noProof/>
        </w:rPr>
        <w:fldChar w:fldCharType="begin"/>
      </w:r>
      <w:r w:rsidR="001451C0">
        <w:rPr>
          <w:noProof/>
        </w:rPr>
        <w:instrText xml:space="preserve"> REF _Caption8293 </w:instrText>
      </w:r>
      <w:r w:rsidR="001451C0">
        <w:rPr>
          <w:noProof/>
        </w:rPr>
        <w:fldChar w:fldCharType="separate"/>
      </w:r>
      <w:r w:rsidR="006B79B8">
        <w:rPr>
          <w:noProof/>
        </w:rPr>
        <w:t>C</w:t>
      </w:r>
      <w:r w:rsidR="006B79B8" w:rsidRPr="00695C93">
        <w:rPr>
          <w:noProof/>
        </w:rPr>
        <w:t>.</w:t>
      </w:r>
      <w:r w:rsidR="006B79B8">
        <w:rPr>
          <w:noProof/>
        </w:rPr>
        <w:t>6</w:t>
      </w:r>
      <w:r w:rsidR="001451C0">
        <w:rPr>
          <w:noProof/>
        </w:rPr>
        <w:fldChar w:fldCharType="end"/>
      </w:r>
      <w:r>
        <w:t xml:space="preserve">). </w:t>
      </w:r>
      <w:r w:rsidRPr="003E7824">
        <w:t>JMG</w:t>
      </w:r>
      <w:r>
        <w:t>,</w:t>
      </w:r>
      <w:r w:rsidRPr="003E7824">
        <w:t xml:space="preserve"> </w:t>
      </w:r>
      <w:r>
        <w:t>T</w:t>
      </w:r>
      <w:r w:rsidRPr="003E7824">
        <w:t xml:space="preserve">hink Brick and NSW </w:t>
      </w:r>
      <w:r>
        <w:t>B</w:t>
      </w:r>
      <w:r w:rsidRPr="003E7824">
        <w:t xml:space="preserve">uilding Administration suggest the medium scenario was more likely. </w:t>
      </w:r>
      <w:r>
        <w:t xml:space="preserve">PCA suggests low to medium scenario noting suburban office and small retail market comprise a much larger percentage of overall building stock. Similarly NASH suggests low scenario for mainstream buildings and medium for large and landmark buildings. BlueScope and </w:t>
      </w:r>
      <w:r w:rsidRPr="003E7824">
        <w:t>MBA fe</w:t>
      </w:r>
      <w:r>
        <w:t>e</w:t>
      </w:r>
      <w:r w:rsidRPr="003E7824">
        <w:t xml:space="preserve">l the low scenario </w:t>
      </w:r>
      <w:r>
        <w:t xml:space="preserve">is more likely </w:t>
      </w:r>
      <w:r w:rsidRPr="003E7824">
        <w:t xml:space="preserve">due to the poor relationship between predicted and actual outcomes. </w:t>
      </w:r>
    </w:p>
    <w:p w:rsidR="00242C46" w:rsidRDefault="00242C46" w:rsidP="00242C46">
      <w:pPr>
        <w:pStyle w:val="BodyText"/>
      </w:pPr>
      <w:r>
        <w:t>Benmax Group</w:t>
      </w:r>
      <w:r w:rsidRPr="003E7824">
        <w:t xml:space="preserve"> fe</w:t>
      </w:r>
      <w:r>
        <w:t>e</w:t>
      </w:r>
      <w:r w:rsidRPr="003E7824">
        <w:t>l</w:t>
      </w:r>
      <w:r>
        <w:t>s</w:t>
      </w:r>
      <w:r w:rsidRPr="003E7824">
        <w:t xml:space="preserve"> the high scenario was more representative</w:t>
      </w:r>
      <w:r>
        <w:t>. G. James anticipates</w:t>
      </w:r>
      <w:r w:rsidRPr="003E7824">
        <w:t xml:space="preserve"> </w:t>
      </w:r>
      <w:r>
        <w:t>‘the energy savings to be significant’, but does not explicitly suggest a realisation scenario.</w:t>
      </w:r>
    </w:p>
    <w:p w:rsidR="00242C46" w:rsidRDefault="00242C46" w:rsidP="00242C46">
      <w:pPr>
        <w:pStyle w:val="Caption"/>
      </w:pPr>
      <w:r w:rsidRPr="00695C93">
        <w:fldChar w:fldCharType="begin"/>
      </w:r>
      <w:r w:rsidRPr="00695C93">
        <w:instrText xml:space="preserve"> IF 1 = 1 "</w:instrText>
      </w:r>
      <w:r w:rsidRPr="00695C93">
        <w:fldChar w:fldCharType="begin"/>
      </w:r>
      <w:r w:rsidRPr="00695C93">
        <w:instrText xml:space="preserve"> IF </w:instrText>
      </w:r>
      <w:r w:rsidR="001451C0">
        <w:rPr>
          <w:noProof/>
        </w:rPr>
        <w:fldChar w:fldCharType="begin"/>
      </w:r>
      <w:r w:rsidR="001451C0">
        <w:rPr>
          <w:noProof/>
        </w:rPr>
        <w:instrText xml:space="preserve"> STYLEREF "Heading 6" \l \n </w:instrText>
      </w:r>
      <w:r w:rsidR="001451C0">
        <w:rPr>
          <w:noProof/>
        </w:rPr>
        <w:fldChar w:fldCharType="separate"/>
      </w:r>
      <w:r w:rsidR="00B833F1">
        <w:rPr>
          <w:noProof/>
        </w:rPr>
        <w:instrText>C</w:instrText>
      </w:r>
      <w:r w:rsidR="001451C0">
        <w:rPr>
          <w:noProof/>
        </w:rPr>
        <w:fldChar w:fldCharType="end"/>
      </w:r>
      <w:r w:rsidRPr="00695C93">
        <w:instrText xml:space="preserve"> = 0 "</w:instrText>
      </w:r>
      <w:r w:rsidRPr="00695C93">
        <w:fldChar w:fldCharType="begin"/>
      </w:r>
      <w:r w:rsidRPr="00695C93">
        <w:instrText xml:space="preserve"> IF </w:instrText>
      </w:r>
      <w:r w:rsidR="001451C0">
        <w:rPr>
          <w:noProof/>
        </w:rPr>
        <w:fldChar w:fldCharType="begin"/>
      </w:r>
      <w:r w:rsidR="001451C0">
        <w:rPr>
          <w:noProof/>
        </w:rPr>
        <w:instrText xml:space="preserve"> STYLEREF "Heading 1" \l \n </w:instrText>
      </w:r>
      <w:r w:rsidR="001451C0">
        <w:rPr>
          <w:noProof/>
        </w:rPr>
        <w:fldChar w:fldCharType="separate"/>
      </w:r>
      <w:r>
        <w:rPr>
          <w:noProof/>
        </w:rPr>
        <w:instrText>0</w:instrText>
      </w:r>
      <w:r w:rsidR="001451C0">
        <w:rPr>
          <w:noProof/>
        </w:rPr>
        <w:fldChar w:fldCharType="end"/>
      </w:r>
      <w:r w:rsidRPr="00695C93">
        <w:instrText xml:space="preserve"> = 0 "" "</w:instrText>
      </w:r>
      <w:r w:rsidR="001451C0">
        <w:rPr>
          <w:noProof/>
        </w:rPr>
        <w:fldChar w:fldCharType="begin"/>
      </w:r>
      <w:r w:rsidR="001451C0">
        <w:rPr>
          <w:noProof/>
        </w:rPr>
        <w:instrText xml:space="preserve"> STYLEREF "Heading 1" \l \n </w:instrText>
      </w:r>
      <w:r w:rsidR="001451C0">
        <w:rPr>
          <w:noProof/>
        </w:rPr>
        <w:fldChar w:fldCharType="separate"/>
      </w:r>
      <w:r>
        <w:rPr>
          <w:noProof/>
        </w:rPr>
        <w:instrText>2</w:instrText>
      </w:r>
      <w:r w:rsidR="001451C0">
        <w:rPr>
          <w:noProof/>
        </w:rPr>
        <w:fldChar w:fldCharType="end"/>
      </w:r>
      <w:r w:rsidRPr="00695C93">
        <w:instrText xml:space="preserve">." </w:instrText>
      </w:r>
      <w:r w:rsidRPr="00695C93">
        <w:fldChar w:fldCharType="end"/>
      </w:r>
      <w:r w:rsidRPr="00695C93">
        <w:instrText>" "</w:instrText>
      </w:r>
      <w:r w:rsidR="001451C0">
        <w:rPr>
          <w:noProof/>
        </w:rPr>
        <w:fldChar w:fldCharType="begin"/>
      </w:r>
      <w:r w:rsidR="001451C0">
        <w:rPr>
          <w:noProof/>
        </w:rPr>
        <w:instrText xml:space="preserve"> STYLEREF "Heading 6" \l \n </w:instrText>
      </w:r>
      <w:r w:rsidR="001451C0">
        <w:rPr>
          <w:noProof/>
        </w:rPr>
        <w:fldChar w:fldCharType="separate"/>
      </w:r>
      <w:r w:rsidR="00B833F1">
        <w:rPr>
          <w:noProof/>
        </w:rPr>
        <w:instrText>C</w:instrText>
      </w:r>
      <w:r w:rsidR="001451C0">
        <w:rPr>
          <w:noProof/>
        </w:rPr>
        <w:fldChar w:fldCharType="end"/>
      </w:r>
      <w:r w:rsidRPr="00695C93">
        <w:instrText xml:space="preserve">." </w:instrText>
      </w:r>
      <w:r w:rsidRPr="00695C93">
        <w:fldChar w:fldCharType="separate"/>
      </w:r>
      <w:r w:rsidR="00B833F1">
        <w:rPr>
          <w:noProof/>
        </w:rPr>
        <w:instrText>C</w:instrText>
      </w:r>
      <w:r w:rsidR="00B833F1"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1451C0">
        <w:rPr>
          <w:noProof/>
        </w:rPr>
        <w:fldChar w:fldCharType="begin"/>
      </w:r>
      <w:r w:rsidR="001451C0">
        <w:rPr>
          <w:noProof/>
        </w:rPr>
        <w:instrText xml:space="preserve"> STYLEREF "Heading 6" \l \n </w:instrText>
      </w:r>
      <w:r w:rsidR="001451C0">
        <w:rPr>
          <w:noProof/>
        </w:rPr>
        <w:fldChar w:fldCharType="separate"/>
      </w:r>
      <w:r w:rsidR="00B833F1">
        <w:rPr>
          <w:noProof/>
        </w:rPr>
        <w:instrText>C</w:instrText>
      </w:r>
      <w:r w:rsidR="001451C0">
        <w:rPr>
          <w:noProof/>
        </w:rPr>
        <w:fldChar w:fldCharType="end"/>
      </w:r>
      <w:r w:rsidRPr="00695C93">
        <w:instrText xml:space="preserve"> = 0 "</w:instrText>
      </w:r>
      <w:r w:rsidRPr="00695C93">
        <w:fldChar w:fldCharType="begin"/>
      </w:r>
      <w:r w:rsidRPr="00695C93">
        <w:instrText xml:space="preserve"> IF </w:instrText>
      </w:r>
      <w:r w:rsidR="001451C0">
        <w:rPr>
          <w:noProof/>
        </w:rPr>
        <w:fldChar w:fldCharType="begin"/>
      </w:r>
      <w:r w:rsidR="001451C0">
        <w:rPr>
          <w:noProof/>
        </w:rPr>
        <w:instrText xml:space="preserve"> STYLEREF "Heading 1" \l \n </w:instrText>
      </w:r>
      <w:r w:rsidR="001451C0">
        <w:rPr>
          <w:noProof/>
        </w:rPr>
        <w:fldChar w:fldCharType="separate"/>
      </w:r>
      <w:r>
        <w:rPr>
          <w:noProof/>
        </w:rPr>
        <w:instrText>0</w:instrText>
      </w:r>
      <w:r w:rsidR="001451C0">
        <w:rPr>
          <w:noProof/>
        </w:rPr>
        <w:fldChar w:fldCharType="end"/>
      </w:r>
      <w:r w:rsidRPr="00695C93">
        <w:instrText xml:space="preserve"> = 0 "" "1" </w:instrText>
      </w:r>
      <w:r w:rsidRPr="00695C93">
        <w:fldChar w:fldCharType="end"/>
      </w:r>
      <w:r w:rsidRPr="00695C93">
        <w:instrText xml:space="preserve">" "6" </w:instrText>
      </w:r>
      <w:r w:rsidRPr="00695C93">
        <w:fldChar w:fldCharType="separate"/>
      </w:r>
      <w:r w:rsidR="00B833F1" w:rsidRPr="00695C93">
        <w:rPr>
          <w:noProof/>
        </w:rPr>
        <w:instrText>6</w:instrText>
      </w:r>
      <w:r w:rsidRPr="00695C93">
        <w:fldChar w:fldCharType="end"/>
      </w:r>
      <w:r w:rsidRPr="00695C93">
        <w:instrText xml:space="preserve"> </w:instrText>
      </w:r>
      <w:r w:rsidRPr="00695C93">
        <w:fldChar w:fldCharType="separate"/>
      </w:r>
      <w:r w:rsidR="00B833F1">
        <w:rPr>
          <w:noProof/>
        </w:rPr>
        <w:instrText>6</w:instrText>
      </w:r>
      <w:r w:rsidRPr="00695C93">
        <w:fldChar w:fldCharType="end"/>
      </w:r>
      <w:r w:rsidRPr="00695C93">
        <w:instrText xml:space="preserve">" "" </w:instrText>
      </w:r>
      <w:r w:rsidRPr="00695C93">
        <w:fldChar w:fldCharType="separate"/>
      </w:r>
      <w:bookmarkStart w:id="5031" w:name="_Caption1137"/>
      <w:bookmarkStart w:id="5032" w:name="_Caption0738"/>
      <w:bookmarkStart w:id="5033" w:name="_Caption5332"/>
      <w:bookmarkStart w:id="5034" w:name="_Caption2209"/>
      <w:bookmarkStart w:id="5035" w:name="_Caption8499"/>
      <w:bookmarkStart w:id="5036" w:name="_Caption4863"/>
      <w:bookmarkStart w:id="5037" w:name="_Caption9602"/>
      <w:bookmarkStart w:id="5038" w:name="_Caption6289"/>
      <w:bookmarkStart w:id="5039" w:name="_Caption6044"/>
      <w:bookmarkStart w:id="5040" w:name="_Caption8293"/>
      <w:bookmarkStart w:id="5041" w:name="_Caption1658"/>
      <w:bookmarkStart w:id="5042" w:name="_Caption1727"/>
      <w:bookmarkStart w:id="5043" w:name="_Caption9920"/>
      <w:bookmarkStart w:id="5044" w:name="_Caption9416"/>
      <w:bookmarkStart w:id="5045" w:name="_Caption0673"/>
      <w:bookmarkStart w:id="5046" w:name="_Caption6224"/>
      <w:bookmarkStart w:id="5047" w:name="_Caption9297"/>
      <w:bookmarkStart w:id="5048" w:name="_Caption8167"/>
      <w:bookmarkStart w:id="5049" w:name="_Caption7923"/>
      <w:bookmarkStart w:id="5050" w:name="_Caption6952"/>
      <w:bookmarkStart w:id="5051" w:name="_Caption8122"/>
      <w:bookmarkStart w:id="5052" w:name="_Caption5336"/>
      <w:bookmarkStart w:id="5053" w:name="_Caption3805"/>
      <w:bookmarkStart w:id="5054" w:name="_Caption7869"/>
      <w:bookmarkStart w:id="5055" w:name="_Caption3112"/>
      <w:bookmarkStart w:id="5056" w:name="_Caption1470"/>
      <w:bookmarkStart w:id="5057" w:name="_Caption3087"/>
      <w:bookmarkStart w:id="5058" w:name="_Caption7656"/>
      <w:bookmarkStart w:id="5059" w:name="_Caption0950"/>
      <w:bookmarkStart w:id="5060" w:name="_Caption5628"/>
      <w:bookmarkStart w:id="5061" w:name="_Caption5367"/>
      <w:bookmarkStart w:id="5062" w:name="_Caption9340"/>
      <w:bookmarkStart w:id="5063" w:name="_Caption0197"/>
      <w:bookmarkStart w:id="5064" w:name="_Caption4280"/>
      <w:bookmarkStart w:id="5065" w:name="_Caption7988"/>
      <w:bookmarkStart w:id="5066" w:name="_Caption1411"/>
      <w:bookmarkStart w:id="5067" w:name="_Caption8210"/>
      <w:bookmarkStart w:id="5068" w:name="_Toc525900603"/>
      <w:bookmarkStart w:id="5069" w:name="_Toc529869973"/>
      <w:bookmarkStart w:id="5070" w:name="_Toc530748469"/>
      <w:r w:rsidR="00EA42ED">
        <w:rPr>
          <w:noProof/>
        </w:rPr>
        <w:t>C</w:t>
      </w:r>
      <w:r w:rsidR="00EA42ED" w:rsidRPr="00695C93">
        <w:rPr>
          <w:noProof/>
        </w:rPr>
        <w:t>.</w:t>
      </w:r>
      <w:r w:rsidR="00EA42ED">
        <w:rPr>
          <w:noProof/>
        </w:rPr>
        <w:t>6</w:t>
      </w:r>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r w:rsidRPr="00695C93">
        <w:fldChar w:fldCharType="end"/>
      </w:r>
      <w:r w:rsidRPr="00695C93">
        <w:tab/>
      </w:r>
      <w:r>
        <w:t>Realisation of modelled outcomes</w:t>
      </w:r>
      <w:bookmarkEnd w:id="5068"/>
      <w:bookmarkEnd w:id="5069"/>
      <w:bookmarkEnd w:id="5070"/>
    </w:p>
    <w:tbl>
      <w:tblPr>
        <w:tblW w:w="0" w:type="auto"/>
        <w:tblLayout w:type="fixed"/>
        <w:tblLook w:val="0000" w:firstRow="0" w:lastRow="0" w:firstColumn="0" w:lastColumn="0" w:noHBand="0" w:noVBand="0"/>
        <w:tblCaption w:val="Table C.6: Realisation of modelled outcomes"/>
        <w:tblDescription w:val="This table shows the likely realisation of modelled outcomes based on the views of stakeholders. "/>
      </w:tblPr>
      <w:tblGrid>
        <w:gridCol w:w="2127"/>
        <w:gridCol w:w="2126"/>
        <w:gridCol w:w="2410"/>
        <w:gridCol w:w="1274"/>
      </w:tblGrid>
      <w:tr w:rsidR="00242C46" w:rsidTr="00242C46">
        <w:tc>
          <w:tcPr>
            <w:tcW w:w="2127" w:type="dxa"/>
            <w:tcBorders>
              <w:bottom w:val="single" w:sz="8" w:space="0" w:color="FFFFFF" w:themeColor="background1"/>
            </w:tcBorders>
            <w:shd w:val="clear" w:color="auto" w:fill="6F6652"/>
            <w:tcMar>
              <w:left w:w="57" w:type="dxa"/>
              <w:right w:w="57" w:type="dxa"/>
            </w:tcMar>
          </w:tcPr>
          <w:p w:rsidR="00242C46" w:rsidRDefault="00242C46" w:rsidP="00242C46">
            <w:pPr>
              <w:pStyle w:val="TableTextColumnHeading"/>
            </w:pPr>
            <w:r>
              <w:t>Respondent</w:t>
            </w:r>
          </w:p>
        </w:tc>
        <w:tc>
          <w:tcPr>
            <w:tcW w:w="2126" w:type="dxa"/>
            <w:tcBorders>
              <w:bottom w:val="single" w:sz="8" w:space="0" w:color="FFFFFF" w:themeColor="background1"/>
            </w:tcBorders>
            <w:shd w:val="clear" w:color="auto" w:fill="6F6652"/>
            <w:tcMar>
              <w:left w:w="57" w:type="dxa"/>
              <w:right w:w="57" w:type="dxa"/>
            </w:tcMar>
          </w:tcPr>
          <w:p w:rsidR="00242C46" w:rsidRDefault="00242C46" w:rsidP="00242C46">
            <w:pPr>
              <w:pStyle w:val="TableTextColumnHeading"/>
            </w:pPr>
            <w:r>
              <w:t>Low</w:t>
            </w:r>
          </w:p>
        </w:tc>
        <w:tc>
          <w:tcPr>
            <w:tcW w:w="2410" w:type="dxa"/>
            <w:tcBorders>
              <w:bottom w:val="single" w:sz="8" w:space="0" w:color="FFFFFF" w:themeColor="background1"/>
            </w:tcBorders>
            <w:shd w:val="clear" w:color="auto" w:fill="6F6652"/>
            <w:tcMar>
              <w:left w:w="57" w:type="dxa"/>
              <w:right w:w="57" w:type="dxa"/>
            </w:tcMar>
          </w:tcPr>
          <w:p w:rsidR="00242C46" w:rsidRDefault="00242C46" w:rsidP="00242C46">
            <w:pPr>
              <w:pStyle w:val="TableTextColumnHeading"/>
            </w:pPr>
            <w:r>
              <w:t>Medium</w:t>
            </w:r>
          </w:p>
        </w:tc>
        <w:tc>
          <w:tcPr>
            <w:tcW w:w="1274" w:type="dxa"/>
            <w:tcBorders>
              <w:bottom w:val="single" w:sz="8" w:space="0" w:color="FFFFFF" w:themeColor="background1"/>
            </w:tcBorders>
            <w:shd w:val="clear" w:color="auto" w:fill="6F6652"/>
            <w:tcMar>
              <w:left w:w="57" w:type="dxa"/>
              <w:right w:w="57" w:type="dxa"/>
            </w:tcMar>
          </w:tcPr>
          <w:p w:rsidR="00242C46" w:rsidRDefault="00242C46" w:rsidP="00242C46">
            <w:pPr>
              <w:pStyle w:val="TableTextColumnHeading"/>
            </w:pPr>
            <w:r>
              <w:t>High</w:t>
            </w:r>
          </w:p>
        </w:tc>
      </w:tr>
      <w:tr w:rsidR="00242C46" w:rsidTr="00242C46">
        <w:tc>
          <w:tcPr>
            <w:tcW w:w="212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42C46" w:rsidRDefault="00242C46" w:rsidP="00242C46">
            <w:pPr>
              <w:pStyle w:val="TableTextEntries"/>
            </w:pPr>
            <w:r>
              <w:t>JMG</w:t>
            </w:r>
          </w:p>
        </w:tc>
        <w:tc>
          <w:tcPr>
            <w:tcW w:w="212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42C46" w:rsidRDefault="00242C46" w:rsidP="00242C46">
            <w:pPr>
              <w:pStyle w:val="TableTextEntries"/>
            </w:pPr>
          </w:p>
        </w:tc>
        <w:tc>
          <w:tcPr>
            <w:tcW w:w="241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42C46" w:rsidRDefault="00242C46" w:rsidP="00242C46">
            <w:pPr>
              <w:pStyle w:val="TableTextEntries"/>
            </w:pPr>
            <w:r>
              <w:t>Medium</w:t>
            </w:r>
          </w:p>
        </w:tc>
        <w:tc>
          <w:tcPr>
            <w:tcW w:w="127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42C46" w:rsidRDefault="00242C46" w:rsidP="00242C46">
            <w:pPr>
              <w:pStyle w:val="TableTextEntries"/>
            </w:pPr>
          </w:p>
        </w:tc>
      </w:tr>
      <w:tr w:rsidR="00242C46" w:rsidTr="00242C46">
        <w:tc>
          <w:tcPr>
            <w:tcW w:w="212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42C46" w:rsidRDefault="00242C46" w:rsidP="00242C46">
            <w:pPr>
              <w:pStyle w:val="TableTextEntries"/>
            </w:pPr>
            <w:r>
              <w:t>Benmax Group</w:t>
            </w:r>
          </w:p>
        </w:tc>
        <w:tc>
          <w:tcPr>
            <w:tcW w:w="212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42C46" w:rsidRDefault="00242C46" w:rsidP="00242C46">
            <w:pPr>
              <w:pStyle w:val="TableTextEntries"/>
            </w:pPr>
          </w:p>
        </w:tc>
        <w:tc>
          <w:tcPr>
            <w:tcW w:w="241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42C46" w:rsidRDefault="00242C46" w:rsidP="00242C46">
            <w:pPr>
              <w:pStyle w:val="TableTextEntries"/>
            </w:pPr>
          </w:p>
        </w:tc>
        <w:tc>
          <w:tcPr>
            <w:tcW w:w="127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42C46" w:rsidRDefault="00242C46" w:rsidP="00242C46">
            <w:pPr>
              <w:pStyle w:val="TableTextEntries"/>
            </w:pPr>
            <w:r>
              <w:t>High</w:t>
            </w:r>
          </w:p>
        </w:tc>
      </w:tr>
      <w:tr w:rsidR="00242C46" w:rsidTr="00242C46">
        <w:tc>
          <w:tcPr>
            <w:tcW w:w="212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42C46" w:rsidRDefault="00242C46" w:rsidP="00242C46">
            <w:pPr>
              <w:pStyle w:val="TableTextEntries"/>
            </w:pPr>
            <w:r>
              <w:t>BlueScope</w:t>
            </w:r>
          </w:p>
        </w:tc>
        <w:tc>
          <w:tcPr>
            <w:tcW w:w="212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42C46" w:rsidRDefault="00242C46" w:rsidP="00242C46">
            <w:pPr>
              <w:pStyle w:val="TableTextEntries"/>
            </w:pPr>
            <w:r>
              <w:t>Low</w:t>
            </w:r>
          </w:p>
        </w:tc>
        <w:tc>
          <w:tcPr>
            <w:tcW w:w="241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42C46" w:rsidRDefault="00242C46" w:rsidP="00242C46">
            <w:pPr>
              <w:pStyle w:val="TableTextEntries"/>
            </w:pPr>
          </w:p>
        </w:tc>
        <w:tc>
          <w:tcPr>
            <w:tcW w:w="127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42C46" w:rsidRDefault="00242C46" w:rsidP="00242C46">
            <w:pPr>
              <w:pStyle w:val="TableTextEntries"/>
            </w:pPr>
          </w:p>
        </w:tc>
      </w:tr>
      <w:tr w:rsidR="00242C46" w:rsidTr="00242C46">
        <w:tc>
          <w:tcPr>
            <w:tcW w:w="212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42C46" w:rsidRDefault="00242C46" w:rsidP="00242C46">
            <w:pPr>
              <w:pStyle w:val="TableTextEntries"/>
            </w:pPr>
            <w:r>
              <w:t>NASH</w:t>
            </w:r>
          </w:p>
        </w:tc>
        <w:tc>
          <w:tcPr>
            <w:tcW w:w="212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42C46" w:rsidRDefault="00242C46" w:rsidP="00242C46">
            <w:pPr>
              <w:pStyle w:val="TableTextEntries"/>
            </w:pPr>
            <w:r>
              <w:t>Low for mainstream buildings</w:t>
            </w:r>
          </w:p>
        </w:tc>
        <w:tc>
          <w:tcPr>
            <w:tcW w:w="241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42C46" w:rsidRDefault="00242C46" w:rsidP="00242C46">
            <w:pPr>
              <w:pStyle w:val="TableTextEntries"/>
            </w:pPr>
            <w:r>
              <w:t>Medium for large and landmark buildings</w:t>
            </w:r>
          </w:p>
        </w:tc>
        <w:tc>
          <w:tcPr>
            <w:tcW w:w="127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42C46" w:rsidRDefault="00242C46" w:rsidP="00242C46">
            <w:pPr>
              <w:pStyle w:val="TableTextEntries"/>
            </w:pPr>
          </w:p>
        </w:tc>
      </w:tr>
      <w:tr w:rsidR="00242C46" w:rsidTr="00242C46">
        <w:tc>
          <w:tcPr>
            <w:tcW w:w="212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42C46" w:rsidRDefault="00242C46" w:rsidP="00242C46">
            <w:pPr>
              <w:pStyle w:val="TableTextEntries"/>
            </w:pPr>
            <w:r>
              <w:t>PCA</w:t>
            </w:r>
          </w:p>
        </w:tc>
        <w:tc>
          <w:tcPr>
            <w:tcW w:w="212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42C46" w:rsidRDefault="00242C46" w:rsidP="00242C46">
            <w:pPr>
              <w:pStyle w:val="TableTextEntries"/>
              <w:jc w:val="right"/>
            </w:pPr>
            <w:r>
              <w:t>Low to</w:t>
            </w:r>
          </w:p>
        </w:tc>
        <w:tc>
          <w:tcPr>
            <w:tcW w:w="241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42C46" w:rsidRDefault="00242C46" w:rsidP="00242C46">
            <w:pPr>
              <w:pStyle w:val="TableTextEntries"/>
            </w:pPr>
            <w:r>
              <w:t>Medium</w:t>
            </w:r>
          </w:p>
        </w:tc>
        <w:tc>
          <w:tcPr>
            <w:tcW w:w="127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42C46" w:rsidRDefault="00242C46" w:rsidP="00242C46">
            <w:pPr>
              <w:pStyle w:val="TableTextEntries"/>
            </w:pPr>
          </w:p>
        </w:tc>
      </w:tr>
      <w:tr w:rsidR="00242C46" w:rsidTr="00242C46">
        <w:tc>
          <w:tcPr>
            <w:tcW w:w="212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42C46" w:rsidRDefault="00242C46" w:rsidP="00242C46">
            <w:pPr>
              <w:pStyle w:val="TableTextEntries"/>
            </w:pPr>
            <w:r>
              <w:t>Think Brick</w:t>
            </w:r>
          </w:p>
        </w:tc>
        <w:tc>
          <w:tcPr>
            <w:tcW w:w="212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42C46" w:rsidRDefault="00242C46" w:rsidP="00242C46">
            <w:pPr>
              <w:pStyle w:val="TableTextEntries"/>
            </w:pPr>
          </w:p>
        </w:tc>
        <w:tc>
          <w:tcPr>
            <w:tcW w:w="241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42C46" w:rsidRDefault="00242C46" w:rsidP="00242C46">
            <w:pPr>
              <w:pStyle w:val="TableTextEntries"/>
            </w:pPr>
            <w:r>
              <w:t>Medium</w:t>
            </w:r>
          </w:p>
        </w:tc>
        <w:tc>
          <w:tcPr>
            <w:tcW w:w="127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42C46" w:rsidRDefault="00242C46" w:rsidP="00242C46">
            <w:pPr>
              <w:pStyle w:val="TableTextEntries"/>
            </w:pPr>
          </w:p>
        </w:tc>
      </w:tr>
      <w:tr w:rsidR="00242C46" w:rsidTr="00242C46">
        <w:tc>
          <w:tcPr>
            <w:tcW w:w="212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42C46" w:rsidRDefault="00242C46" w:rsidP="00242C46">
            <w:pPr>
              <w:pStyle w:val="TableTextEntries"/>
            </w:pPr>
            <w:r>
              <w:t>NSW Building Administration</w:t>
            </w:r>
          </w:p>
        </w:tc>
        <w:tc>
          <w:tcPr>
            <w:tcW w:w="212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42C46" w:rsidRDefault="00242C46" w:rsidP="00242C46">
            <w:pPr>
              <w:pStyle w:val="TableTextEntries"/>
            </w:pPr>
          </w:p>
        </w:tc>
        <w:tc>
          <w:tcPr>
            <w:tcW w:w="241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42C46" w:rsidRDefault="00242C46" w:rsidP="00242C46">
            <w:pPr>
              <w:pStyle w:val="TableTextEntries"/>
            </w:pPr>
            <w:r>
              <w:t>Medium</w:t>
            </w:r>
          </w:p>
        </w:tc>
        <w:tc>
          <w:tcPr>
            <w:tcW w:w="127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42C46" w:rsidRDefault="00242C46" w:rsidP="00242C46">
            <w:pPr>
              <w:pStyle w:val="TableTextEntries"/>
            </w:pPr>
          </w:p>
        </w:tc>
      </w:tr>
      <w:tr w:rsidR="00242C46" w:rsidTr="00242C46">
        <w:tc>
          <w:tcPr>
            <w:tcW w:w="2127" w:type="dxa"/>
            <w:tcBorders>
              <w:top w:val="single" w:sz="8" w:space="0" w:color="FFFFFF" w:themeColor="background1"/>
              <w:bottom w:val="single" w:sz="6" w:space="0" w:color="6F6652"/>
            </w:tcBorders>
            <w:shd w:val="clear" w:color="auto" w:fill="E9E8E5" w:themeFill="background2"/>
            <w:tcMar>
              <w:left w:w="57" w:type="dxa"/>
              <w:right w:w="57" w:type="dxa"/>
            </w:tcMar>
          </w:tcPr>
          <w:p w:rsidR="00242C46" w:rsidRDefault="00242C46" w:rsidP="00242C46">
            <w:pPr>
              <w:pStyle w:val="TableTextEntries"/>
            </w:pPr>
            <w:r>
              <w:t>MBA</w:t>
            </w:r>
          </w:p>
        </w:tc>
        <w:tc>
          <w:tcPr>
            <w:tcW w:w="2126" w:type="dxa"/>
            <w:tcBorders>
              <w:top w:val="single" w:sz="8" w:space="0" w:color="FFFFFF" w:themeColor="background1"/>
              <w:bottom w:val="single" w:sz="6" w:space="0" w:color="6F6652"/>
            </w:tcBorders>
            <w:shd w:val="clear" w:color="auto" w:fill="E9E8E5" w:themeFill="background2"/>
            <w:tcMar>
              <w:left w:w="57" w:type="dxa"/>
              <w:right w:w="57" w:type="dxa"/>
            </w:tcMar>
          </w:tcPr>
          <w:p w:rsidR="00242C46" w:rsidRDefault="00242C46" w:rsidP="00242C46">
            <w:pPr>
              <w:pStyle w:val="TableTextEntries"/>
            </w:pPr>
            <w:r>
              <w:t>Closer to Low than to Medium or High</w:t>
            </w:r>
          </w:p>
        </w:tc>
        <w:tc>
          <w:tcPr>
            <w:tcW w:w="2410" w:type="dxa"/>
            <w:tcBorders>
              <w:top w:val="single" w:sz="8" w:space="0" w:color="FFFFFF" w:themeColor="background1"/>
              <w:bottom w:val="single" w:sz="6" w:space="0" w:color="6F6652"/>
            </w:tcBorders>
            <w:shd w:val="clear" w:color="auto" w:fill="E9E8E5" w:themeFill="background2"/>
            <w:tcMar>
              <w:left w:w="57" w:type="dxa"/>
              <w:right w:w="57" w:type="dxa"/>
            </w:tcMar>
          </w:tcPr>
          <w:p w:rsidR="00242C46" w:rsidRDefault="00242C46" w:rsidP="00242C46">
            <w:pPr>
              <w:pStyle w:val="TableTextEntries"/>
            </w:pPr>
          </w:p>
        </w:tc>
        <w:tc>
          <w:tcPr>
            <w:tcW w:w="1274" w:type="dxa"/>
            <w:tcBorders>
              <w:top w:val="single" w:sz="8" w:space="0" w:color="FFFFFF" w:themeColor="background1"/>
              <w:bottom w:val="single" w:sz="6" w:space="0" w:color="6F6652"/>
            </w:tcBorders>
            <w:shd w:val="clear" w:color="auto" w:fill="E9E8E5" w:themeFill="background2"/>
            <w:tcMar>
              <w:left w:w="57" w:type="dxa"/>
              <w:right w:w="57" w:type="dxa"/>
            </w:tcMar>
          </w:tcPr>
          <w:p w:rsidR="00242C46" w:rsidRDefault="00242C46" w:rsidP="00242C46">
            <w:pPr>
              <w:pStyle w:val="TableTextEntries"/>
            </w:pPr>
          </w:p>
        </w:tc>
      </w:tr>
    </w:tbl>
    <w:p w:rsidR="00242C46" w:rsidRDefault="00242C46" w:rsidP="00242C46">
      <w:pPr>
        <w:pStyle w:val="Source"/>
      </w:pPr>
      <w:r>
        <w:rPr>
          <w:i/>
        </w:rPr>
        <w:t>Source</w:t>
      </w:r>
      <w:r w:rsidRPr="00E4232C">
        <w:rPr>
          <w:i/>
        </w:rPr>
        <w:t>:</w:t>
      </w:r>
      <w:r>
        <w:t xml:space="preserve"> Consultation RIS submissions as noted in the table</w:t>
      </w:r>
    </w:p>
    <w:p w:rsidR="00242C46" w:rsidRDefault="00242C46" w:rsidP="00242C46">
      <w:pPr>
        <w:pStyle w:val="BodyText"/>
      </w:pPr>
      <w:r w:rsidRPr="003E7824">
        <w:t xml:space="preserve">City of Parramatta </w:t>
      </w:r>
      <w:r>
        <w:t xml:space="preserve">Council </w:t>
      </w:r>
      <w:r w:rsidRPr="003E7824">
        <w:t>suggest</w:t>
      </w:r>
      <w:r>
        <w:t>s</w:t>
      </w:r>
      <w:r w:rsidRPr="003E7824">
        <w:t xml:space="preserve"> the Green</w:t>
      </w:r>
      <w:r>
        <w:t xml:space="preserve"> S</w:t>
      </w:r>
      <w:r w:rsidRPr="003E7824">
        <w:t>tar analysis is flawed</w:t>
      </w:r>
      <w:r>
        <w:t xml:space="preserve"> because predicted ‘normalised’ </w:t>
      </w:r>
      <w:r w:rsidRPr="003E7824">
        <w:t xml:space="preserve">greenhouse gas emissions in design </w:t>
      </w:r>
      <w:r>
        <w:t xml:space="preserve">(or at the as-built stage) </w:t>
      </w:r>
      <w:r w:rsidRPr="003E7824">
        <w:t>a</w:t>
      </w:r>
      <w:r>
        <w:t>nd</w:t>
      </w:r>
      <w:r w:rsidRPr="003E7824">
        <w:t xml:space="preserve"> the </w:t>
      </w:r>
      <w:r>
        <w:t>NABERS B</w:t>
      </w:r>
      <w:r w:rsidRPr="003E7824">
        <w:t xml:space="preserve">enchmarking </w:t>
      </w:r>
      <w:r>
        <w:t>F</w:t>
      </w:r>
      <w:r w:rsidRPr="003E7824">
        <w:t xml:space="preserve">actor </w:t>
      </w:r>
      <w:r>
        <w:t>in operation are not comparable. The normalisation process and difference in input parameters such as area and hour of operation all affect the comparability.</w:t>
      </w:r>
    </w:p>
    <w:p w:rsidR="00242C46" w:rsidRDefault="00242C46" w:rsidP="00242C46">
      <w:pPr>
        <w:pStyle w:val="Heading8"/>
        <w:numPr>
          <w:ilvl w:val="7"/>
          <w:numId w:val="5"/>
        </w:numPr>
      </w:pPr>
      <w:r>
        <w:t>Factors affecting the outcome</w:t>
      </w:r>
    </w:p>
    <w:p w:rsidR="00242C46" w:rsidRDefault="00242C46" w:rsidP="00242C46">
      <w:pPr>
        <w:pStyle w:val="BodyText"/>
      </w:pPr>
      <w:r>
        <w:t>Most submissions acknowledge</w:t>
      </w:r>
      <w:r w:rsidRPr="003E7824">
        <w:t xml:space="preserve"> that outcomes are highly reliant on the modelled inputs</w:t>
      </w:r>
      <w:r>
        <w:t xml:space="preserve"> and other factors</w:t>
      </w:r>
      <w:r w:rsidRPr="003E7824">
        <w:t xml:space="preserve">. </w:t>
      </w:r>
      <w:r>
        <w:t>For example, PCA reckons the realisation of modelled outcomes is highly dependent not only on the professionalism of modelling, but also on the correct implementation of control strategies to reflect the modelling, the commissioning, and ongoing tuning and improvement of the building systems.</w:t>
      </w:r>
    </w:p>
    <w:p w:rsidR="00242C46" w:rsidRDefault="00242C46" w:rsidP="00242C46">
      <w:pPr>
        <w:pStyle w:val="BodyText"/>
      </w:pPr>
      <w:r>
        <w:t>Other stakeholders have made various plausible suggestions as to why the relationship implied by these results may not be representative of the commercial building sector more broadly, including the following:</w:t>
      </w:r>
    </w:p>
    <w:p w:rsidR="00242C46" w:rsidRDefault="00242C46" w:rsidP="00242C46">
      <w:pPr>
        <w:pStyle w:val="ListBullet"/>
      </w:pPr>
      <w:r>
        <w:t>the sample includes only office buildings which may not be representative of other types of commercial buildings;</w:t>
      </w:r>
    </w:p>
    <w:p w:rsidR="00242C46" w:rsidRDefault="00242C46" w:rsidP="00242C46">
      <w:pPr>
        <w:pStyle w:val="ListBullet"/>
      </w:pPr>
      <w:r>
        <w:t>the actual performance was measured only two years after construction and it may take several years to achieve optimal performance; and</w:t>
      </w:r>
    </w:p>
    <w:p w:rsidR="00242C46" w:rsidRDefault="00242C46" w:rsidP="00242C46">
      <w:pPr>
        <w:pStyle w:val="ListBullet"/>
      </w:pPr>
      <w:r>
        <w:t>actual performance in any given year can be affected by factors such as weather conditions and may not be representative of average performance over time.</w:t>
      </w:r>
    </w:p>
    <w:p w:rsidR="00242C46" w:rsidRDefault="00242C46" w:rsidP="00242C46">
      <w:pPr>
        <w:pStyle w:val="Heading7"/>
        <w:numPr>
          <w:ilvl w:val="6"/>
          <w:numId w:val="5"/>
        </w:numPr>
      </w:pPr>
      <w:bookmarkStart w:id="5071" w:name="_Toc525715647"/>
      <w:r>
        <w:t>Role of SHGCxWWR and U-Value</w:t>
      </w:r>
      <w:bookmarkEnd w:id="5071"/>
    </w:p>
    <w:p w:rsidR="00242C46" w:rsidRDefault="00242C46" w:rsidP="00242C46">
      <w:pPr>
        <w:pStyle w:val="BodyText"/>
      </w:pPr>
      <w:r>
        <w:t xml:space="preserve">Energy modelling conducted by </w:t>
      </w:r>
      <w:r w:rsidR="003F28DD">
        <w:t>EA</w:t>
      </w:r>
      <w:r>
        <w:t xml:space="preserve"> found that SHGCxWWR is a dominant factor over U-Value in determining final energy consumption and construction costs. Stakeholders were asked if it is a new finding, and if they are aware of any overseas examples recognising the importance of SHGCxWWR.</w:t>
      </w:r>
    </w:p>
    <w:p w:rsidR="00242C46" w:rsidRDefault="00242C46" w:rsidP="00242C46">
      <w:pPr>
        <w:pStyle w:val="BodyText"/>
      </w:pPr>
      <w:r w:rsidRPr="003E7824">
        <w:t xml:space="preserve">Most respondents </w:t>
      </w:r>
      <w:r>
        <w:t xml:space="preserve">including Benmax, G. James, Sustainability House, PCA, Think Brick and NSW Building Administration, </w:t>
      </w:r>
      <w:r w:rsidRPr="003E7824">
        <w:t>agree with the proposition for daytime operating buildings</w:t>
      </w:r>
      <w:r>
        <w:t xml:space="preserve"> and</w:t>
      </w:r>
      <w:r w:rsidRPr="003E7824">
        <w:t xml:space="preserve"> den</w:t>
      </w:r>
      <w:r>
        <w:t>y</w:t>
      </w:r>
      <w:r w:rsidRPr="003E7824">
        <w:t xml:space="preserve"> it </w:t>
      </w:r>
      <w:r>
        <w:t>i</w:t>
      </w:r>
      <w:r w:rsidRPr="003E7824">
        <w:t xml:space="preserve">s a new finding. </w:t>
      </w:r>
    </w:p>
    <w:p w:rsidR="00242C46" w:rsidRPr="00A62C2A" w:rsidRDefault="00242C46" w:rsidP="00242C46">
      <w:pPr>
        <w:pStyle w:val="BodyText"/>
      </w:pPr>
      <w:r>
        <w:t>An exception is JMG who suggests it is a new finding, and Australian industry has not adopted the approach because there are costs involved.</w:t>
      </w:r>
    </w:p>
    <w:p w:rsidR="00242C46" w:rsidRDefault="00242C46" w:rsidP="00242C46">
      <w:pPr>
        <w:pStyle w:val="BodyText"/>
      </w:pPr>
      <w:r w:rsidRPr="003E7824">
        <w:t>G.</w:t>
      </w:r>
      <w:r>
        <w:t xml:space="preserve"> </w:t>
      </w:r>
      <w:r w:rsidRPr="003E7824">
        <w:t xml:space="preserve">James suggest that there </w:t>
      </w:r>
      <w:r>
        <w:t>i</w:t>
      </w:r>
      <w:r w:rsidRPr="003E7824">
        <w:t>s no evidence that a win</w:t>
      </w:r>
      <w:r>
        <w:t>dow with higher WWR i</w:t>
      </w:r>
      <w:r w:rsidRPr="003E7824">
        <w:t>s more expensive. Sustainability House suggest</w:t>
      </w:r>
      <w:r>
        <w:t>s</w:t>
      </w:r>
      <w:r w:rsidRPr="003E7824">
        <w:t xml:space="preserve"> that there </w:t>
      </w:r>
      <w:r>
        <w:t>i</w:t>
      </w:r>
      <w:r w:rsidRPr="003E7824">
        <w:t>s no evidence a window with a higher U-Value can reduce heating a</w:t>
      </w:r>
      <w:r>
        <w:t>nd</w:t>
      </w:r>
      <w:r w:rsidRPr="003E7824">
        <w:t xml:space="preserve"> cooling loads.</w:t>
      </w:r>
    </w:p>
    <w:p w:rsidR="00242C46" w:rsidRDefault="00242C46" w:rsidP="00242C46">
      <w:pPr>
        <w:pStyle w:val="BodyText"/>
      </w:pPr>
      <w:r>
        <w:t>PCA argues that t</w:t>
      </w:r>
      <w:r w:rsidRPr="00083FE9">
        <w:t>he proposed U-Val</w:t>
      </w:r>
      <w:r>
        <w:t>u</w:t>
      </w:r>
      <w:r w:rsidRPr="00083FE9">
        <w:t>e for overnight operating buildings present</w:t>
      </w:r>
      <w:r>
        <w:t>s</w:t>
      </w:r>
      <w:r w:rsidRPr="00083FE9">
        <w:t xml:space="preserve"> a very significant challenge</w:t>
      </w:r>
      <w:r>
        <w:t xml:space="preserve"> and feels a need for more clear</w:t>
      </w:r>
      <w:r w:rsidRPr="00083FE9">
        <w:t xml:space="preserve"> </w:t>
      </w:r>
      <w:r>
        <w:t>d</w:t>
      </w:r>
      <w:r w:rsidRPr="00083FE9">
        <w:t>efinition of overnight operating building</w:t>
      </w:r>
      <w:r>
        <w:t>s.</w:t>
      </w:r>
    </w:p>
    <w:p w:rsidR="00242C46" w:rsidRDefault="00242C46" w:rsidP="00242C46">
      <w:pPr>
        <w:pStyle w:val="BodyText"/>
      </w:pPr>
      <w:r>
        <w:t>Most respondents do not answer the question about overseas examples. Those answering the question are not aware of any such examples.</w:t>
      </w:r>
    </w:p>
    <w:p w:rsidR="00242C46" w:rsidRDefault="00242C46" w:rsidP="00242C46">
      <w:pPr>
        <w:pStyle w:val="Heading7"/>
        <w:numPr>
          <w:ilvl w:val="6"/>
          <w:numId w:val="5"/>
        </w:numPr>
      </w:pPr>
      <w:bookmarkStart w:id="5072" w:name="_Toc525715648"/>
      <w:r>
        <w:t>Awareness of the importance of SHGCxWWR by the Australian industry</w:t>
      </w:r>
      <w:bookmarkEnd w:id="5072"/>
    </w:p>
    <w:p w:rsidR="00242C46" w:rsidRDefault="00242C46" w:rsidP="00242C46">
      <w:pPr>
        <w:pStyle w:val="BodyText"/>
      </w:pPr>
      <w:r>
        <w:t xml:space="preserve">Most submissions including </w:t>
      </w:r>
      <w:r w:rsidRPr="003E7824">
        <w:t xml:space="preserve">PCA, NSW </w:t>
      </w:r>
      <w:r>
        <w:t xml:space="preserve">Building </w:t>
      </w:r>
      <w:r w:rsidRPr="003E7824">
        <w:t>Administration</w:t>
      </w:r>
      <w:r>
        <w:t>, Think Brick</w:t>
      </w:r>
      <w:r w:rsidRPr="003E7824">
        <w:t xml:space="preserve"> and Benmax </w:t>
      </w:r>
      <w:r>
        <w:t>G</w:t>
      </w:r>
      <w:r w:rsidRPr="003E7824">
        <w:t>roup agree that the industry ha</w:t>
      </w:r>
      <w:r>
        <w:t>s</w:t>
      </w:r>
      <w:r w:rsidRPr="003E7824">
        <w:t xml:space="preserve"> recognised the importance of SHGCxWWR as an approach.</w:t>
      </w:r>
    </w:p>
    <w:p w:rsidR="00242C46" w:rsidRPr="003E7824" w:rsidRDefault="00242C46" w:rsidP="00242C46">
      <w:pPr>
        <w:pStyle w:val="BodyText"/>
      </w:pPr>
      <w:r>
        <w:t>G. James does not agree with the view that SHGCxWWR is the overriding factor for achieving reduced energy consumption in the Australian market. SHGC is virtually irrespective of WWR. ‘It is relatively easy with the combination of appropriate shading to specify a glazing system with little thermal moderation and still generate human comfort without resorting to over specification of artificial lighting and HVAC systems’.</w:t>
      </w:r>
    </w:p>
    <w:p w:rsidR="00242C46" w:rsidRDefault="00242C46" w:rsidP="00242C46">
      <w:pPr>
        <w:pStyle w:val="BodyText"/>
      </w:pPr>
      <w:r>
        <w:t>Stakeholders suggest reasons that prevent the findings from being adopted including:</w:t>
      </w:r>
    </w:p>
    <w:p w:rsidR="00242C46" w:rsidRDefault="00242C46" w:rsidP="00242C46">
      <w:pPr>
        <w:pStyle w:val="ListBullet"/>
      </w:pPr>
      <w:r>
        <w:t>there are costs involved (JMG, Real Project Solutions);</w:t>
      </w:r>
    </w:p>
    <w:p w:rsidR="00242C46" w:rsidRDefault="00242C46" w:rsidP="00242C46">
      <w:pPr>
        <w:pStyle w:val="ListBullet"/>
      </w:pPr>
      <w:r>
        <w:t>impediments from end users who want more natural light and views (Benmax);</w:t>
      </w:r>
    </w:p>
    <w:p w:rsidR="00242C46" w:rsidRDefault="00242C46" w:rsidP="00242C46">
      <w:pPr>
        <w:pStyle w:val="ListBullet"/>
      </w:pPr>
      <w:r>
        <w:t>the commercial building industry seeks low cost, as clear as possible glazing as the ideal glazing in Australia (Sustainability House). The proposed requirement for glazing with SHGC 0.6 is too strict, especially for aged care facilities.</w:t>
      </w:r>
    </w:p>
    <w:p w:rsidR="00242C46" w:rsidRDefault="00242C46" w:rsidP="00242C46">
      <w:pPr>
        <w:pStyle w:val="ListBullet"/>
      </w:pPr>
      <w:r>
        <w:t>a lack of availability and choice of high performance façade elements (thermally broken window systems, argon-filled glass) as the demand in Australian has been restricted to leading projects, and thus having costs associated with it (PCA);</w:t>
      </w:r>
    </w:p>
    <w:p w:rsidR="00242C46" w:rsidRDefault="00242C46" w:rsidP="00242C46">
      <w:pPr>
        <w:pStyle w:val="ListBullet"/>
      </w:pPr>
      <w:r>
        <w:t xml:space="preserve">an international and domestic trend that the tenant leasing market moves towards higher floor to ceiling zones </w:t>
      </w:r>
      <w:r w:rsidRPr="0096511A">
        <w:t>to improve penetration of natural light, clearer glass, and unencumbered views without external shading</w:t>
      </w:r>
      <w:r>
        <w:t xml:space="preserve"> (PCA);</w:t>
      </w:r>
    </w:p>
    <w:p w:rsidR="00242C46" w:rsidRPr="00A62C2A" w:rsidRDefault="00242C46" w:rsidP="00242C46">
      <w:pPr>
        <w:pStyle w:val="ListBullet"/>
      </w:pPr>
      <w:r>
        <w:t>glazing is a valued building feature and thus it is very unlikely that industry will reduce window areas in buildings (NSW Building Administration).</w:t>
      </w:r>
    </w:p>
    <w:p w:rsidR="00242C46" w:rsidRDefault="00242C46" w:rsidP="00242C46">
      <w:pPr>
        <w:pStyle w:val="Heading7"/>
        <w:numPr>
          <w:ilvl w:val="6"/>
          <w:numId w:val="5"/>
        </w:numPr>
      </w:pPr>
      <w:bookmarkStart w:id="5073" w:name="_Toc525715649"/>
      <w:r>
        <w:t>Factors leading to lower energy consumption and lower construction cost</w:t>
      </w:r>
      <w:bookmarkEnd w:id="5073"/>
    </w:p>
    <w:p w:rsidR="00242C46" w:rsidRDefault="00242C46" w:rsidP="00242C46">
      <w:pPr>
        <w:pStyle w:val="BodyText"/>
      </w:pPr>
      <w:r>
        <w:t>Energy modelling has shown win-win results – lower energy consumption with lower construction costs. Further analysis suggests that the win-win result could be affected by the underlying cost relationship. To better inform the cost benefit analysis, the following specific questions were asked:</w:t>
      </w:r>
    </w:p>
    <w:p w:rsidR="00242C46" w:rsidRDefault="00242C46" w:rsidP="00242C46">
      <w:pPr>
        <w:pStyle w:val="ListBullet"/>
      </w:pPr>
      <w:r>
        <w:t>To what degree will the assumed window and insulation pricing affect the win-win results?</w:t>
      </w:r>
    </w:p>
    <w:p w:rsidR="00242C46" w:rsidRDefault="00242C46" w:rsidP="00242C46">
      <w:pPr>
        <w:pStyle w:val="ListBullet"/>
      </w:pPr>
      <w:r>
        <w:t>The EA window database suggests the market does not place a high value on the more important performance measure (SHGC) of a window.</w:t>
      </w:r>
    </w:p>
    <w:p w:rsidR="00242C46" w:rsidRDefault="00242C46" w:rsidP="00242C46">
      <w:pPr>
        <w:pStyle w:val="ListBullet2"/>
      </w:pPr>
      <w:r>
        <w:t>What is the reason for this?</w:t>
      </w:r>
    </w:p>
    <w:p w:rsidR="00242C46" w:rsidRDefault="00242C46" w:rsidP="00242C46">
      <w:pPr>
        <w:pStyle w:val="ListBullet2"/>
      </w:pPr>
      <w:r>
        <w:t>Is this consistent with your experience?</w:t>
      </w:r>
    </w:p>
    <w:p w:rsidR="00242C46" w:rsidRDefault="00242C46" w:rsidP="00242C46">
      <w:pPr>
        <w:pStyle w:val="ListBullet"/>
      </w:pPr>
      <w:r>
        <w:t>Are there any other factors that could change the win-win results?</w:t>
      </w:r>
    </w:p>
    <w:p w:rsidR="00242C46" w:rsidRDefault="00242C46" w:rsidP="00242C46">
      <w:pPr>
        <w:pStyle w:val="Heading8"/>
        <w:numPr>
          <w:ilvl w:val="7"/>
          <w:numId w:val="5"/>
        </w:numPr>
      </w:pPr>
      <w:r>
        <w:t>Window and insulation pricing</w:t>
      </w:r>
    </w:p>
    <w:p w:rsidR="00242C46" w:rsidRDefault="00242C46" w:rsidP="00242C46">
      <w:pPr>
        <w:pStyle w:val="BodyText"/>
      </w:pPr>
      <w:r>
        <w:t xml:space="preserve">It seems this question was not well understood and answered directly in most cases. </w:t>
      </w:r>
    </w:p>
    <w:p w:rsidR="00242C46" w:rsidRDefault="00242C46" w:rsidP="00242C46">
      <w:pPr>
        <w:pStyle w:val="BodyText"/>
      </w:pPr>
      <w:r>
        <w:t>NSW Building Administration agrees window pricing has a significant impact on results.</w:t>
      </w:r>
    </w:p>
    <w:p w:rsidR="00242C46" w:rsidRDefault="00242C46" w:rsidP="00242C46">
      <w:pPr>
        <w:pStyle w:val="BodyText"/>
      </w:pPr>
      <w:r w:rsidRPr="003E7824">
        <w:t>BlueScope and G.</w:t>
      </w:r>
      <w:r>
        <w:t> </w:t>
      </w:r>
      <w:r w:rsidRPr="003E7824">
        <w:t>James offer alternative views on this point of WWR driving cost relationship</w:t>
      </w:r>
      <w:r>
        <w:t>. BlueScope</w:t>
      </w:r>
      <w:r w:rsidRPr="003E7824">
        <w:t xml:space="preserve"> </w:t>
      </w:r>
      <w:r>
        <w:t>notes</w:t>
      </w:r>
      <w:r w:rsidRPr="003E7824">
        <w:t xml:space="preserve"> that smaller windows may not necessarily be </w:t>
      </w:r>
      <w:r>
        <w:t>cheaper</w:t>
      </w:r>
      <w:r w:rsidRPr="003E7824">
        <w:t xml:space="preserve"> tha</w:t>
      </w:r>
      <w:r>
        <w:t>n</w:t>
      </w:r>
      <w:r w:rsidRPr="003E7824">
        <w:t xml:space="preserve"> larger windows </w:t>
      </w:r>
      <w:r>
        <w:t>in $/m</w:t>
      </w:r>
      <w:r w:rsidRPr="00582E61">
        <w:rPr>
          <w:vertAlign w:val="superscript"/>
        </w:rPr>
        <w:t>2</w:t>
      </w:r>
      <w:r>
        <w:t xml:space="preserve"> terms </w:t>
      </w:r>
      <w:r w:rsidRPr="003E7824">
        <w:t>due to the relatively higher proportion of frame and the need for thermal breaks. G.</w:t>
      </w:r>
      <w:r>
        <w:t> </w:t>
      </w:r>
      <w:r w:rsidRPr="003E7824">
        <w:t>James on the other hand fe</w:t>
      </w:r>
      <w:r>
        <w:t>e</w:t>
      </w:r>
      <w:r w:rsidRPr="003E7824">
        <w:t>l</w:t>
      </w:r>
      <w:r>
        <w:t>s</w:t>
      </w:r>
      <w:r w:rsidRPr="003E7824">
        <w:t xml:space="preserve"> that windows have a relatively small impact on cost relationship and in doing so seems to confirm the DTS overstate</w:t>
      </w:r>
      <w:r>
        <w:t>s</w:t>
      </w:r>
      <w:r w:rsidRPr="003E7824">
        <w:t xml:space="preserve"> the importance of U-Value at the expense of SHGC.</w:t>
      </w:r>
      <w:r>
        <w:t xml:space="preserve"> It also notes that construction cost is dictated by the specifics of the building design and is relatively insensitive to window selections.</w:t>
      </w:r>
    </w:p>
    <w:p w:rsidR="00242C46" w:rsidRDefault="00242C46" w:rsidP="00242C46">
      <w:pPr>
        <w:pStyle w:val="BodyText"/>
      </w:pPr>
      <w:r>
        <w:t xml:space="preserve">Similarly NASH suggests that wall construction cost to achieve a particular R-Value is not a linear function, especially when thermal bridging is taken into account. </w:t>
      </w:r>
      <w:r w:rsidRPr="003E7824">
        <w:t xml:space="preserve">Similar comments </w:t>
      </w:r>
      <w:r>
        <w:t>are</w:t>
      </w:r>
      <w:r w:rsidRPr="003E7824">
        <w:t xml:space="preserve"> made by BlueScope under Question 4.</w:t>
      </w:r>
    </w:p>
    <w:p w:rsidR="00242C46" w:rsidRDefault="00242C46" w:rsidP="00242C46">
      <w:pPr>
        <w:pStyle w:val="Heading8"/>
        <w:numPr>
          <w:ilvl w:val="7"/>
          <w:numId w:val="5"/>
        </w:numPr>
      </w:pPr>
      <w:r>
        <w:t>Market does not place a high value on SHGC in window pricing?</w:t>
      </w:r>
    </w:p>
    <w:p w:rsidR="00242C46" w:rsidRPr="00A72701" w:rsidRDefault="00242C46" w:rsidP="00242C46">
      <w:pPr>
        <w:pStyle w:val="BodyText"/>
      </w:pPr>
      <w:r>
        <w:t>Again this question seems not be well understood. It is often that the submissions do not interpret ‘value’ as monetary value in price and/or cost, rather as technical value, that is importance in energy performance.</w:t>
      </w:r>
    </w:p>
    <w:p w:rsidR="00242C46" w:rsidRDefault="00242C46" w:rsidP="00242C46">
      <w:pPr>
        <w:pStyle w:val="BodyText"/>
      </w:pPr>
      <w:r w:rsidRPr="00451418">
        <w:t>B</w:t>
      </w:r>
      <w:r>
        <w:t>enmax Group</w:t>
      </w:r>
      <w:r w:rsidRPr="00451418">
        <w:t xml:space="preserve"> do</w:t>
      </w:r>
      <w:r>
        <w:t xml:space="preserve">es </w:t>
      </w:r>
      <w:r w:rsidRPr="00451418">
        <w:t>n</w:t>
      </w:r>
      <w:r>
        <w:t>o</w:t>
      </w:r>
      <w:r w:rsidRPr="00451418">
        <w:t>t agree</w:t>
      </w:r>
      <w:r>
        <w:t xml:space="preserve"> with the statement and argues that SHGC is already factored into the Section J calculator and is identified by glazing manufacturers in their technical data. </w:t>
      </w:r>
    </w:p>
    <w:p w:rsidR="00242C46" w:rsidRDefault="00242C46" w:rsidP="00242C46">
      <w:pPr>
        <w:pStyle w:val="BodyText"/>
      </w:pPr>
      <w:r>
        <w:t>G. James feels the statement seems ‘farfetched’ and suggests the information may not be correct – ‘it is</w:t>
      </w:r>
      <w:r w:rsidRPr="00E65A70">
        <w:t xml:space="preserve"> </w:t>
      </w:r>
      <w:r>
        <w:t>d</w:t>
      </w:r>
      <w:r w:rsidRPr="00E65A70">
        <w:t>ifficult to know where th</w:t>
      </w:r>
      <w:r>
        <w:t>is</w:t>
      </w:r>
      <w:r w:rsidRPr="00E65A70">
        <w:t xml:space="preserve"> information could have been obtained</w:t>
      </w:r>
      <w:r>
        <w:t xml:space="preserve"> regarding commercial construction’</w:t>
      </w:r>
      <w:r w:rsidRPr="00E65A70">
        <w:t xml:space="preserve">. </w:t>
      </w:r>
      <w:r>
        <w:t xml:space="preserve">It also notes that </w:t>
      </w:r>
      <w:r w:rsidRPr="00E65A70">
        <w:t>the draft provisions regarding DTS U-</w:t>
      </w:r>
      <w:r>
        <w:t>V</w:t>
      </w:r>
      <w:r w:rsidRPr="00E65A70">
        <w:t>alue compliance overstate</w:t>
      </w:r>
      <w:r>
        <w:t>s</w:t>
      </w:r>
      <w:r w:rsidRPr="00E65A70">
        <w:t xml:space="preserve"> the importance of U-</w:t>
      </w:r>
      <w:r>
        <w:t>V</w:t>
      </w:r>
      <w:r w:rsidRPr="00E65A70">
        <w:t xml:space="preserve">alue at the </w:t>
      </w:r>
      <w:r>
        <w:t>e</w:t>
      </w:r>
      <w:r w:rsidRPr="00E65A70">
        <w:t xml:space="preserve">xpense of SHGC in </w:t>
      </w:r>
      <w:r>
        <w:t>its market, which is reinforced by the</w:t>
      </w:r>
      <w:r w:rsidRPr="00E65A70">
        <w:t xml:space="preserve"> orientation unspecific </w:t>
      </w:r>
      <w:r w:rsidR="006F1C6A">
        <w:t>U-Value</w:t>
      </w:r>
      <w:r w:rsidRPr="00E65A70">
        <w:t xml:space="preserve"> and SHGC</w:t>
      </w:r>
      <w:r>
        <w:t xml:space="preserve"> provisions.</w:t>
      </w:r>
    </w:p>
    <w:p w:rsidR="00242C46" w:rsidRDefault="00242C46" w:rsidP="00242C46">
      <w:pPr>
        <w:pStyle w:val="BodyText"/>
      </w:pPr>
      <w:r>
        <w:t>Sustainability House agrees SHGC is a more important performance measure, citing more cost effective to go with clear as a reason. It is also consistent with its experience as ‘client would rather apply tint or reduce SHGC to achieve compliance than improve U value performance of glazing’.</w:t>
      </w:r>
    </w:p>
    <w:p w:rsidR="00242C46" w:rsidRPr="00A62C2A" w:rsidRDefault="00242C46" w:rsidP="00242C46">
      <w:pPr>
        <w:pStyle w:val="BodyText"/>
      </w:pPr>
      <w:r w:rsidRPr="003E7824">
        <w:t>PCA, while supportive of the cost</w:t>
      </w:r>
      <w:r>
        <w:t>ing</w:t>
      </w:r>
      <w:r w:rsidRPr="003E7824">
        <w:t>s (if these have been provided by industry), suggest</w:t>
      </w:r>
      <w:r>
        <w:t>s</w:t>
      </w:r>
      <w:r w:rsidRPr="003E7824">
        <w:t xml:space="preserve"> design solutions necessary to achieve compliance (particularly in the case studies) mean reduced WWR, reduced VLT and shading are at odds with tenant demands. </w:t>
      </w:r>
      <w:r>
        <w:t>It a</w:t>
      </w:r>
      <w:r w:rsidRPr="003E7824">
        <w:t>lso notes the change will likely add 0-8</w:t>
      </w:r>
      <w:r>
        <w:t xml:space="preserve"> per cent</w:t>
      </w:r>
      <w:r w:rsidRPr="003E7824">
        <w:t xml:space="preserve"> to facade design costs for some building types.</w:t>
      </w:r>
    </w:p>
    <w:p w:rsidR="00242C46" w:rsidRDefault="00242C46" w:rsidP="00242C46">
      <w:pPr>
        <w:pStyle w:val="BodyText"/>
      </w:pPr>
      <w:r>
        <w:t xml:space="preserve">Think Brick argues that </w:t>
      </w:r>
      <w:r w:rsidRPr="00A72701">
        <w:t>the energy provision in solar heat gain is not properly recognised to correctly value the performance measure</w:t>
      </w:r>
      <w:r>
        <w:t>.</w:t>
      </w:r>
    </w:p>
    <w:p w:rsidR="00242C46" w:rsidRDefault="00242C46" w:rsidP="00242C46">
      <w:pPr>
        <w:pStyle w:val="BodyText"/>
      </w:pPr>
      <w:r>
        <w:t xml:space="preserve">NSW Building Administration reckons that </w:t>
      </w:r>
      <w:r w:rsidRPr="00A72701">
        <w:t>the market does use SHGC as a value to meet minimum requirements</w:t>
      </w:r>
      <w:r>
        <w:t>. Again this seems refer to technical value rather than market or monetary value.</w:t>
      </w:r>
    </w:p>
    <w:p w:rsidR="00242C46" w:rsidRPr="00A62C2A" w:rsidRDefault="00242C46" w:rsidP="00242C46">
      <w:pPr>
        <w:pStyle w:val="Heading8"/>
        <w:numPr>
          <w:ilvl w:val="7"/>
          <w:numId w:val="5"/>
        </w:numPr>
      </w:pPr>
      <w:r>
        <w:t>Other factors</w:t>
      </w:r>
    </w:p>
    <w:p w:rsidR="00242C46" w:rsidRDefault="00242C46" w:rsidP="00242C46">
      <w:pPr>
        <w:pStyle w:val="BodyText"/>
      </w:pPr>
      <w:r>
        <w:t>Benmax Group suggests the results could be affected by factors such as</w:t>
      </w:r>
      <w:r w:rsidRPr="00451418">
        <w:t xml:space="preserve"> limited availability of triple glazed, vacuum sealed units in Australia, knowledge and cost of installing them</w:t>
      </w:r>
      <w:r>
        <w:t>,</w:t>
      </w:r>
      <w:r w:rsidRPr="00451418">
        <w:t xml:space="preserve"> </w:t>
      </w:r>
      <w:r>
        <w:t xml:space="preserve">and </w:t>
      </w:r>
      <w:r w:rsidRPr="00451418">
        <w:t>matching mechanical systems to the WWR</w:t>
      </w:r>
      <w:r>
        <w:t>.</w:t>
      </w:r>
    </w:p>
    <w:p w:rsidR="00242C46" w:rsidRDefault="00242C46" w:rsidP="00242C46">
      <w:pPr>
        <w:pStyle w:val="BodyText"/>
      </w:pPr>
      <w:r w:rsidRPr="003E7824">
        <w:t xml:space="preserve">It is suggested by </w:t>
      </w:r>
      <w:r>
        <w:t>G. Ja</w:t>
      </w:r>
      <w:r w:rsidRPr="003E7824">
        <w:t xml:space="preserve">mes that thermal bridging requirements would provide the single largest lift in fabric performance. On this point NASH suggests that the cost of increasing R-Value </w:t>
      </w:r>
      <w:r>
        <w:t>i</w:t>
      </w:r>
      <w:r w:rsidRPr="003E7824">
        <w:t xml:space="preserve">s not linear as suggested by the analysis when thermal bridging is taken into account. Similar comments </w:t>
      </w:r>
      <w:r>
        <w:t>are</w:t>
      </w:r>
      <w:r w:rsidRPr="003E7824">
        <w:t xml:space="preserve"> made by BlueScope under Question 4.</w:t>
      </w:r>
    </w:p>
    <w:p w:rsidR="00242C46" w:rsidRDefault="00242C46" w:rsidP="00242C46">
      <w:pPr>
        <w:pStyle w:val="BodyText"/>
      </w:pPr>
      <w:r>
        <w:t>In addition to</w:t>
      </w:r>
      <w:r w:rsidRPr="00A72701">
        <w:t xml:space="preserve"> SHGCxWWR, </w:t>
      </w:r>
      <w:r>
        <w:t xml:space="preserve">Think Brick argues that </w:t>
      </w:r>
      <w:r w:rsidRPr="00A72701">
        <w:t>the provision in thermal mass has not bee</w:t>
      </w:r>
      <w:r>
        <w:t>n</w:t>
      </w:r>
      <w:r w:rsidRPr="00A72701">
        <w:t xml:space="preserve"> adequately recognised.</w:t>
      </w:r>
    </w:p>
    <w:p w:rsidR="00242C46" w:rsidRDefault="00242C46" w:rsidP="00242C46">
      <w:pPr>
        <w:pStyle w:val="BodyText"/>
      </w:pPr>
      <w:r>
        <w:t>NSW Building Administration suggests some other factors such as c</w:t>
      </w:r>
      <w:r w:rsidRPr="00A72701">
        <w:t xml:space="preserve">onstant WWR to be modelled; the impact on lighting energy consumption for spaces close to windows if dimming is used and when SHGCxWWR is reduced; </w:t>
      </w:r>
      <w:r>
        <w:t>and comparison of</w:t>
      </w:r>
      <w:r w:rsidRPr="00A72701">
        <w:t xml:space="preserve"> the thermal performance of the building shell</w:t>
      </w:r>
      <w:r>
        <w:t>.</w:t>
      </w:r>
    </w:p>
    <w:p w:rsidR="00242C46" w:rsidRDefault="00242C46" w:rsidP="00242C46">
      <w:pPr>
        <w:pStyle w:val="Heading7"/>
        <w:numPr>
          <w:ilvl w:val="6"/>
          <w:numId w:val="5"/>
        </w:numPr>
      </w:pPr>
      <w:bookmarkStart w:id="5074" w:name="_Toc525715650"/>
      <w:r>
        <w:t>Other unintended impacts of increasing the stringency</w:t>
      </w:r>
      <w:bookmarkEnd w:id="5074"/>
    </w:p>
    <w:p w:rsidR="00242C46" w:rsidRDefault="00242C46" w:rsidP="00242C46">
      <w:pPr>
        <w:pStyle w:val="BodyText"/>
      </w:pPr>
      <w:r>
        <w:t xml:space="preserve">Stakeholders were asked to comment on the impacts of increasing the stringency of the energy efficiency requirements on the NCC’s other goals on </w:t>
      </w:r>
    </w:p>
    <w:p w:rsidR="00242C46" w:rsidRDefault="00242C46" w:rsidP="00242C46">
      <w:pPr>
        <w:pStyle w:val="ListBullet"/>
      </w:pPr>
      <w:r>
        <w:t>safety (including safety from fire) and health;</w:t>
      </w:r>
    </w:p>
    <w:p w:rsidR="00242C46" w:rsidRDefault="00242C46" w:rsidP="00242C46">
      <w:pPr>
        <w:pStyle w:val="ListBullet"/>
      </w:pPr>
      <w:r>
        <w:t>amenity; and</w:t>
      </w:r>
    </w:p>
    <w:p w:rsidR="00242C46" w:rsidRDefault="00242C46" w:rsidP="00242C46">
      <w:pPr>
        <w:pStyle w:val="ListBullet"/>
      </w:pPr>
      <w:r>
        <w:t>accessibility.</w:t>
      </w:r>
    </w:p>
    <w:p w:rsidR="00242C46" w:rsidRDefault="00242C46" w:rsidP="00242C46">
      <w:pPr>
        <w:pStyle w:val="BodyText"/>
      </w:pPr>
      <w:r>
        <w:t xml:space="preserve">The responses are summarised in chart </w:t>
      </w:r>
      <w:r w:rsidR="001451C0">
        <w:rPr>
          <w:noProof/>
        </w:rPr>
        <w:fldChar w:fldCharType="begin"/>
      </w:r>
      <w:r w:rsidR="001451C0">
        <w:rPr>
          <w:noProof/>
        </w:rPr>
        <w:instrText xml:space="preserve"> REF _Caption2996 </w:instrText>
      </w:r>
      <w:r w:rsidR="001451C0">
        <w:rPr>
          <w:noProof/>
        </w:rPr>
        <w:fldChar w:fldCharType="separate"/>
      </w:r>
      <w:r w:rsidR="006B79B8" w:rsidRPr="00D00F02">
        <w:rPr>
          <w:noProof/>
        </w:rPr>
        <w:t>C.7</w:t>
      </w:r>
      <w:r w:rsidR="001451C0">
        <w:rPr>
          <w:noProof/>
        </w:rPr>
        <w:fldChar w:fldCharType="end"/>
      </w:r>
      <w:r>
        <w:t xml:space="preserve">. Most respondents feel some degree of adverse impacts on these issues if the changes were not properly implemented. </w:t>
      </w:r>
      <w:r w:rsidRPr="003E7824">
        <w:t xml:space="preserve">One </w:t>
      </w:r>
      <w:r>
        <w:t xml:space="preserve">exception is </w:t>
      </w:r>
      <w:r w:rsidRPr="003E7824">
        <w:t xml:space="preserve">NSW </w:t>
      </w:r>
      <w:r>
        <w:t xml:space="preserve">Building </w:t>
      </w:r>
      <w:r w:rsidRPr="003E7824">
        <w:t xml:space="preserve">Administration </w:t>
      </w:r>
      <w:r>
        <w:t>who reports</w:t>
      </w:r>
      <w:r w:rsidRPr="003E7824">
        <w:t xml:space="preserve"> stakeholders gen</w:t>
      </w:r>
      <w:r>
        <w:t>er</w:t>
      </w:r>
      <w:r w:rsidRPr="003E7824">
        <w:t>ally fe</w:t>
      </w:r>
      <w:r>
        <w:t>e</w:t>
      </w:r>
      <w:r w:rsidRPr="003E7824">
        <w:t xml:space="preserve">l increased energy efficiency </w:t>
      </w:r>
      <w:r>
        <w:t>c</w:t>
      </w:r>
      <w:r w:rsidRPr="003E7824">
        <w:t>ould lead to higher levels of amenity and health as working conditions, air temperature and air quality are likely to be better.</w:t>
      </w:r>
    </w:p>
    <w:p w:rsidR="00242C46" w:rsidRPr="00695C93" w:rsidRDefault="00242C46" w:rsidP="00242C46">
      <w:pPr>
        <w:pStyle w:val="Caption"/>
      </w:pPr>
      <w:r w:rsidRPr="00D00F02">
        <w:fldChar w:fldCharType="begin"/>
      </w:r>
      <w:r w:rsidRPr="00D00F02">
        <w:instrText xml:space="preserve"> IF 1 = 1 "</w:instrText>
      </w:r>
      <w:r w:rsidRPr="00D00F02">
        <w:fldChar w:fldCharType="begin"/>
      </w:r>
      <w:r w:rsidRPr="00D00F02">
        <w:instrText xml:space="preserve"> IF </w:instrText>
      </w:r>
      <w:r w:rsidR="001451C0" w:rsidRPr="00D00F02">
        <w:rPr>
          <w:noProof/>
        </w:rPr>
        <w:fldChar w:fldCharType="begin"/>
      </w:r>
      <w:r w:rsidR="001451C0" w:rsidRPr="00D00F02">
        <w:rPr>
          <w:noProof/>
        </w:rPr>
        <w:instrText xml:space="preserve"> STYLEREF "Heading 6" \l \n </w:instrText>
      </w:r>
      <w:r w:rsidR="001451C0" w:rsidRPr="00D00F02">
        <w:rPr>
          <w:noProof/>
        </w:rPr>
        <w:fldChar w:fldCharType="separate"/>
      </w:r>
      <w:r w:rsidR="00B833F1">
        <w:rPr>
          <w:noProof/>
        </w:rPr>
        <w:instrText>C</w:instrText>
      </w:r>
      <w:r w:rsidR="001451C0" w:rsidRPr="00D00F02">
        <w:rPr>
          <w:noProof/>
        </w:rPr>
        <w:fldChar w:fldCharType="end"/>
      </w:r>
      <w:r w:rsidRPr="00D00F02">
        <w:instrText xml:space="preserve"> = 0 "</w:instrText>
      </w:r>
      <w:r w:rsidRPr="00D00F02">
        <w:fldChar w:fldCharType="begin"/>
      </w:r>
      <w:r w:rsidRPr="00D00F02">
        <w:instrText xml:space="preserve"> IF </w:instrText>
      </w:r>
      <w:r w:rsidRPr="00D00F02">
        <w:fldChar w:fldCharType="begin"/>
      </w:r>
      <w:r w:rsidRPr="00D00F02">
        <w:instrText xml:space="preserve"> STYLEREF "Heading 1" \l \n </w:instrText>
      </w:r>
      <w:r w:rsidRPr="00D00F02">
        <w:fldChar w:fldCharType="separate"/>
      </w:r>
      <w:r w:rsidRPr="00D00F02">
        <w:rPr>
          <w:b/>
          <w:bCs/>
          <w:noProof/>
          <w:lang w:val="en-US"/>
        </w:rPr>
        <w:instrText>Error! No text of specified style in document.</w:instrText>
      </w:r>
      <w:r w:rsidRPr="00D00F02">
        <w:rPr>
          <w:noProof/>
        </w:rPr>
        <w:fldChar w:fldCharType="end"/>
      </w:r>
      <w:r w:rsidRPr="00D00F02">
        <w:instrText xml:space="preserve"> = 0 "" "</w:instrText>
      </w:r>
      <w:r w:rsidRPr="00D00F02">
        <w:fldChar w:fldCharType="begin"/>
      </w:r>
      <w:r w:rsidRPr="00D00F02">
        <w:instrText xml:space="preserve"> STYLEREF "Heading 1" \l \n </w:instrText>
      </w:r>
      <w:r w:rsidRPr="00D00F02">
        <w:fldChar w:fldCharType="separate"/>
      </w:r>
      <w:r w:rsidRPr="00D00F02">
        <w:rPr>
          <w:b/>
          <w:bCs/>
          <w:noProof/>
          <w:lang w:val="en-US"/>
        </w:rPr>
        <w:instrText>Error! No text of specified style in document.</w:instrText>
      </w:r>
      <w:r w:rsidRPr="00D00F02">
        <w:rPr>
          <w:noProof/>
        </w:rPr>
        <w:fldChar w:fldCharType="end"/>
      </w:r>
      <w:r w:rsidRPr="00D00F02">
        <w:instrText xml:space="preserve">." </w:instrText>
      </w:r>
      <w:r w:rsidRPr="00D00F02">
        <w:fldChar w:fldCharType="separate"/>
      </w:r>
      <w:r w:rsidRPr="00D00F02">
        <w:rPr>
          <w:b/>
          <w:bCs/>
          <w:noProof/>
          <w:lang w:val="en-US"/>
        </w:rPr>
        <w:instrText>Error! No text of specified style in document.</w:instrText>
      </w:r>
      <w:r w:rsidRPr="00D00F02">
        <w:rPr>
          <w:noProof/>
        </w:rPr>
        <w:instrText>.</w:instrText>
      </w:r>
      <w:r w:rsidRPr="00D00F02">
        <w:fldChar w:fldCharType="end"/>
      </w:r>
      <w:r w:rsidRPr="00D00F02">
        <w:instrText>" "</w:instrText>
      </w:r>
      <w:r w:rsidR="001451C0" w:rsidRPr="00D00F02">
        <w:rPr>
          <w:noProof/>
        </w:rPr>
        <w:fldChar w:fldCharType="begin"/>
      </w:r>
      <w:r w:rsidR="001451C0" w:rsidRPr="00D00F02">
        <w:rPr>
          <w:noProof/>
        </w:rPr>
        <w:instrText xml:space="preserve"> STYLEREF "Heading 6" \l \n </w:instrText>
      </w:r>
      <w:r w:rsidR="001451C0" w:rsidRPr="00D00F02">
        <w:rPr>
          <w:noProof/>
        </w:rPr>
        <w:fldChar w:fldCharType="separate"/>
      </w:r>
      <w:r w:rsidR="00B833F1">
        <w:rPr>
          <w:noProof/>
        </w:rPr>
        <w:instrText>C</w:instrText>
      </w:r>
      <w:r w:rsidR="001451C0" w:rsidRPr="00D00F02">
        <w:rPr>
          <w:noProof/>
        </w:rPr>
        <w:fldChar w:fldCharType="end"/>
      </w:r>
      <w:r w:rsidRPr="00D00F02">
        <w:instrText xml:space="preserve">." </w:instrText>
      </w:r>
      <w:r w:rsidRPr="00D00F02">
        <w:fldChar w:fldCharType="separate"/>
      </w:r>
      <w:r w:rsidR="00B833F1">
        <w:rPr>
          <w:noProof/>
        </w:rPr>
        <w:instrText>C</w:instrText>
      </w:r>
      <w:r w:rsidR="00B833F1" w:rsidRPr="00D00F02">
        <w:rPr>
          <w:noProof/>
        </w:rPr>
        <w:instrText>.</w:instrText>
      </w:r>
      <w:r w:rsidRPr="00D00F02">
        <w:fldChar w:fldCharType="end"/>
      </w:r>
      <w:r w:rsidRPr="00D00F02">
        <w:fldChar w:fldCharType="begin"/>
      </w:r>
      <w:r w:rsidRPr="00D00F02">
        <w:instrText xml:space="preserve"> SEQ Item \* ARABIC \s </w:instrText>
      </w:r>
      <w:r w:rsidRPr="00D00F02">
        <w:fldChar w:fldCharType="begin"/>
      </w:r>
      <w:r w:rsidRPr="00D00F02">
        <w:instrText xml:space="preserve"> IF </w:instrText>
      </w:r>
      <w:r w:rsidR="001451C0" w:rsidRPr="00D00F02">
        <w:rPr>
          <w:noProof/>
        </w:rPr>
        <w:fldChar w:fldCharType="begin"/>
      </w:r>
      <w:r w:rsidR="001451C0" w:rsidRPr="00D00F02">
        <w:rPr>
          <w:noProof/>
        </w:rPr>
        <w:instrText xml:space="preserve"> STYLEREF "Heading 6" \l \n </w:instrText>
      </w:r>
      <w:r w:rsidR="001451C0" w:rsidRPr="00D00F02">
        <w:rPr>
          <w:noProof/>
        </w:rPr>
        <w:fldChar w:fldCharType="separate"/>
      </w:r>
      <w:r w:rsidR="00B833F1">
        <w:rPr>
          <w:noProof/>
        </w:rPr>
        <w:instrText>C</w:instrText>
      </w:r>
      <w:r w:rsidR="001451C0" w:rsidRPr="00D00F02">
        <w:rPr>
          <w:noProof/>
        </w:rPr>
        <w:fldChar w:fldCharType="end"/>
      </w:r>
      <w:r w:rsidRPr="00D00F02">
        <w:instrText xml:space="preserve"> = 0 "</w:instrText>
      </w:r>
      <w:r w:rsidRPr="00D00F02">
        <w:fldChar w:fldCharType="begin"/>
      </w:r>
      <w:r w:rsidRPr="00D00F02">
        <w:instrText xml:space="preserve"> IF </w:instrText>
      </w:r>
      <w:r w:rsidRPr="00D00F02">
        <w:fldChar w:fldCharType="begin"/>
      </w:r>
      <w:r w:rsidRPr="00D00F02">
        <w:instrText xml:space="preserve"> STYLEREF "Heading 1" \l \n </w:instrText>
      </w:r>
      <w:r w:rsidRPr="00D00F02">
        <w:fldChar w:fldCharType="separate"/>
      </w:r>
      <w:r w:rsidRPr="00D00F02">
        <w:rPr>
          <w:b/>
          <w:bCs/>
          <w:noProof/>
          <w:lang w:val="en-US"/>
        </w:rPr>
        <w:instrText>Error! No text of specified style in document.</w:instrText>
      </w:r>
      <w:r w:rsidRPr="00D00F02">
        <w:rPr>
          <w:noProof/>
        </w:rPr>
        <w:fldChar w:fldCharType="end"/>
      </w:r>
      <w:r w:rsidRPr="00D00F02">
        <w:instrText xml:space="preserve"> = 0 "" "1" </w:instrText>
      </w:r>
      <w:r w:rsidRPr="00D00F02">
        <w:fldChar w:fldCharType="separate"/>
      </w:r>
      <w:r w:rsidRPr="00D00F02">
        <w:rPr>
          <w:noProof/>
        </w:rPr>
        <w:instrText>1</w:instrText>
      </w:r>
      <w:r w:rsidRPr="00D00F02">
        <w:fldChar w:fldCharType="end"/>
      </w:r>
      <w:r w:rsidRPr="00D00F02">
        <w:instrText xml:space="preserve">" "6" </w:instrText>
      </w:r>
      <w:r w:rsidRPr="00D00F02">
        <w:fldChar w:fldCharType="separate"/>
      </w:r>
      <w:r w:rsidR="00B833F1" w:rsidRPr="00D00F02">
        <w:rPr>
          <w:noProof/>
        </w:rPr>
        <w:instrText>6</w:instrText>
      </w:r>
      <w:r w:rsidRPr="00D00F02">
        <w:fldChar w:fldCharType="end"/>
      </w:r>
      <w:r w:rsidRPr="00D00F02">
        <w:instrText xml:space="preserve"> </w:instrText>
      </w:r>
      <w:r w:rsidRPr="00D00F02">
        <w:fldChar w:fldCharType="separate"/>
      </w:r>
      <w:r w:rsidR="00B833F1">
        <w:rPr>
          <w:noProof/>
        </w:rPr>
        <w:instrText>7</w:instrText>
      </w:r>
      <w:r w:rsidRPr="00D00F02">
        <w:fldChar w:fldCharType="end"/>
      </w:r>
      <w:r w:rsidRPr="00D00F02">
        <w:instrText xml:space="preserve">" "" </w:instrText>
      </w:r>
      <w:r w:rsidRPr="00D00F02">
        <w:fldChar w:fldCharType="separate"/>
      </w:r>
      <w:bookmarkStart w:id="5075" w:name="_Caption9859"/>
      <w:bookmarkStart w:id="5076" w:name="_Caption5342"/>
      <w:bookmarkStart w:id="5077" w:name="_Caption5801"/>
      <w:bookmarkStart w:id="5078" w:name="_Caption2319"/>
      <w:bookmarkStart w:id="5079" w:name="_Caption3722"/>
      <w:bookmarkStart w:id="5080" w:name="_Caption8764"/>
      <w:bookmarkStart w:id="5081" w:name="_Caption3716"/>
      <w:bookmarkStart w:id="5082" w:name="_Caption0550"/>
      <w:bookmarkStart w:id="5083" w:name="_Caption2996"/>
      <w:bookmarkStart w:id="5084" w:name="_Caption7584"/>
      <w:bookmarkStart w:id="5085" w:name="_Caption7224"/>
      <w:bookmarkStart w:id="5086" w:name="_Caption3714"/>
      <w:bookmarkStart w:id="5087" w:name="_Caption3825"/>
      <w:bookmarkStart w:id="5088" w:name="_Caption8431"/>
      <w:bookmarkStart w:id="5089" w:name="_Caption9299"/>
      <w:bookmarkStart w:id="5090" w:name="_Caption5405"/>
      <w:bookmarkStart w:id="5091" w:name="_Caption2798"/>
      <w:bookmarkStart w:id="5092" w:name="_Caption7779"/>
      <w:bookmarkStart w:id="5093" w:name="_Caption0558"/>
      <w:bookmarkStart w:id="5094" w:name="_Caption5654"/>
      <w:bookmarkStart w:id="5095" w:name="_Caption3959"/>
      <w:bookmarkStart w:id="5096" w:name="_Caption6716"/>
      <w:bookmarkStart w:id="5097" w:name="_Caption7391"/>
      <w:bookmarkStart w:id="5098" w:name="_Caption0078"/>
      <w:bookmarkStart w:id="5099" w:name="_Caption4405"/>
      <w:bookmarkStart w:id="5100" w:name="_Caption2328"/>
      <w:bookmarkStart w:id="5101" w:name="_Caption1182"/>
      <w:bookmarkStart w:id="5102" w:name="_Caption8157"/>
      <w:bookmarkStart w:id="5103" w:name="_Caption1967"/>
      <w:bookmarkStart w:id="5104" w:name="_Caption0274"/>
      <w:bookmarkStart w:id="5105" w:name="_Caption3205"/>
      <w:bookmarkStart w:id="5106" w:name="_Caption8908"/>
      <w:bookmarkStart w:id="5107" w:name="_Caption5382"/>
      <w:bookmarkStart w:id="5108" w:name="_Caption0754"/>
      <w:bookmarkStart w:id="5109" w:name="_Caption8251"/>
      <w:bookmarkStart w:id="5110" w:name="_Caption5422"/>
      <w:bookmarkStart w:id="5111" w:name="_Toc525900604"/>
      <w:bookmarkStart w:id="5112" w:name="_Toc529869974"/>
      <w:bookmarkStart w:id="5113" w:name="_Toc530748470"/>
      <w:r w:rsidR="00EA42ED">
        <w:rPr>
          <w:noProof/>
        </w:rPr>
        <w:t>C</w:t>
      </w:r>
      <w:r w:rsidR="00EA42ED" w:rsidRPr="00D00F02">
        <w:rPr>
          <w:noProof/>
        </w:rPr>
        <w:t>.</w:t>
      </w:r>
      <w:r w:rsidR="00EA42ED">
        <w:rPr>
          <w:noProof/>
        </w:rPr>
        <w:t>7</w:t>
      </w:r>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r w:rsidRPr="00D00F02">
        <w:fldChar w:fldCharType="end"/>
      </w:r>
      <w:r w:rsidRPr="00D00F02">
        <w:tab/>
        <w:t>Other unintended impacts</w:t>
      </w:r>
      <w:bookmarkEnd w:id="5111"/>
      <w:bookmarkEnd w:id="5112"/>
      <w:bookmarkEnd w:id="5113"/>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8"/>
      </w:tblGrid>
      <w:tr w:rsidR="00242C46" w:rsidTr="00242C46">
        <w:trPr>
          <w:cantSplit/>
        </w:trPr>
        <w:tc>
          <w:tcPr>
            <w:tcW w:w="7938" w:type="dxa"/>
            <w:shd w:val="clear" w:color="auto" w:fill="E9E8E5" w:themeFill="background2"/>
          </w:tcPr>
          <w:p w:rsidR="00242C46" w:rsidRDefault="00242C46" w:rsidP="00242C46">
            <w:pPr>
              <w:pStyle w:val="Chart"/>
            </w:pPr>
            <w:r w:rsidRPr="008077BE">
              <w:rPr>
                <w:noProof/>
                <w:lang w:eastAsia="en-AU"/>
              </w:rPr>
              <w:drawing>
                <wp:inline distT="0" distB="0" distL="0" distR="0" wp14:anchorId="561B0C36" wp14:editId="13B5D2B1">
                  <wp:extent cx="5013960" cy="2494280"/>
                  <wp:effectExtent l="0" t="0" r="0" b="0"/>
                  <wp:docPr id="5" name="Picture 5" descr="This chart shows the number of respondents indicating other unintended impacts - 6 indicate adverse and 1 positive impacts on safety and health; 5 adverse and 1 positive impacts on amenity; 4 indicate adverse impacts on accessibility." title="C.7 other unintended impac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13960" cy="2494280"/>
                          </a:xfrm>
                          <a:prstGeom prst="rect">
                            <a:avLst/>
                          </a:prstGeom>
                          <a:noFill/>
                          <a:ln>
                            <a:noFill/>
                          </a:ln>
                        </pic:spPr>
                      </pic:pic>
                    </a:graphicData>
                  </a:graphic>
                </wp:inline>
              </w:drawing>
            </w:r>
          </w:p>
        </w:tc>
      </w:tr>
    </w:tbl>
    <w:p w:rsidR="00242C46" w:rsidRDefault="00242C46" w:rsidP="00242C46">
      <w:pPr>
        <w:pStyle w:val="Source"/>
      </w:pPr>
      <w:r>
        <w:rPr>
          <w:i/>
        </w:rPr>
        <w:t>Data source</w:t>
      </w:r>
      <w:r w:rsidRPr="00A67576">
        <w:rPr>
          <w:i/>
        </w:rPr>
        <w:t>:</w:t>
      </w:r>
      <w:r>
        <w:t xml:space="preserve"> CIE construction based on consultation submissions</w:t>
      </w:r>
    </w:p>
    <w:p w:rsidR="00242C46" w:rsidRDefault="00242C46" w:rsidP="00242C46">
      <w:pPr>
        <w:pStyle w:val="BodyText"/>
      </w:pPr>
      <w:r w:rsidRPr="003E7824">
        <w:t>Stakeholders fe</w:t>
      </w:r>
      <w:r>
        <w:t>e</w:t>
      </w:r>
      <w:r w:rsidRPr="003E7824">
        <w:t>l the changes will have negative impacts on:</w:t>
      </w:r>
    </w:p>
    <w:p w:rsidR="00242C46" w:rsidRDefault="00242C46" w:rsidP="00242C46">
      <w:pPr>
        <w:pStyle w:val="ListBullet"/>
      </w:pPr>
      <w:r w:rsidRPr="003E7824">
        <w:t>Safety</w:t>
      </w:r>
      <w:r>
        <w:t xml:space="preserve"> and health</w:t>
      </w:r>
      <w:r w:rsidRPr="003E7824">
        <w:t xml:space="preserve"> </w:t>
      </w:r>
      <w:r>
        <w:t>–</w:t>
      </w:r>
      <w:r w:rsidRPr="003E7824">
        <w:t xml:space="preserve"> ASBEC, PCA, BlueScope</w:t>
      </w:r>
      <w:r>
        <w:t>, NASH, MBA, Sustainability House</w:t>
      </w:r>
    </w:p>
    <w:p w:rsidR="00242C46" w:rsidRDefault="00242C46" w:rsidP="00242C46">
      <w:pPr>
        <w:pStyle w:val="ListBullet"/>
      </w:pPr>
      <w:r w:rsidRPr="003E7824">
        <w:t xml:space="preserve">Amenity </w:t>
      </w:r>
      <w:r>
        <w:t>–</w:t>
      </w:r>
      <w:r w:rsidRPr="003E7824">
        <w:t xml:space="preserve"> </w:t>
      </w:r>
      <w:r>
        <w:t xml:space="preserve">JMG, Benmax, </w:t>
      </w:r>
      <w:r w:rsidRPr="003E7824">
        <w:t>G.</w:t>
      </w:r>
      <w:r>
        <w:t xml:space="preserve"> </w:t>
      </w:r>
      <w:r w:rsidRPr="003E7824">
        <w:t>James</w:t>
      </w:r>
      <w:r>
        <w:t xml:space="preserve">, </w:t>
      </w:r>
      <w:r w:rsidRPr="003E7824">
        <w:t>Sustainability House</w:t>
      </w:r>
      <w:r>
        <w:t>, MBA</w:t>
      </w:r>
    </w:p>
    <w:p w:rsidR="00242C46" w:rsidRDefault="00242C46" w:rsidP="00242C46">
      <w:pPr>
        <w:pStyle w:val="ListBullet"/>
      </w:pPr>
      <w:r w:rsidRPr="003E7824">
        <w:t xml:space="preserve">Accessibility </w:t>
      </w:r>
      <w:r>
        <w:t>–</w:t>
      </w:r>
      <w:r w:rsidRPr="003E7824">
        <w:t xml:space="preserve"> </w:t>
      </w:r>
      <w:r>
        <w:t xml:space="preserve">PCA, GBCA, MBA, </w:t>
      </w:r>
      <w:r w:rsidRPr="003E7824">
        <w:t>Think Brick (may have misinterpreted the question as market access).</w:t>
      </w:r>
    </w:p>
    <w:p w:rsidR="00242C46" w:rsidRDefault="00242C46" w:rsidP="00242C46">
      <w:pPr>
        <w:pStyle w:val="Heading8"/>
        <w:numPr>
          <w:ilvl w:val="7"/>
          <w:numId w:val="5"/>
        </w:numPr>
      </w:pPr>
      <w:r>
        <w:t>Safety and health</w:t>
      </w:r>
    </w:p>
    <w:p w:rsidR="00242C46" w:rsidRDefault="00242C46" w:rsidP="00242C46">
      <w:pPr>
        <w:pStyle w:val="BodyText"/>
      </w:pPr>
      <w:r>
        <w:t>Sustainability House suggests impacts on amenity, but three issues raised in the submission are related to safety and health. It is argued that low lighting levels could ‘result in difficulty seeing hazards, leading to collision or slippage’, and ‘result in persons coming in contact with hazardous materials/waste that might otherwise be avoided’. It is also mentioned that mandatory use of lighting control (motion detectors) in some areas of Class 6 Buildings ‘is likely to be high cost penalty with low energy efficiency impact’.</w:t>
      </w:r>
    </w:p>
    <w:p w:rsidR="00242C46" w:rsidRDefault="00242C46" w:rsidP="00242C46">
      <w:pPr>
        <w:pStyle w:val="BodyText"/>
      </w:pPr>
      <w:r w:rsidRPr="003E7824">
        <w:t xml:space="preserve">BlueScope suggests </w:t>
      </w:r>
      <w:r>
        <w:t>c</w:t>
      </w:r>
      <w:r w:rsidRPr="003E7824">
        <w:t xml:space="preserve">ontinually increasing stringency leads to </w:t>
      </w:r>
      <w:r>
        <w:t xml:space="preserve">the risk of </w:t>
      </w:r>
      <w:r w:rsidRPr="003E7824">
        <w:t>increas</w:t>
      </w:r>
      <w:r>
        <w:t>ing the us</w:t>
      </w:r>
      <w:r w:rsidRPr="003E7824">
        <w:t>e of non</w:t>
      </w:r>
      <w:r>
        <w:t>-</w:t>
      </w:r>
      <w:r w:rsidRPr="003E7824">
        <w:t>compli</w:t>
      </w:r>
      <w:r>
        <w:t>a</w:t>
      </w:r>
      <w:r w:rsidRPr="003E7824">
        <w:t xml:space="preserve">nt products (cites board type insulation) </w:t>
      </w:r>
      <w:r>
        <w:t xml:space="preserve">which </w:t>
      </w:r>
      <w:r w:rsidRPr="003E7824">
        <w:t xml:space="preserve">have poor fire performance </w:t>
      </w:r>
      <w:r>
        <w:t>because materials with greater fire performance</w:t>
      </w:r>
      <w:r w:rsidRPr="003E7824">
        <w:t xml:space="preserve"> are </w:t>
      </w:r>
      <w:r>
        <w:t xml:space="preserve">‘significantly more </w:t>
      </w:r>
      <w:r w:rsidRPr="003E7824">
        <w:t>expensive</w:t>
      </w:r>
      <w:r>
        <w:t>’</w:t>
      </w:r>
      <w:r w:rsidRPr="003E7824">
        <w:t xml:space="preserve"> (</w:t>
      </w:r>
      <w:r>
        <w:t>n</w:t>
      </w:r>
      <w:r w:rsidRPr="003E7824">
        <w:t>o citation or further evidence provided). NASH also see</w:t>
      </w:r>
      <w:r>
        <w:t>s</w:t>
      </w:r>
      <w:r w:rsidRPr="003E7824">
        <w:t xml:space="preserve"> the risk from insulation suggesting the cheapest and best performing materials (foams) tend to</w:t>
      </w:r>
      <w:r>
        <w:t xml:space="preserve"> be most combustible which</w:t>
      </w:r>
      <w:r w:rsidRPr="003E7824">
        <w:t xml:space="preserve"> are </w:t>
      </w:r>
      <w:r>
        <w:t xml:space="preserve">now </w:t>
      </w:r>
      <w:r w:rsidRPr="003E7824">
        <w:t xml:space="preserve">less available with the release of (NCC) </w:t>
      </w:r>
      <w:r>
        <w:t>A</w:t>
      </w:r>
      <w:r w:rsidRPr="003E7824">
        <w:t>mendment 1</w:t>
      </w:r>
      <w:r>
        <w:t>.</w:t>
      </w:r>
      <w:r w:rsidRPr="003E7824">
        <w:t xml:space="preserve"> </w:t>
      </w:r>
      <w:r>
        <w:t xml:space="preserve">Less combustible </w:t>
      </w:r>
      <w:r w:rsidRPr="003E7824">
        <w:t>bulk fibr</w:t>
      </w:r>
      <w:r>
        <w:t>ous materials</w:t>
      </w:r>
      <w:r w:rsidRPr="003E7824">
        <w:t xml:space="preserve"> require more space, </w:t>
      </w:r>
      <w:r>
        <w:t xml:space="preserve">and </w:t>
      </w:r>
      <w:r w:rsidRPr="003E7824">
        <w:t xml:space="preserve">a foreseeable consequence may be </w:t>
      </w:r>
      <w:r>
        <w:t>‘</w:t>
      </w:r>
      <w:r w:rsidRPr="003E7824">
        <w:t xml:space="preserve">novel </w:t>
      </w:r>
      <w:r>
        <w:t>combination</w:t>
      </w:r>
      <w:r w:rsidRPr="003E7824">
        <w:t>s</w:t>
      </w:r>
      <w:r>
        <w:t xml:space="preserve"> of combustible materials’</w:t>
      </w:r>
      <w:r w:rsidRPr="003E7824">
        <w:t xml:space="preserve"> that lead to undermining of the fire safety requirements. </w:t>
      </w:r>
    </w:p>
    <w:p w:rsidR="00242C46" w:rsidRDefault="00242C46" w:rsidP="00242C46">
      <w:pPr>
        <w:pStyle w:val="BodyText"/>
      </w:pPr>
      <w:r w:rsidRPr="003E7824">
        <w:t>ASBEC</w:t>
      </w:r>
      <w:r>
        <w:t>,</w:t>
      </w:r>
      <w:r w:rsidRPr="003E7824">
        <w:t xml:space="preserve"> GBCA</w:t>
      </w:r>
      <w:r>
        <w:t xml:space="preserve"> and PCA feel that increases in the stringency of energy efficiency requirements could impact on safety and health if not properly implemented, and suggest that there is a role for government to improve industry capacity by providing or supporting the provision of training and to improve monitoring and enforcement. It is also suggested provisions to mitigate the risk of unintended consequences could be potentially included in relevant sections of the </w:t>
      </w:r>
      <w:r w:rsidR="00EB5964">
        <w:t>code</w:t>
      </w:r>
      <w:r>
        <w:t>.</w:t>
      </w:r>
    </w:p>
    <w:p w:rsidR="00242C46" w:rsidRDefault="00242C46" w:rsidP="00242C46">
      <w:pPr>
        <w:pStyle w:val="Heading8"/>
        <w:numPr>
          <w:ilvl w:val="7"/>
          <w:numId w:val="5"/>
        </w:numPr>
      </w:pPr>
      <w:r>
        <w:t>Amenity</w:t>
      </w:r>
    </w:p>
    <w:p w:rsidR="00242C46" w:rsidRDefault="00242C46" w:rsidP="00242C46">
      <w:pPr>
        <w:pStyle w:val="BodyText"/>
      </w:pPr>
      <w:r>
        <w:t>JMG points to amenity as an unintended impact, but does not provide further comments. Benmax Group argues that ‘reduction in light and in views will definitely be seen as a reduction in amenity’.</w:t>
      </w:r>
    </w:p>
    <w:p w:rsidR="00242C46" w:rsidRDefault="00242C46" w:rsidP="00242C46">
      <w:pPr>
        <w:pStyle w:val="BodyText"/>
      </w:pPr>
      <w:r w:rsidRPr="003E7824">
        <w:t>G.</w:t>
      </w:r>
      <w:r>
        <w:t xml:space="preserve"> </w:t>
      </w:r>
      <w:r w:rsidRPr="003E7824">
        <w:t xml:space="preserve">James highlights lighting level concerns as an area of diminished amenity and Sustainability </w:t>
      </w:r>
      <w:r>
        <w:t>H</w:t>
      </w:r>
      <w:r w:rsidRPr="003E7824">
        <w:t>ouse echoes this view and suggests this may lead to safety issues</w:t>
      </w:r>
      <w:r>
        <w:t xml:space="preserve"> (see above)</w:t>
      </w:r>
      <w:r w:rsidRPr="003E7824">
        <w:t xml:space="preserve">. </w:t>
      </w:r>
    </w:p>
    <w:p w:rsidR="00242C46" w:rsidRDefault="00242C46" w:rsidP="00242C46">
      <w:pPr>
        <w:pStyle w:val="BodyText"/>
      </w:pPr>
      <w:r>
        <w:t>PCA</w:t>
      </w:r>
      <w:r w:rsidRPr="003E7824">
        <w:t xml:space="preserve"> note</w:t>
      </w:r>
      <w:r>
        <w:t>s</w:t>
      </w:r>
      <w:r w:rsidRPr="003E7824">
        <w:t xml:space="preserve"> the difficulties achieving compliance in Class 9 buildings (WWR and the need for views and amenity for Class 9 occupants) will likely lead to the need for reduced window sizes due to stringency and this will impact on amenity. </w:t>
      </w:r>
    </w:p>
    <w:p w:rsidR="00242C46" w:rsidRDefault="00242C46" w:rsidP="00242C46">
      <w:pPr>
        <w:pStyle w:val="BodyText"/>
      </w:pPr>
      <w:r w:rsidRPr="003E7824">
        <w:t xml:space="preserve">MBA </w:t>
      </w:r>
      <w:r>
        <w:t xml:space="preserve">believes </w:t>
      </w:r>
      <w:r w:rsidRPr="003E7824">
        <w:t>changes will negatively impact occupant amenity</w:t>
      </w:r>
      <w:r>
        <w:t xml:space="preserve"> by reducing natural light and view resulted from reducing WWR (smaller windows)</w:t>
      </w:r>
      <w:r w:rsidRPr="003E7824">
        <w:t>.</w:t>
      </w:r>
      <w:r>
        <w:t xml:space="preserve"> It </w:t>
      </w:r>
      <w:r w:rsidRPr="003E7824">
        <w:t>go</w:t>
      </w:r>
      <w:r>
        <w:t>es</w:t>
      </w:r>
      <w:r w:rsidRPr="003E7824">
        <w:t xml:space="preserve"> further drawing on the philosophical argument energy efficiency is regional</w:t>
      </w:r>
      <w:r>
        <w:t>l</w:t>
      </w:r>
      <w:r w:rsidRPr="003E7824">
        <w:t xml:space="preserve">y specific and </w:t>
      </w:r>
      <w:r>
        <w:t xml:space="preserve">argues the NCC is the wrong place for the regional specific technical regulation. It feels </w:t>
      </w:r>
      <w:r w:rsidRPr="003E7824">
        <w:t xml:space="preserve">the </w:t>
      </w:r>
      <w:r>
        <w:t>principle g</w:t>
      </w:r>
      <w:r w:rsidRPr="003E7824">
        <w:t xml:space="preserve">oals of minimum necessary standards are now </w:t>
      </w:r>
      <w:r>
        <w:t xml:space="preserve">moved to more of a best practice standard. </w:t>
      </w:r>
    </w:p>
    <w:p w:rsidR="00242C46" w:rsidRDefault="00242C46" w:rsidP="00242C46">
      <w:pPr>
        <w:pStyle w:val="Heading8"/>
        <w:numPr>
          <w:ilvl w:val="7"/>
          <w:numId w:val="5"/>
        </w:numPr>
      </w:pPr>
      <w:r>
        <w:t>Accessibility</w:t>
      </w:r>
    </w:p>
    <w:p w:rsidR="00242C46" w:rsidRDefault="00242C46" w:rsidP="00242C46">
      <w:pPr>
        <w:pStyle w:val="BodyText"/>
      </w:pPr>
      <w:r>
        <w:t>It is generally noted in submissions that the NCC is complex and ‘some operators are not equipped with the appropriate knowledge and skill’ (ASBEC, PCA and GBCA).</w:t>
      </w:r>
    </w:p>
    <w:p w:rsidR="00242C46" w:rsidRDefault="00242C46" w:rsidP="00242C46">
      <w:pPr>
        <w:pStyle w:val="BodyText"/>
      </w:pPr>
      <w:r>
        <w:t xml:space="preserve">PCA also provides specific suggestions to assist industry including </w:t>
      </w:r>
    </w:p>
    <w:p w:rsidR="00242C46" w:rsidRDefault="00242C46" w:rsidP="00242C46">
      <w:pPr>
        <w:pStyle w:val="ListBullet"/>
      </w:pPr>
      <w:r>
        <w:t xml:space="preserve">guidelines in plain English; </w:t>
      </w:r>
    </w:p>
    <w:p w:rsidR="00242C46" w:rsidRDefault="00242C46" w:rsidP="00242C46">
      <w:pPr>
        <w:pStyle w:val="ListBullet"/>
      </w:pPr>
      <w:r>
        <w:t>simple calculators for the DTS façade provisions;</w:t>
      </w:r>
    </w:p>
    <w:p w:rsidR="00242C46" w:rsidRDefault="00242C46" w:rsidP="00242C46">
      <w:pPr>
        <w:pStyle w:val="ListBullet"/>
      </w:pPr>
      <w:r>
        <w:t xml:space="preserve"> training materials and courses for designers, architects, builders, surveyors and consultants, and </w:t>
      </w:r>
    </w:p>
    <w:p w:rsidR="00242C46" w:rsidRDefault="00242C46" w:rsidP="00242C46">
      <w:pPr>
        <w:pStyle w:val="ListBullet"/>
      </w:pPr>
      <w:r>
        <w:t>an online forum for Q&amp;A.</w:t>
      </w:r>
    </w:p>
    <w:p w:rsidR="00612FD3" w:rsidRDefault="00612FD3" w:rsidP="00612FD3">
      <w:pPr>
        <w:pStyle w:val="Heading6"/>
        <w:numPr>
          <w:ilvl w:val="5"/>
          <w:numId w:val="5"/>
        </w:numPr>
      </w:pPr>
      <w:bookmarkStart w:id="5114" w:name="_Ref496616723"/>
      <w:bookmarkStart w:id="5115" w:name="_Ref496616740"/>
      <w:bookmarkStart w:id="5116" w:name="_Toc499847016"/>
      <w:bookmarkStart w:id="5117" w:name="_Toc505120612"/>
      <w:bookmarkStart w:id="5118" w:name="_Toc507523769"/>
      <w:bookmarkStart w:id="5119" w:name="_Toc509220810"/>
      <w:bookmarkStart w:id="5120" w:name="_Toc529869872"/>
      <w:bookmarkStart w:id="5121" w:name="_Toc530748590"/>
      <w:r>
        <w:t>Are modelled energy savings realised?</w:t>
      </w:r>
      <w:bookmarkEnd w:id="5114"/>
      <w:bookmarkEnd w:id="5115"/>
      <w:bookmarkEnd w:id="5116"/>
      <w:bookmarkEnd w:id="5117"/>
      <w:bookmarkEnd w:id="5118"/>
      <w:bookmarkEnd w:id="5119"/>
      <w:bookmarkEnd w:id="5120"/>
      <w:bookmarkEnd w:id="5121"/>
    </w:p>
    <w:p w:rsidR="00612FD3" w:rsidRDefault="00612FD3" w:rsidP="00612FD3">
      <w:pPr>
        <w:pStyle w:val="Heading2"/>
        <w:numPr>
          <w:ilvl w:val="1"/>
          <w:numId w:val="5"/>
        </w:numPr>
      </w:pPr>
      <w:bookmarkStart w:id="5122" w:name="_Toc509220811"/>
      <w:bookmarkStart w:id="5123" w:name="_Toc529869873"/>
      <w:bookmarkStart w:id="5124" w:name="_Toc530748591"/>
      <w:r>
        <w:t>Over</w:t>
      </w:r>
      <w:r>
        <w:noBreakHyphen/>
        <w:t>estimation of energy savings</w:t>
      </w:r>
      <w:bookmarkEnd w:id="5122"/>
      <w:bookmarkEnd w:id="5123"/>
      <w:bookmarkEnd w:id="5124"/>
    </w:p>
    <w:p w:rsidR="00612FD3" w:rsidRDefault="00612FD3" w:rsidP="00612FD3">
      <w:pPr>
        <w:pStyle w:val="BodyText"/>
      </w:pPr>
      <w:r>
        <w:t>Several international studies have noted that engineering calculations may be prone to overstating the energy savings from particular energy efficiency investments.</w:t>
      </w:r>
      <w:r>
        <w:rPr>
          <w:rStyle w:val="FootnoteReference"/>
        </w:rPr>
        <w:footnoteReference w:id="92"/>
      </w:r>
      <w:r>
        <w:t xml:space="preserve"> Analyses that rely on engineering estimates could therefore overstate the size of the energy efficiency gap.</w:t>
      </w:r>
    </w:p>
    <w:p w:rsidR="00612FD3" w:rsidRPr="00365776" w:rsidRDefault="00612FD3" w:rsidP="00612FD3">
      <w:pPr>
        <w:pStyle w:val="BodyText"/>
      </w:pPr>
      <w:r>
        <w:t xml:space="preserve">This was a key concern of the </w:t>
      </w:r>
      <w:r w:rsidRPr="00365776">
        <w:t>Productivity Commission</w:t>
      </w:r>
      <w:r>
        <w:t xml:space="preserve"> in its </w:t>
      </w:r>
      <w:r w:rsidRPr="00365776">
        <w:t xml:space="preserve">2005 </w:t>
      </w:r>
      <w:r w:rsidRPr="00365776">
        <w:rPr>
          <w:i/>
        </w:rPr>
        <w:t>Inquiry into the Private Cost Effectiveness of Improving Energy Efficiency</w:t>
      </w:r>
      <w:r w:rsidRPr="00365776">
        <w:t xml:space="preserve">. </w:t>
      </w:r>
      <w:r>
        <w:t>In particular, the Commission</w:t>
      </w:r>
      <w:r w:rsidRPr="00365776">
        <w:t xml:space="preserve"> </w:t>
      </w:r>
      <w:r>
        <w:t>was</w:t>
      </w:r>
      <w:r w:rsidRPr="00365776">
        <w:t xml:space="preserve"> concern</w:t>
      </w:r>
      <w:r>
        <w:t>ed</w:t>
      </w:r>
      <w:r w:rsidRPr="00365776">
        <w:t xml:space="preserve"> that the analytical basis for minimum energy efficiency standards for buildings (computer simulations of energy loads within buildings in each </w:t>
      </w:r>
      <w:r w:rsidR="00E31EE8">
        <w:t>Climate Zone</w:t>
      </w:r>
      <w:r w:rsidRPr="00365776">
        <w:t>) may be flawed</w:t>
      </w:r>
      <w:r>
        <w:t>.</w:t>
      </w:r>
      <w:r w:rsidRPr="00365776">
        <w:rPr>
          <w:rStyle w:val="FootnoteReference"/>
        </w:rPr>
        <w:footnoteReference w:id="93"/>
      </w:r>
      <w:r>
        <w:t xml:space="preserve"> T</w:t>
      </w:r>
      <w:r w:rsidRPr="00365776">
        <w:t xml:space="preserve">he National Energy Efficient Buildings Project </w:t>
      </w:r>
      <w:r>
        <w:t xml:space="preserve">also </w:t>
      </w:r>
      <w:r w:rsidRPr="00365776">
        <w:t xml:space="preserve">noted that the </w:t>
      </w:r>
      <w:r>
        <w:t>NCC</w:t>
      </w:r>
      <w:r w:rsidRPr="00365776">
        <w:t xml:space="preserve"> focuses on the energy performance of building designs rather than actual buildings</w:t>
      </w:r>
      <w:r>
        <w:t xml:space="preserve">, which </w:t>
      </w:r>
      <w:r w:rsidRPr="00365776">
        <w:t>risk</w:t>
      </w:r>
      <w:r>
        <w:t>s</w:t>
      </w:r>
      <w:r w:rsidRPr="00365776">
        <w:t xml:space="preserve"> creating a gap between design performance (which at best can be simulated or modelled) and actual energy use (which can be measured).</w:t>
      </w:r>
      <w:r w:rsidRPr="00365776">
        <w:rPr>
          <w:rStyle w:val="FootnoteReference"/>
        </w:rPr>
        <w:footnoteReference w:id="94"/>
      </w:r>
    </w:p>
    <w:p w:rsidR="00612FD3" w:rsidRDefault="00612FD3" w:rsidP="00612FD3">
      <w:pPr>
        <w:pStyle w:val="Heading2"/>
        <w:numPr>
          <w:ilvl w:val="1"/>
          <w:numId w:val="5"/>
        </w:numPr>
      </w:pPr>
      <w:bookmarkStart w:id="5125" w:name="_Toc509220812"/>
      <w:bookmarkStart w:id="5126" w:name="_Toc529869874"/>
      <w:bookmarkStart w:id="5127" w:name="_Toc530748592"/>
      <w:r>
        <w:t>The performance gap</w:t>
      </w:r>
      <w:bookmarkEnd w:id="5125"/>
      <w:bookmarkEnd w:id="5126"/>
      <w:bookmarkEnd w:id="5127"/>
    </w:p>
    <w:p w:rsidR="00612FD3" w:rsidRDefault="00612FD3" w:rsidP="00612FD3">
      <w:pPr>
        <w:pStyle w:val="BodyText"/>
      </w:pPr>
      <w:r>
        <w:t>Comparing modelled building energy consumption with actual outcomes is a challenging exercise due to a range of issues, including the availability of relevant data.</w:t>
      </w:r>
    </w:p>
    <w:p w:rsidR="00612FD3" w:rsidRDefault="00612FD3" w:rsidP="00612FD3">
      <w:pPr>
        <w:pStyle w:val="BodyText"/>
      </w:pPr>
      <w:r>
        <w:t>In reviewing the performance of energy modelling it is important to make a distinction between the following:</w:t>
      </w:r>
    </w:p>
    <w:p w:rsidR="00612FD3" w:rsidRDefault="00612FD3" w:rsidP="00612FD3">
      <w:pPr>
        <w:pStyle w:val="ListBullet"/>
        <w:numPr>
          <w:ilvl w:val="0"/>
          <w:numId w:val="36"/>
        </w:numPr>
      </w:pPr>
      <w:r>
        <w:rPr>
          <w:b/>
        </w:rPr>
        <w:t>Absolute performance</w:t>
      </w:r>
      <w:r>
        <w:t xml:space="preserve"> — we use this term to refer to a comparison between a building’s actual energy consumption with modelled outcomes. As a building’s actual energy consumption is directly observable, it is relatively straightforward to compare this to predicted outcomes (subject to data availability).</w:t>
      </w:r>
    </w:p>
    <w:p w:rsidR="00612FD3" w:rsidRDefault="00612FD3" w:rsidP="00612FD3">
      <w:pPr>
        <w:pStyle w:val="ListBullet"/>
        <w:numPr>
          <w:ilvl w:val="0"/>
          <w:numId w:val="36"/>
        </w:numPr>
      </w:pPr>
      <w:r>
        <w:rPr>
          <w:b/>
        </w:rPr>
        <w:t>Relative performance</w:t>
      </w:r>
      <w:r>
        <w:t xml:space="preserve"> — this refers to the energy </w:t>
      </w:r>
      <w:r w:rsidRPr="006A448B">
        <w:rPr>
          <w:b/>
        </w:rPr>
        <w:t>savings</w:t>
      </w:r>
      <w:r>
        <w:t xml:space="preserve"> achieved by specific building features, compared to alternative, less energy efficient, design options (i.e. a baseline).</w:t>
      </w:r>
      <w:r>
        <w:rPr>
          <w:rStyle w:val="FootnoteReference"/>
        </w:rPr>
        <w:footnoteReference w:id="95"/>
      </w:r>
      <w:r>
        <w:t xml:space="preserve"> The challenge in comparing actual and modelled energy savings is that energy consumption for the alternative building design (i.e. the design that was not built) is not directly observable.</w:t>
      </w:r>
    </w:p>
    <w:p w:rsidR="00612FD3" w:rsidRDefault="00612FD3" w:rsidP="00612FD3">
      <w:pPr>
        <w:pStyle w:val="BodyText"/>
      </w:pPr>
      <w:r>
        <w:t xml:space="preserve">Arguably, it is the relative performance that is important. Some stakeholders argued that the (actual) performance gap is mainly due to poor operational practices. As such, having more energy efficient design features will achieve similar energy savings, regardless of how efficiently the building is operated. </w:t>
      </w:r>
    </w:p>
    <w:p w:rsidR="00612FD3" w:rsidRDefault="00612FD3" w:rsidP="00612FD3">
      <w:pPr>
        <w:pStyle w:val="BodyText"/>
      </w:pPr>
      <w:r>
        <w:t>The literature seems to use the term ‘performance gap’ interchangeably. However, there is evidence of a performance gap in both absolute and relative terms.</w:t>
      </w:r>
    </w:p>
    <w:p w:rsidR="00612FD3" w:rsidRDefault="00612FD3" w:rsidP="00612FD3">
      <w:pPr>
        <w:pStyle w:val="Heading3"/>
        <w:numPr>
          <w:ilvl w:val="2"/>
          <w:numId w:val="5"/>
        </w:numPr>
      </w:pPr>
      <w:r>
        <w:t>Absolute performance</w:t>
      </w:r>
    </w:p>
    <w:p w:rsidR="00612FD3" w:rsidRDefault="00612FD3" w:rsidP="00612FD3">
      <w:pPr>
        <w:pStyle w:val="BodyText"/>
      </w:pPr>
      <w:r>
        <w:t>There are numerous international studies showing a gap between actual energy consumption and predicted outcomes.</w:t>
      </w:r>
    </w:p>
    <w:p w:rsidR="00612FD3" w:rsidRDefault="00612FD3" w:rsidP="00612FD3">
      <w:pPr>
        <w:pStyle w:val="ListBullet"/>
        <w:numPr>
          <w:ilvl w:val="0"/>
          <w:numId w:val="36"/>
        </w:numPr>
        <w:rPr>
          <w:lang w:bidi="fa-IR"/>
        </w:rPr>
      </w:pPr>
      <w:r>
        <w:t xml:space="preserve">Frankel and Turner (2008a) compared the predicted energy use intensity (EUI) with actual EUI for a sample of 91 buildings certified under the </w:t>
      </w:r>
      <w:r>
        <w:rPr>
          <w:lang w:bidi="fa-IR"/>
        </w:rPr>
        <w:t>United States Green Building Council’s Leadership in Energy and Environmental Design (LEED) program. This sample was split into: 71 medium energy use buildings; and 20 high energy use buildings.</w:t>
      </w:r>
    </w:p>
    <w:p w:rsidR="00612FD3" w:rsidRDefault="00612FD3" w:rsidP="00612FD3">
      <w:pPr>
        <w:pStyle w:val="ListBullet2"/>
        <w:numPr>
          <w:ilvl w:val="1"/>
          <w:numId w:val="36"/>
        </w:numPr>
        <w:rPr>
          <w:lang w:bidi="fa-IR"/>
        </w:rPr>
      </w:pPr>
      <w:r>
        <w:rPr>
          <w:lang w:bidi="fa-IR"/>
        </w:rPr>
        <w:t>In medium energy use buildings, on average modelling accuracy was found to be quite good, with the ratio of measured to design EUI around 92 per cent across the whole sample. However, the accuracy of individual project energy use was found to be very inconsistent, with the actual to predicted energy use varying widely across projects.</w:t>
      </w:r>
      <w:r>
        <w:rPr>
          <w:rStyle w:val="FootnoteReference"/>
          <w:lang w:bidi="fa-IR"/>
        </w:rPr>
        <w:footnoteReference w:id="96"/>
      </w:r>
    </w:p>
    <w:p w:rsidR="00612FD3" w:rsidRDefault="00612FD3" w:rsidP="00612FD3">
      <w:pPr>
        <w:pStyle w:val="ListBullet2"/>
        <w:numPr>
          <w:ilvl w:val="1"/>
          <w:numId w:val="36"/>
        </w:numPr>
      </w:pPr>
      <w:r>
        <w:t>For high energy use buildings, the alignment between predicted and actual energy use was found to be very poor. On average, high energy use buildings in the sample used nearly two</w:t>
      </w:r>
      <w:r>
        <w:noBreakHyphen/>
        <w:t>and</w:t>
      </w:r>
      <w:r>
        <w:noBreakHyphen/>
        <w:t>a</w:t>
      </w:r>
      <w:r>
        <w:noBreakHyphen/>
        <w:t>half times as much energy as predicted.</w:t>
      </w:r>
      <w:r>
        <w:rPr>
          <w:rStyle w:val="FootnoteReference"/>
        </w:rPr>
        <w:footnoteReference w:id="97"/>
      </w:r>
    </w:p>
    <w:p w:rsidR="00612FD3" w:rsidRDefault="00612FD3" w:rsidP="00612FD3">
      <w:pPr>
        <w:pStyle w:val="ListBullet"/>
        <w:numPr>
          <w:ilvl w:val="0"/>
          <w:numId w:val="36"/>
        </w:numPr>
      </w:pPr>
      <w:r>
        <w:t>A Canadian study undertook a detailed building performance evaluation (BPE) of 9 ‘high performance’ commercial buildings (including: five academic buildings at universities or colleges, three private or public office buildings, and one community building) and found that there were significant variations across buildings. Although actual EUI was higher than predicted in most buildings (7 out of 9), in all but one case, energy consumption was lower than a typical building of its type.</w:t>
      </w:r>
      <w:r>
        <w:rPr>
          <w:rStyle w:val="FootnoteReference"/>
        </w:rPr>
        <w:footnoteReference w:id="98"/>
      </w:r>
    </w:p>
    <w:p w:rsidR="00612FD3" w:rsidRDefault="00612FD3" w:rsidP="00612FD3">
      <w:pPr>
        <w:pStyle w:val="ListBullet"/>
        <w:numPr>
          <w:ilvl w:val="0"/>
          <w:numId w:val="36"/>
        </w:numPr>
      </w:pPr>
      <w:r>
        <w:t>The UK Government recently funded an evaluation of building performance for non</w:t>
      </w:r>
      <w:r>
        <w:noBreakHyphen/>
        <w:t>domestic (commercial) buildings. The evaluation covered 48 commercial buildings, including schools and higher education buildings, offices, community centres, supermarkets, hotels and restaurants, visitor centres, healthcare and libraries.</w:t>
      </w:r>
      <w:r>
        <w:rPr>
          <w:rStyle w:val="FootnoteReference"/>
        </w:rPr>
        <w:footnoteReference w:id="99"/>
      </w:r>
    </w:p>
    <w:p w:rsidR="00612FD3" w:rsidRDefault="00612FD3" w:rsidP="00612FD3">
      <w:pPr>
        <w:pStyle w:val="ListBullet2"/>
        <w:numPr>
          <w:ilvl w:val="1"/>
          <w:numId w:val="36"/>
        </w:numPr>
      </w:pPr>
      <w:r>
        <w:t>Only one building produced emissions similar to those predicted. The remaining buildings produced emissions between 1.8 and 10 times the predicted level, with the average carbon emissions 3.8 times higher than predicted.</w:t>
      </w:r>
    </w:p>
    <w:p w:rsidR="00612FD3" w:rsidRDefault="00612FD3" w:rsidP="00612FD3">
      <w:pPr>
        <w:pStyle w:val="ListBullet2"/>
        <w:numPr>
          <w:ilvl w:val="1"/>
          <w:numId w:val="36"/>
        </w:numPr>
      </w:pPr>
      <w:r>
        <w:t>That said, predicted emissions only account for loads that fall under Building Regulations (regulated loads), which includes heating, cooling, ventilation and lighting. Other types of energy uses, such as small power, IT and external lighting (unregulated loads) are excluded.</w:t>
      </w:r>
      <w:r>
        <w:rPr>
          <w:rStyle w:val="FootnoteReference"/>
        </w:rPr>
        <w:footnoteReference w:id="100"/>
      </w:r>
      <w:r>
        <w:t xml:space="preserve"> The exclusion of unregulated loads from predictions accounts for some of the discrepancy.</w:t>
      </w:r>
    </w:p>
    <w:p w:rsidR="00612FD3" w:rsidRPr="00563FAA" w:rsidRDefault="00612FD3" w:rsidP="00612FD3">
      <w:pPr>
        <w:pStyle w:val="ListBullet"/>
        <w:numPr>
          <w:ilvl w:val="0"/>
          <w:numId w:val="36"/>
        </w:numPr>
      </w:pPr>
      <w:r>
        <w:t>According to the Carbon Trust</w:t>
      </w:r>
      <w:r>
        <w:rPr>
          <w:rStyle w:val="FootnoteReference"/>
        </w:rPr>
        <w:footnoteReference w:id="101"/>
      </w:r>
      <w:r>
        <w:rPr>
          <w:rFonts w:cs="Helvetica"/>
          <w:lang w:val="en"/>
        </w:rPr>
        <w:t>, evidence from 28 case studies found that 75 per cent of designs did not perform as well as expected.</w:t>
      </w:r>
      <w:r>
        <w:rPr>
          <w:rStyle w:val="FootnoteReference"/>
          <w:rFonts w:cs="Helvetica"/>
          <w:lang w:val="en"/>
        </w:rPr>
        <w:footnoteReference w:id="102"/>
      </w:r>
      <w:r>
        <w:rPr>
          <w:rFonts w:cs="Helvetica"/>
          <w:lang w:val="en"/>
        </w:rPr>
        <w:t xml:space="preserve"> In one case, actual energy consumption in the first year of operation was five times the modelled estimate. On average, the gap was around 16 per cent.</w:t>
      </w:r>
    </w:p>
    <w:p w:rsidR="00612FD3" w:rsidRDefault="00612FD3" w:rsidP="00612FD3">
      <w:pPr>
        <w:pStyle w:val="Heading3"/>
        <w:numPr>
          <w:ilvl w:val="2"/>
          <w:numId w:val="5"/>
        </w:numPr>
      </w:pPr>
      <w:r>
        <w:t>Relative performance</w:t>
      </w:r>
    </w:p>
    <w:p w:rsidR="00612FD3" w:rsidRDefault="00612FD3" w:rsidP="00612FD3">
      <w:pPr>
        <w:pStyle w:val="BodyText"/>
      </w:pPr>
      <w:r>
        <w:t>As outlined above, it is generally more difficult to compare modelled and actual energy savings because the counterfactual (i.e. the building without energy efficient design features) cannot be observed.</w:t>
      </w:r>
    </w:p>
    <w:p w:rsidR="00612FD3" w:rsidRDefault="00612FD3" w:rsidP="00612FD3">
      <w:pPr>
        <w:pStyle w:val="BodyText"/>
      </w:pPr>
      <w:r>
        <w:t>One strand of the international literature compares energy consumption in buildings with some form of energy efficiency certification (such as LEED certification) with non</w:t>
      </w:r>
      <w:r>
        <w:noBreakHyphen/>
        <w:t>accredited buildings or some form average across the building stock. Similar to the AGBC’s Green Star system, the LEED certification scheme awards points for energy efficiency improvements relative to a hypothetical baseline model based on a minimum standard. Although these studies mostly focus on assessing the performance of certified ‘green buildings’ relative to other buildings, this nevertheless provides some insights into the accuracy of energy modelling.</w:t>
      </w:r>
    </w:p>
    <w:p w:rsidR="00612FD3" w:rsidRDefault="00612FD3" w:rsidP="00612FD3">
      <w:pPr>
        <w:pStyle w:val="BodyText"/>
      </w:pPr>
      <w:r>
        <w:t>The Frankel and Turner (2008a) study referred to above provides some insights into relative savings, finding that the broad conclusions in relation to relative performance was broadly similar to those for absolute performance.</w:t>
      </w:r>
    </w:p>
    <w:p w:rsidR="00612FD3" w:rsidRDefault="00612FD3" w:rsidP="00612FD3">
      <w:pPr>
        <w:pStyle w:val="ListBullet"/>
        <w:numPr>
          <w:ilvl w:val="0"/>
          <w:numId w:val="36"/>
        </w:numPr>
      </w:pPr>
      <w:r>
        <w:t>In particular, there was significant variations across buildings, with 25 per cent of buildings achieving savings well above predicted outcomes and 21 per cent estimated to perform worse than the code baseline.</w:t>
      </w:r>
      <w:r>
        <w:rPr>
          <w:rStyle w:val="FootnoteReference"/>
        </w:rPr>
        <w:footnoteReference w:id="103"/>
      </w:r>
    </w:p>
    <w:p w:rsidR="00612FD3" w:rsidRDefault="00612FD3" w:rsidP="00612FD3">
      <w:pPr>
        <w:pStyle w:val="ListBullet"/>
        <w:numPr>
          <w:ilvl w:val="0"/>
          <w:numId w:val="36"/>
        </w:numPr>
      </w:pPr>
      <w:r>
        <w:t>The study also notes a lack of correlation between measured Energy Use Intensity (EUI) and initial proposed EUI. Furthermore, projects with more aggressive energy performance goals generate overly optimistic predictions of actual energy use.</w:t>
      </w:r>
      <w:r>
        <w:rPr>
          <w:rStyle w:val="FootnoteReference"/>
        </w:rPr>
        <w:footnoteReference w:id="104"/>
      </w:r>
      <w:r>
        <w:t xml:space="preserve"> This suggests that predicted energy savings may not be achieved in practice.</w:t>
      </w:r>
    </w:p>
    <w:p w:rsidR="00612FD3" w:rsidRDefault="00612FD3" w:rsidP="00612FD3">
      <w:pPr>
        <w:pStyle w:val="BodyText"/>
      </w:pPr>
      <w:r>
        <w:t>Another study by Frankel and Turner (2008b) compared the actual building performance of a sample of 121 LEED certified buildings with a range of benchmarks, including EUI relative to national average, Energy Star ratings and energy use levels relative to code. The study found that the performance of LEED certified buildings was around 25</w:t>
      </w:r>
      <w:r>
        <w:noBreakHyphen/>
        <w:t>30 per cent better than the benchmarks. This was broadly in line with predictions, although there was wide variation within the individual results.</w:t>
      </w:r>
      <w:r>
        <w:rPr>
          <w:rStyle w:val="FootnoteReference"/>
        </w:rPr>
        <w:footnoteReference w:id="105"/>
      </w:r>
    </w:p>
    <w:p w:rsidR="00612FD3" w:rsidRDefault="00612FD3" w:rsidP="00612FD3">
      <w:pPr>
        <w:pStyle w:val="BodyText"/>
      </w:pPr>
      <w:r>
        <w:t>However, this study was criticised for its lack of statistical analysis and for comparing the median of the sample of LEED certified buildings with the mean across the national building stock.</w:t>
      </w:r>
      <w:r>
        <w:rPr>
          <w:rStyle w:val="FootnoteReference"/>
        </w:rPr>
        <w:footnoteReference w:id="106"/>
      </w:r>
    </w:p>
    <w:p w:rsidR="00612FD3" w:rsidRDefault="00612FD3" w:rsidP="00612FD3">
      <w:pPr>
        <w:pStyle w:val="BodyText"/>
      </w:pPr>
      <w:r>
        <w:t>Another study of 25 buildings (including 6 college/university buildings, 10 multifamily residential buildings</w:t>
      </w:r>
      <w:r>
        <w:rPr>
          <w:rStyle w:val="FootnoteReference"/>
        </w:rPr>
        <w:footnoteReference w:id="107"/>
      </w:r>
      <w:r>
        <w:t xml:space="preserve"> and 9 office buildings) determined energy savings using the as</w:t>
      </w:r>
      <w:r>
        <w:noBreakHyphen/>
        <w:t>designed building model calibrated to actual energy consumption to estimate gross energy consumption of the baseline building. This was then compared to actual energy consumption.</w:t>
      </w:r>
      <w:r>
        <w:rPr>
          <w:rStyle w:val="FootnoteReference"/>
        </w:rPr>
        <w:footnoteReference w:id="108"/>
      </w:r>
      <w:r>
        <w:t xml:space="preserve"> This study found that on average (weighted by gross square footage), around 90 per cent of predicted savings were realised.</w:t>
      </w:r>
      <w:r>
        <w:rPr>
          <w:rStyle w:val="FootnoteReference"/>
        </w:rPr>
        <w:footnoteReference w:id="109"/>
      </w:r>
      <w:r>
        <w:t xml:space="preserve"> One limitation of this study is it relied on modelled estimates of energy consumption under alternative designs, albeit estimates that were calibrated to actual outcomes.</w:t>
      </w:r>
    </w:p>
    <w:p w:rsidR="00612FD3" w:rsidRDefault="00612FD3" w:rsidP="00612FD3">
      <w:pPr>
        <w:pStyle w:val="Heading2"/>
        <w:numPr>
          <w:ilvl w:val="1"/>
          <w:numId w:val="5"/>
        </w:numPr>
        <w:rPr>
          <w:lang w:bidi="fa-IR"/>
        </w:rPr>
      </w:pPr>
      <w:bookmarkStart w:id="5128" w:name="_Toc499847017"/>
      <w:bookmarkStart w:id="5129" w:name="_Toc505120613"/>
      <w:bookmarkStart w:id="5130" w:name="_Toc507523770"/>
      <w:bookmarkStart w:id="5131" w:name="_Toc509220813"/>
      <w:bookmarkStart w:id="5132" w:name="_Toc529869875"/>
      <w:bookmarkStart w:id="5133" w:name="_Toc530748593"/>
      <w:r>
        <w:rPr>
          <w:lang w:bidi="fa-IR"/>
        </w:rPr>
        <w:t>Australian evidence</w:t>
      </w:r>
      <w:bookmarkEnd w:id="5128"/>
      <w:bookmarkEnd w:id="5129"/>
      <w:bookmarkEnd w:id="5130"/>
      <w:bookmarkEnd w:id="5131"/>
      <w:bookmarkEnd w:id="5132"/>
      <w:bookmarkEnd w:id="5133"/>
    </w:p>
    <w:p w:rsidR="00612FD3" w:rsidRDefault="00612FD3" w:rsidP="00612FD3">
      <w:pPr>
        <w:pStyle w:val="BodyText"/>
        <w:rPr>
          <w:lang w:eastAsia="en-US"/>
        </w:rPr>
      </w:pPr>
      <w:r>
        <w:rPr>
          <w:lang w:eastAsia="en-US"/>
        </w:rPr>
        <w:t xml:space="preserve">There are few Australian studies comparing predicted and actual outcomes. The (previous) Department of Climate Change and Energy Efficiency commissioned a quantitative assessment of energy saving from building energy efficiency measures. However, for the energy performance requirements in the BCA, this study relied on the </w:t>
      </w:r>
      <w:r w:rsidRPr="006F0F4C">
        <w:rPr>
          <w:i/>
          <w:lang w:eastAsia="en-US"/>
        </w:rPr>
        <w:t>ex</w:t>
      </w:r>
      <w:r w:rsidRPr="006F0F4C">
        <w:rPr>
          <w:i/>
          <w:lang w:eastAsia="en-US"/>
        </w:rPr>
        <w:noBreakHyphen/>
        <w:t>ante</w:t>
      </w:r>
      <w:r>
        <w:rPr>
          <w:lang w:eastAsia="en-US"/>
        </w:rPr>
        <w:t xml:space="preserve"> modelled estimates from the relevant RISs, rather than an analysis of actual savings.</w:t>
      </w:r>
      <w:r>
        <w:rPr>
          <w:rStyle w:val="FootnoteReference"/>
          <w:lang w:eastAsia="en-US"/>
        </w:rPr>
        <w:footnoteReference w:id="110"/>
      </w:r>
    </w:p>
    <w:p w:rsidR="00612FD3" w:rsidRDefault="00612FD3" w:rsidP="00612FD3">
      <w:pPr>
        <w:pStyle w:val="BodyText"/>
        <w:rPr>
          <w:lang w:eastAsia="en-US"/>
        </w:rPr>
      </w:pPr>
      <w:r>
        <w:rPr>
          <w:lang w:eastAsia="en-US"/>
        </w:rPr>
        <w:t>Based on the (albeit relatively limited) evidence available, we find that:</w:t>
      </w:r>
    </w:p>
    <w:p w:rsidR="00612FD3" w:rsidRDefault="00612FD3" w:rsidP="00612FD3">
      <w:pPr>
        <w:pStyle w:val="ListBullet"/>
        <w:numPr>
          <w:ilvl w:val="0"/>
          <w:numId w:val="36"/>
        </w:numPr>
        <w:rPr>
          <w:lang w:eastAsia="en-US"/>
        </w:rPr>
      </w:pPr>
      <w:r>
        <w:rPr>
          <w:lang w:eastAsia="en-US"/>
        </w:rPr>
        <w:t>the relationship between modelled and actual performance is relatively weak;</w:t>
      </w:r>
    </w:p>
    <w:p w:rsidR="00612FD3" w:rsidRDefault="00612FD3" w:rsidP="00612FD3">
      <w:pPr>
        <w:pStyle w:val="ListBullet"/>
        <w:numPr>
          <w:ilvl w:val="0"/>
          <w:numId w:val="36"/>
        </w:numPr>
        <w:rPr>
          <w:lang w:eastAsia="en-US"/>
        </w:rPr>
      </w:pPr>
      <w:r>
        <w:rPr>
          <w:lang w:eastAsia="en-US"/>
        </w:rPr>
        <w:t>there is significant variation across buildings; and</w:t>
      </w:r>
    </w:p>
    <w:p w:rsidR="00612FD3" w:rsidRDefault="00612FD3" w:rsidP="00612FD3">
      <w:pPr>
        <w:pStyle w:val="ListBullet"/>
        <w:numPr>
          <w:ilvl w:val="0"/>
          <w:numId w:val="36"/>
        </w:numPr>
        <w:rPr>
          <w:lang w:eastAsia="en-US"/>
        </w:rPr>
      </w:pPr>
      <w:r>
        <w:rPr>
          <w:lang w:eastAsia="en-US"/>
        </w:rPr>
        <w:t>as low as only around half of modelled energy savings are achieved in practice.</w:t>
      </w:r>
    </w:p>
    <w:p w:rsidR="00612FD3" w:rsidRDefault="00612FD3" w:rsidP="00612FD3">
      <w:pPr>
        <w:pStyle w:val="BodyText"/>
        <w:rPr>
          <w:lang w:eastAsia="en-US"/>
        </w:rPr>
      </w:pPr>
      <w:r>
        <w:rPr>
          <w:lang w:eastAsia="en-US"/>
        </w:rPr>
        <w:t>These findings are broadly consistent with some findings in the international literature (see above). In particular:</w:t>
      </w:r>
    </w:p>
    <w:p w:rsidR="00612FD3" w:rsidRDefault="00612FD3" w:rsidP="00612FD3">
      <w:pPr>
        <w:pStyle w:val="ListBullet"/>
        <w:numPr>
          <w:ilvl w:val="0"/>
          <w:numId w:val="36"/>
        </w:numPr>
        <w:rPr>
          <w:lang w:eastAsia="en-US"/>
        </w:rPr>
      </w:pPr>
      <w:r>
        <w:rPr>
          <w:lang w:eastAsia="en-US"/>
        </w:rPr>
        <w:t>a number of studies from the UK and US found that modelled outcomes tend to understate actual outcomes in absolute terms and there is significant variation in performance relative to predictions across buildings;</w:t>
      </w:r>
      <w:r>
        <w:rPr>
          <w:rStyle w:val="FootnoteReference"/>
          <w:lang w:eastAsia="en-US"/>
        </w:rPr>
        <w:footnoteReference w:id="111"/>
      </w:r>
    </w:p>
    <w:p w:rsidR="00612FD3" w:rsidRDefault="00612FD3" w:rsidP="00612FD3">
      <w:pPr>
        <w:pStyle w:val="ListBullet"/>
        <w:numPr>
          <w:ilvl w:val="0"/>
          <w:numId w:val="36"/>
        </w:numPr>
        <w:rPr>
          <w:lang w:eastAsia="en-US"/>
        </w:rPr>
      </w:pPr>
      <w:r>
        <w:rPr>
          <w:lang w:eastAsia="en-US"/>
        </w:rPr>
        <w:t xml:space="preserve">Frankel and Turner (2008a) also found that </w:t>
      </w:r>
      <w:r>
        <w:t>projects with more aggressive energy performance goals generate overly optimistic predictions of actual energy use, implying that modelled energy savings may not be achieved in practice.</w:t>
      </w:r>
      <w:r>
        <w:rPr>
          <w:rStyle w:val="FootnoteReference"/>
        </w:rPr>
        <w:footnoteReference w:id="112"/>
      </w:r>
    </w:p>
    <w:p w:rsidR="00612FD3" w:rsidRDefault="00612FD3" w:rsidP="00612FD3">
      <w:pPr>
        <w:pStyle w:val="Heading3"/>
        <w:numPr>
          <w:ilvl w:val="2"/>
          <w:numId w:val="5"/>
        </w:numPr>
        <w:rPr>
          <w:lang w:bidi="fa-IR"/>
        </w:rPr>
      </w:pPr>
      <w:r>
        <w:rPr>
          <w:lang w:eastAsia="en-US"/>
        </w:rPr>
        <w:t>Green Star data</w:t>
      </w:r>
    </w:p>
    <w:p w:rsidR="00612FD3" w:rsidRDefault="00612FD3" w:rsidP="00612FD3">
      <w:pPr>
        <w:pStyle w:val="BodyText"/>
        <w:rPr>
          <w:lang w:bidi="fa-IR"/>
        </w:rPr>
      </w:pPr>
      <w:r>
        <w:rPr>
          <w:lang w:bidi="fa-IR"/>
        </w:rPr>
        <w:t>The only Australian study identified that compares modelled with actual outcomes was prepared by the Green Building Council of Australia (GBCA) using a sample of 70 office buildings for which relevant data were available.</w:t>
      </w:r>
      <w:r>
        <w:rPr>
          <w:rStyle w:val="FootnoteReference"/>
          <w:lang w:bidi="fa-IR"/>
        </w:rPr>
        <w:footnoteReference w:id="113"/>
      </w:r>
      <w:r>
        <w:rPr>
          <w:lang w:bidi="fa-IR"/>
        </w:rPr>
        <w:t xml:space="preserve"> The GBCA compared:</w:t>
      </w:r>
    </w:p>
    <w:p w:rsidR="00612FD3" w:rsidRDefault="00612FD3" w:rsidP="00612FD3">
      <w:pPr>
        <w:pStyle w:val="ListBullet"/>
        <w:numPr>
          <w:ilvl w:val="0"/>
          <w:numId w:val="36"/>
        </w:numPr>
        <w:rPr>
          <w:lang w:bidi="fa-IR"/>
        </w:rPr>
      </w:pPr>
      <w:r>
        <w:rPr>
          <w:lang w:bidi="fa-IR"/>
        </w:rPr>
        <w:t>predicted greenhouse gas emissions (in levels, rather than savings) available from Green Star certification records (in terms of both predicted ‘normalised emissions’ in KgCO</w:t>
      </w:r>
      <w:r w:rsidRPr="006B05CE">
        <w:rPr>
          <w:vertAlign w:val="subscript"/>
          <w:lang w:bidi="fa-IR"/>
        </w:rPr>
        <w:t>2</w:t>
      </w:r>
      <w:r w:rsidRPr="006F0F4C">
        <w:rPr>
          <w:lang w:bidi="fa-IR"/>
        </w:rPr>
        <w:noBreakHyphen/>
        <w:t>e</w:t>
      </w:r>
      <w:r>
        <w:rPr>
          <w:lang w:bidi="fa-IR"/>
        </w:rPr>
        <w:t xml:space="preserve"> and predicted NABERS Energy stars); with</w:t>
      </w:r>
    </w:p>
    <w:p w:rsidR="00612FD3" w:rsidRDefault="00612FD3" w:rsidP="00612FD3">
      <w:pPr>
        <w:pStyle w:val="ListBullet"/>
        <w:numPr>
          <w:ilvl w:val="0"/>
          <w:numId w:val="36"/>
        </w:numPr>
        <w:rPr>
          <w:lang w:bidi="fa-IR"/>
        </w:rPr>
      </w:pPr>
      <w:r>
        <w:rPr>
          <w:lang w:bidi="fa-IR"/>
        </w:rPr>
        <w:t>actual greenhouse gas emissions (also in levels) available from the NABERS Energy data base (also in terms of ‘benchmarking factor’ and actual NABERS Energy stars, both without GreenPower).</w:t>
      </w:r>
    </w:p>
    <w:p w:rsidR="00612FD3" w:rsidRDefault="00612FD3" w:rsidP="00612FD3">
      <w:pPr>
        <w:pStyle w:val="BodyText"/>
        <w:rPr>
          <w:lang w:bidi="fa-IR"/>
        </w:rPr>
      </w:pPr>
      <w:r>
        <w:rPr>
          <w:lang w:bidi="fa-IR"/>
        </w:rPr>
        <w:t>The study mostly focused on whether modelled star ratings were achieved in practice. The GBCA found that:</w:t>
      </w:r>
    </w:p>
    <w:p w:rsidR="00612FD3" w:rsidRDefault="00612FD3" w:rsidP="00612FD3">
      <w:pPr>
        <w:pStyle w:val="ListBullet"/>
        <w:numPr>
          <w:ilvl w:val="0"/>
          <w:numId w:val="36"/>
        </w:numPr>
        <w:rPr>
          <w:lang w:bidi="fa-IR"/>
        </w:rPr>
      </w:pPr>
      <w:r>
        <w:rPr>
          <w:lang w:bidi="fa-IR"/>
        </w:rPr>
        <w:t>57 per cent of buildings in the sample achieved the predicted star rating or better (including 19 per cent that performed better than predicted); and</w:t>
      </w:r>
    </w:p>
    <w:p w:rsidR="00612FD3" w:rsidRDefault="00612FD3" w:rsidP="00612FD3">
      <w:pPr>
        <w:pStyle w:val="ListBullet"/>
        <w:numPr>
          <w:ilvl w:val="0"/>
          <w:numId w:val="36"/>
        </w:numPr>
        <w:rPr>
          <w:lang w:bidi="fa-IR"/>
        </w:rPr>
      </w:pPr>
      <w:r>
        <w:rPr>
          <w:lang w:bidi="fa-IR"/>
        </w:rPr>
        <w:t>a further 26 per cent of buildings in the sample were within 1 star of the predicted outcomes.</w:t>
      </w:r>
      <w:r>
        <w:rPr>
          <w:rStyle w:val="FootnoteReference"/>
          <w:lang w:bidi="fa-IR"/>
        </w:rPr>
        <w:footnoteReference w:id="114"/>
      </w:r>
    </w:p>
    <w:p w:rsidR="00612FD3" w:rsidRDefault="00612FD3" w:rsidP="00612FD3">
      <w:pPr>
        <w:pStyle w:val="BodyText"/>
        <w:rPr>
          <w:lang w:bidi="fa-IR"/>
        </w:rPr>
      </w:pPr>
      <w:r>
        <w:rPr>
          <w:lang w:bidi="fa-IR"/>
        </w:rPr>
        <w:t>Using the same data, we assess the accuracy of predictions by regressing actual GHG emissions on predicted GHG emissions, based on 61 observations where both predicted and actual GHG emissions were reported. Given the emission factors are constant in each location, GHG emissions should be commensurate with energy consumption (unless there is a significant change in the energy mix).</w:t>
      </w:r>
    </w:p>
    <w:p w:rsidR="00612FD3" w:rsidRDefault="00612FD3" w:rsidP="00612FD3">
      <w:pPr>
        <w:pStyle w:val="BodyText"/>
        <w:rPr>
          <w:lang w:bidi="fa-IR"/>
        </w:rPr>
      </w:pPr>
      <w:r>
        <w:rPr>
          <w:lang w:bidi="fa-IR"/>
        </w:rPr>
        <w:t>Where predictions are perfectly accurate, each observation would fall on the red (y=x) line (chart </w:t>
      </w:r>
      <w:r>
        <w:rPr>
          <w:lang w:bidi="fa-IR"/>
        </w:rPr>
        <w:fldChar w:fldCharType="begin"/>
      </w:r>
      <w:r>
        <w:rPr>
          <w:lang w:bidi="fa-IR"/>
        </w:rPr>
        <w:instrText xml:space="preserve"> REF _Caption3521 </w:instrText>
      </w:r>
      <w:r>
        <w:rPr>
          <w:lang w:bidi="fa-IR"/>
        </w:rPr>
        <w:fldChar w:fldCharType="separate"/>
      </w:r>
      <w:r w:rsidR="006B79B8" w:rsidRPr="00D00F02">
        <w:rPr>
          <w:noProof/>
        </w:rPr>
        <w:t>D.1</w:t>
      </w:r>
      <w:r>
        <w:rPr>
          <w:lang w:bidi="fa-IR"/>
        </w:rPr>
        <w:fldChar w:fldCharType="end"/>
      </w:r>
      <w:r>
        <w:rPr>
          <w:lang w:bidi="fa-IR"/>
        </w:rPr>
        <w:t>). However, these data suggest that energy efficiency modelling does a relatively poor job of predicting actual outcomes.</w:t>
      </w:r>
    </w:p>
    <w:p w:rsidR="00612FD3" w:rsidRDefault="00612FD3" w:rsidP="00612FD3">
      <w:pPr>
        <w:pStyle w:val="ListBullet"/>
        <w:numPr>
          <w:ilvl w:val="0"/>
          <w:numId w:val="36"/>
        </w:numPr>
        <w:rPr>
          <w:lang w:bidi="fa-IR"/>
        </w:rPr>
      </w:pPr>
      <w:r>
        <w:rPr>
          <w:lang w:bidi="fa-IR"/>
        </w:rPr>
        <w:t>The relationship between predicted and actual GHG emissions is weak.</w:t>
      </w:r>
    </w:p>
    <w:p w:rsidR="00612FD3" w:rsidRDefault="00612FD3" w:rsidP="00612FD3">
      <w:pPr>
        <w:pStyle w:val="ListBullet2"/>
        <w:numPr>
          <w:ilvl w:val="1"/>
          <w:numId w:val="36"/>
        </w:numPr>
        <w:rPr>
          <w:lang w:bidi="fa-IR"/>
        </w:rPr>
      </w:pPr>
      <w:r>
        <w:rPr>
          <w:lang w:bidi="fa-IR"/>
        </w:rPr>
        <w:t xml:space="preserve">Although the line of best fit is upward sloping — implying that predicted greenhouse gas savings are associated with reduced greenhouse gas emissions in practice — this relationship is not statistically significant (formally, we cannot reject the hypothesis that the slope coefficient is equal to zero at </w:t>
      </w:r>
      <w:r w:rsidRPr="00167A8A">
        <w:rPr>
          <w:lang w:bidi="fa-IR"/>
        </w:rPr>
        <w:t xml:space="preserve">the </w:t>
      </w:r>
      <w:r w:rsidRPr="0045771B">
        <w:rPr>
          <w:lang w:bidi="fa-IR"/>
        </w:rPr>
        <w:t>90</w:t>
      </w:r>
      <w:r>
        <w:rPr>
          <w:lang w:bidi="fa-IR"/>
        </w:rPr>
        <w:t> per cent level of significance).</w:t>
      </w:r>
    </w:p>
    <w:p w:rsidR="00612FD3" w:rsidRDefault="00612FD3" w:rsidP="00612FD3">
      <w:pPr>
        <w:pStyle w:val="ListBullet2"/>
        <w:numPr>
          <w:ilvl w:val="1"/>
          <w:numId w:val="36"/>
        </w:numPr>
        <w:rPr>
          <w:lang w:bidi="fa-IR"/>
        </w:rPr>
      </w:pPr>
      <w:r>
        <w:rPr>
          <w:lang w:bidi="fa-IR"/>
        </w:rPr>
        <w:t>The coefficient of determination (R</w:t>
      </w:r>
      <w:r w:rsidRPr="00504914">
        <w:rPr>
          <w:vertAlign w:val="superscript"/>
          <w:lang w:bidi="fa-IR"/>
        </w:rPr>
        <w:t>2</w:t>
      </w:r>
      <w:r>
        <w:rPr>
          <w:lang w:bidi="fa-IR"/>
        </w:rPr>
        <w:t>) is low at around 0.03. This implies that the modelling can explain only around 3 per cent of the variance in actual GHG emissions.</w:t>
      </w:r>
    </w:p>
    <w:p w:rsidR="00612FD3" w:rsidRDefault="00612FD3" w:rsidP="00612FD3">
      <w:pPr>
        <w:pStyle w:val="ListBullet"/>
        <w:numPr>
          <w:ilvl w:val="0"/>
          <w:numId w:val="36"/>
        </w:numPr>
        <w:rPr>
          <w:lang w:bidi="fa-IR"/>
        </w:rPr>
      </w:pPr>
      <w:r>
        <w:rPr>
          <w:lang w:bidi="fa-IR"/>
        </w:rPr>
        <w:t xml:space="preserve">Also, these data generally do not support the proposition that modelled energy </w:t>
      </w:r>
      <w:r w:rsidRPr="002B3C0A">
        <w:rPr>
          <w:b/>
          <w:lang w:bidi="fa-IR"/>
        </w:rPr>
        <w:t>savings</w:t>
      </w:r>
      <w:r>
        <w:rPr>
          <w:lang w:bidi="fa-IR"/>
        </w:rPr>
        <w:t xml:space="preserve"> are achieved in practice.</w:t>
      </w:r>
    </w:p>
    <w:p w:rsidR="00612FD3" w:rsidRDefault="00612FD3" w:rsidP="00612FD3">
      <w:pPr>
        <w:pStyle w:val="ListBullet2"/>
        <w:numPr>
          <w:ilvl w:val="1"/>
          <w:numId w:val="36"/>
        </w:numPr>
        <w:rPr>
          <w:lang w:bidi="fa-IR"/>
        </w:rPr>
      </w:pPr>
      <w:r>
        <w:rPr>
          <w:lang w:bidi="fa-IR"/>
        </w:rPr>
        <w:t>This proposition would imply the line of best fit would have a slope close to 1 (albeit with an intercept greater than zero).</w:t>
      </w:r>
    </w:p>
    <w:p w:rsidR="00612FD3" w:rsidRDefault="00612FD3" w:rsidP="00612FD3">
      <w:pPr>
        <w:pStyle w:val="ListBullet2"/>
        <w:numPr>
          <w:ilvl w:val="1"/>
          <w:numId w:val="36"/>
        </w:numPr>
        <w:rPr>
          <w:lang w:bidi="fa-IR"/>
        </w:rPr>
      </w:pPr>
      <w:r>
        <w:rPr>
          <w:lang w:bidi="fa-IR"/>
        </w:rPr>
        <w:t>However, the slope coefficient for the line of best fit (i.e. the grey line in chart </w:t>
      </w:r>
      <w:r>
        <w:rPr>
          <w:lang w:bidi="fa-IR"/>
        </w:rPr>
        <w:fldChar w:fldCharType="begin"/>
      </w:r>
      <w:r>
        <w:rPr>
          <w:lang w:bidi="fa-IR"/>
        </w:rPr>
        <w:instrText xml:space="preserve"> REF _Caption1523 </w:instrText>
      </w:r>
      <w:r>
        <w:rPr>
          <w:lang w:bidi="fa-IR"/>
        </w:rPr>
        <w:fldChar w:fldCharType="separate"/>
      </w:r>
      <w:r w:rsidR="006B79B8" w:rsidRPr="00D00F02">
        <w:rPr>
          <w:noProof/>
        </w:rPr>
        <w:t>D.1</w:t>
      </w:r>
      <w:r>
        <w:rPr>
          <w:lang w:bidi="fa-IR"/>
        </w:rPr>
        <w:fldChar w:fldCharType="end"/>
      </w:r>
      <w:r>
        <w:rPr>
          <w:lang w:bidi="fa-IR"/>
        </w:rPr>
        <w:t>) is 0.49, suggesting that as low as only around half of modelled energy savings are achieved in practice.</w:t>
      </w:r>
    </w:p>
    <w:p w:rsidR="00612FD3" w:rsidRDefault="00612FD3" w:rsidP="00612FD3">
      <w:pPr>
        <w:pStyle w:val="ListBullet2"/>
        <w:numPr>
          <w:ilvl w:val="1"/>
          <w:numId w:val="36"/>
        </w:numPr>
        <w:rPr>
          <w:lang w:bidi="fa-IR"/>
        </w:rPr>
      </w:pPr>
      <w:r>
        <w:rPr>
          <w:lang w:bidi="fa-IR"/>
        </w:rPr>
        <w:t>That said, the hypothesis that the slope coefficient is equal to 1 cannot be formally rejected due to the high standard error. The 95 per cent confidence interval for the slope coefficient is between -0.17 and 1.16.</w:t>
      </w:r>
    </w:p>
    <w:p w:rsidR="00612FD3" w:rsidRPr="00D00F02" w:rsidRDefault="00612FD3" w:rsidP="00612FD3">
      <w:pPr>
        <w:pStyle w:val="Caption"/>
        <w:numPr>
          <w:ilvl w:val="0"/>
          <w:numId w:val="7"/>
        </w:numPr>
      </w:pPr>
      <w:r w:rsidRPr="00D00F02">
        <w:fldChar w:fldCharType="begin"/>
      </w:r>
      <w:r w:rsidRPr="00D00F02">
        <w:instrText xml:space="preserve"> IF 1 = 1 "</w:instrText>
      </w:r>
      <w:r w:rsidRPr="00D00F02">
        <w:fldChar w:fldCharType="begin"/>
      </w:r>
      <w:r w:rsidRPr="00D00F02">
        <w:instrText xml:space="preserve"> IF </w:instrText>
      </w:r>
      <w:r w:rsidRPr="00D00F02">
        <w:rPr>
          <w:noProof/>
        </w:rPr>
        <w:fldChar w:fldCharType="begin"/>
      </w:r>
      <w:r w:rsidRPr="00D00F02">
        <w:rPr>
          <w:noProof/>
        </w:rPr>
        <w:instrText xml:space="preserve"> STYLEREF "Heading 6" \l \n </w:instrText>
      </w:r>
      <w:r w:rsidRPr="00D00F02">
        <w:rPr>
          <w:noProof/>
        </w:rPr>
        <w:fldChar w:fldCharType="separate"/>
      </w:r>
      <w:r w:rsidR="00B833F1">
        <w:rPr>
          <w:noProof/>
        </w:rPr>
        <w:instrText>D</w:instrText>
      </w:r>
      <w:r w:rsidRPr="00D00F02">
        <w:rPr>
          <w:noProof/>
        </w:rPr>
        <w:fldChar w:fldCharType="end"/>
      </w:r>
      <w:r w:rsidRPr="00D00F02">
        <w:instrText xml:space="preserve"> = 0 "</w:instrText>
      </w:r>
      <w:r w:rsidRPr="00D00F02">
        <w:fldChar w:fldCharType="begin"/>
      </w:r>
      <w:r w:rsidRPr="00D00F02">
        <w:instrText xml:space="preserve"> IF </w:instrText>
      </w:r>
      <w:r w:rsidRPr="00D00F02">
        <w:fldChar w:fldCharType="begin"/>
      </w:r>
      <w:r w:rsidRPr="00D00F02">
        <w:instrText xml:space="preserve"> STYLEREF "Heading 1" \l \n </w:instrText>
      </w:r>
      <w:r w:rsidRPr="00D00F02">
        <w:fldChar w:fldCharType="separate"/>
      </w:r>
      <w:r w:rsidRPr="00D00F02">
        <w:rPr>
          <w:b/>
          <w:bCs/>
          <w:noProof/>
          <w:lang w:val="en-US"/>
        </w:rPr>
        <w:instrText>Error! No text of specified style in document.</w:instrText>
      </w:r>
      <w:r w:rsidRPr="00D00F02">
        <w:rPr>
          <w:noProof/>
        </w:rPr>
        <w:fldChar w:fldCharType="end"/>
      </w:r>
      <w:r w:rsidRPr="00D00F02">
        <w:instrText xml:space="preserve"> = 0 "" "</w:instrText>
      </w:r>
      <w:r w:rsidRPr="00D00F02">
        <w:fldChar w:fldCharType="begin"/>
      </w:r>
      <w:r w:rsidRPr="00D00F02">
        <w:instrText xml:space="preserve"> STYLEREF "Heading 1" \l \n </w:instrText>
      </w:r>
      <w:r w:rsidRPr="00D00F02">
        <w:fldChar w:fldCharType="separate"/>
      </w:r>
      <w:r w:rsidRPr="00D00F02">
        <w:rPr>
          <w:b/>
          <w:bCs/>
          <w:noProof/>
          <w:lang w:val="en-US"/>
        </w:rPr>
        <w:instrText>Error! No text of specified style in document.</w:instrText>
      </w:r>
      <w:r w:rsidRPr="00D00F02">
        <w:rPr>
          <w:noProof/>
        </w:rPr>
        <w:fldChar w:fldCharType="end"/>
      </w:r>
      <w:r w:rsidRPr="00D00F02">
        <w:instrText xml:space="preserve">." </w:instrText>
      </w:r>
      <w:r w:rsidRPr="00D00F02">
        <w:fldChar w:fldCharType="separate"/>
      </w:r>
      <w:r w:rsidRPr="00D00F02">
        <w:rPr>
          <w:b/>
          <w:bCs/>
          <w:noProof/>
          <w:lang w:val="en-US"/>
        </w:rPr>
        <w:instrText>Error! No text of specified style in document.</w:instrText>
      </w:r>
      <w:r w:rsidRPr="00D00F02">
        <w:rPr>
          <w:noProof/>
        </w:rPr>
        <w:instrText>.</w:instrText>
      </w:r>
      <w:r w:rsidRPr="00D00F02">
        <w:fldChar w:fldCharType="end"/>
      </w:r>
      <w:r w:rsidRPr="00D00F02">
        <w:instrText>" "</w:instrText>
      </w:r>
      <w:r w:rsidRPr="00D00F02">
        <w:rPr>
          <w:noProof/>
        </w:rPr>
        <w:fldChar w:fldCharType="begin"/>
      </w:r>
      <w:r w:rsidRPr="00D00F02">
        <w:rPr>
          <w:noProof/>
        </w:rPr>
        <w:instrText xml:space="preserve"> STYLEREF "Heading 6" \l \n </w:instrText>
      </w:r>
      <w:r w:rsidRPr="00D00F02">
        <w:rPr>
          <w:noProof/>
        </w:rPr>
        <w:fldChar w:fldCharType="separate"/>
      </w:r>
      <w:r w:rsidR="00B833F1">
        <w:rPr>
          <w:noProof/>
        </w:rPr>
        <w:instrText>D</w:instrText>
      </w:r>
      <w:r w:rsidRPr="00D00F02">
        <w:rPr>
          <w:noProof/>
        </w:rPr>
        <w:fldChar w:fldCharType="end"/>
      </w:r>
      <w:r w:rsidRPr="00D00F02">
        <w:instrText xml:space="preserve">." </w:instrText>
      </w:r>
      <w:r w:rsidRPr="00D00F02">
        <w:fldChar w:fldCharType="separate"/>
      </w:r>
      <w:r w:rsidR="00B833F1">
        <w:rPr>
          <w:noProof/>
        </w:rPr>
        <w:instrText>D</w:instrText>
      </w:r>
      <w:r w:rsidR="00B833F1" w:rsidRPr="00D00F02">
        <w:rPr>
          <w:noProof/>
        </w:rPr>
        <w:instrText>.</w:instrText>
      </w:r>
      <w:r w:rsidRPr="00D00F02">
        <w:fldChar w:fldCharType="end"/>
      </w:r>
      <w:r w:rsidRPr="00D00F02">
        <w:fldChar w:fldCharType="begin"/>
      </w:r>
      <w:r w:rsidRPr="00D00F02">
        <w:instrText xml:space="preserve"> SEQ Item \* ARABIC \s </w:instrText>
      </w:r>
      <w:r w:rsidRPr="00D00F02">
        <w:fldChar w:fldCharType="begin"/>
      </w:r>
      <w:r w:rsidRPr="00D00F02">
        <w:instrText xml:space="preserve"> IF </w:instrText>
      </w:r>
      <w:r w:rsidRPr="00D00F02">
        <w:rPr>
          <w:noProof/>
        </w:rPr>
        <w:fldChar w:fldCharType="begin"/>
      </w:r>
      <w:r w:rsidRPr="00D00F02">
        <w:rPr>
          <w:noProof/>
        </w:rPr>
        <w:instrText xml:space="preserve"> STYLEREF "Heading 6" \l \n </w:instrText>
      </w:r>
      <w:r w:rsidRPr="00D00F02">
        <w:rPr>
          <w:noProof/>
        </w:rPr>
        <w:fldChar w:fldCharType="separate"/>
      </w:r>
      <w:r w:rsidR="00B833F1">
        <w:rPr>
          <w:noProof/>
        </w:rPr>
        <w:instrText>D</w:instrText>
      </w:r>
      <w:r w:rsidRPr="00D00F02">
        <w:rPr>
          <w:noProof/>
        </w:rPr>
        <w:fldChar w:fldCharType="end"/>
      </w:r>
      <w:r w:rsidRPr="00D00F02">
        <w:instrText xml:space="preserve"> = 0 "</w:instrText>
      </w:r>
      <w:r w:rsidRPr="00D00F02">
        <w:fldChar w:fldCharType="begin"/>
      </w:r>
      <w:r w:rsidRPr="00D00F02">
        <w:instrText xml:space="preserve"> IF </w:instrText>
      </w:r>
      <w:r w:rsidRPr="00D00F02">
        <w:fldChar w:fldCharType="begin"/>
      </w:r>
      <w:r w:rsidRPr="00D00F02">
        <w:instrText xml:space="preserve"> STYLEREF "Heading 1" \l \n </w:instrText>
      </w:r>
      <w:r w:rsidRPr="00D00F02">
        <w:fldChar w:fldCharType="separate"/>
      </w:r>
      <w:r w:rsidRPr="00D00F02">
        <w:rPr>
          <w:b/>
          <w:bCs/>
          <w:noProof/>
          <w:lang w:val="en-US"/>
        </w:rPr>
        <w:instrText>Error! No text of specified style in document.</w:instrText>
      </w:r>
      <w:r w:rsidRPr="00D00F02">
        <w:rPr>
          <w:noProof/>
        </w:rPr>
        <w:fldChar w:fldCharType="end"/>
      </w:r>
      <w:r w:rsidRPr="00D00F02">
        <w:instrText xml:space="preserve"> = 0 "" "1" </w:instrText>
      </w:r>
      <w:r w:rsidRPr="00D00F02">
        <w:fldChar w:fldCharType="separate"/>
      </w:r>
      <w:r w:rsidRPr="00D00F02">
        <w:rPr>
          <w:noProof/>
        </w:rPr>
        <w:instrText>1</w:instrText>
      </w:r>
      <w:r w:rsidRPr="00D00F02">
        <w:fldChar w:fldCharType="end"/>
      </w:r>
      <w:r w:rsidRPr="00D00F02">
        <w:instrText xml:space="preserve">" "6" </w:instrText>
      </w:r>
      <w:r w:rsidRPr="00D00F02">
        <w:fldChar w:fldCharType="separate"/>
      </w:r>
      <w:r w:rsidR="00B833F1" w:rsidRPr="00D00F02">
        <w:rPr>
          <w:noProof/>
        </w:rPr>
        <w:instrText>6</w:instrText>
      </w:r>
      <w:r w:rsidRPr="00D00F02">
        <w:fldChar w:fldCharType="end"/>
      </w:r>
      <w:r w:rsidRPr="00D00F02">
        <w:instrText xml:space="preserve"> </w:instrText>
      </w:r>
      <w:r w:rsidRPr="00D00F02">
        <w:fldChar w:fldCharType="separate"/>
      </w:r>
      <w:r w:rsidR="00B833F1">
        <w:rPr>
          <w:noProof/>
        </w:rPr>
        <w:instrText>1</w:instrText>
      </w:r>
      <w:r w:rsidRPr="00D00F02">
        <w:fldChar w:fldCharType="end"/>
      </w:r>
      <w:r w:rsidRPr="00D00F02">
        <w:instrText xml:space="preserve">" "" </w:instrText>
      </w:r>
      <w:r w:rsidRPr="00D00F02">
        <w:fldChar w:fldCharType="separate"/>
      </w:r>
      <w:bookmarkStart w:id="5134" w:name="_Caption1660"/>
      <w:bookmarkStart w:id="5135" w:name="_Caption9932"/>
      <w:bookmarkStart w:id="5136" w:name="_Caption5558"/>
      <w:bookmarkStart w:id="5137" w:name="_Caption2882"/>
      <w:bookmarkStart w:id="5138" w:name="_Caption5353"/>
      <w:bookmarkStart w:id="5139" w:name="_Caption0283"/>
      <w:bookmarkStart w:id="5140" w:name="_Caption2302"/>
      <w:bookmarkStart w:id="5141" w:name="_Caption5911"/>
      <w:bookmarkStart w:id="5142" w:name="_Caption1837"/>
      <w:bookmarkStart w:id="5143" w:name="_Caption5364"/>
      <w:bookmarkStart w:id="5144" w:name="_Caption4973"/>
      <w:bookmarkStart w:id="5145" w:name="_Caption5700"/>
      <w:bookmarkStart w:id="5146" w:name="_Caption6711"/>
      <w:bookmarkStart w:id="5147" w:name="_Caption7554"/>
      <w:bookmarkStart w:id="5148" w:name="_Caption2534"/>
      <w:bookmarkStart w:id="5149" w:name="_Caption6299"/>
      <w:bookmarkStart w:id="5150" w:name="_Caption4823"/>
      <w:bookmarkStart w:id="5151" w:name="_Caption8991"/>
      <w:bookmarkStart w:id="5152" w:name="_Caption1145"/>
      <w:bookmarkStart w:id="5153" w:name="_Caption9557"/>
      <w:bookmarkStart w:id="5154" w:name="_Caption2214"/>
      <w:bookmarkStart w:id="5155" w:name="_Caption7969"/>
      <w:bookmarkStart w:id="5156" w:name="_Caption4335"/>
      <w:bookmarkStart w:id="5157" w:name="_Caption4626"/>
      <w:bookmarkStart w:id="5158" w:name="_Caption1965"/>
      <w:bookmarkStart w:id="5159" w:name="_Caption1604"/>
      <w:bookmarkStart w:id="5160" w:name="_Caption0901"/>
      <w:bookmarkStart w:id="5161" w:name="_Caption8406"/>
      <w:bookmarkStart w:id="5162" w:name="_Caption6290"/>
      <w:bookmarkStart w:id="5163" w:name="_Caption1835"/>
      <w:bookmarkStart w:id="5164" w:name="_Caption1175"/>
      <w:bookmarkStart w:id="5165" w:name="_Caption6551"/>
      <w:bookmarkStart w:id="5166" w:name="_Caption7372"/>
      <w:bookmarkStart w:id="5167" w:name="_Caption1340"/>
      <w:bookmarkStart w:id="5168" w:name="_Caption2202"/>
      <w:bookmarkStart w:id="5169" w:name="_Caption0120"/>
      <w:bookmarkStart w:id="5170" w:name="_Caption9930"/>
      <w:bookmarkStart w:id="5171" w:name="_Caption5785"/>
      <w:bookmarkStart w:id="5172" w:name="_Caption8267"/>
      <w:bookmarkStart w:id="5173" w:name="_Caption0105"/>
      <w:bookmarkStart w:id="5174" w:name="_Caption7280"/>
      <w:bookmarkStart w:id="5175" w:name="_Caption9578"/>
      <w:bookmarkStart w:id="5176" w:name="_Caption5087"/>
      <w:bookmarkStart w:id="5177" w:name="_Caption3619"/>
      <w:bookmarkStart w:id="5178" w:name="_Caption2002"/>
      <w:bookmarkStart w:id="5179" w:name="_Caption8870"/>
      <w:bookmarkStart w:id="5180" w:name="_Caption3256"/>
      <w:bookmarkStart w:id="5181" w:name="_Caption1095"/>
      <w:bookmarkStart w:id="5182" w:name="_Caption6553"/>
      <w:bookmarkStart w:id="5183" w:name="_Caption0316"/>
      <w:bookmarkStart w:id="5184" w:name="_Caption2628"/>
      <w:bookmarkStart w:id="5185" w:name="_Caption0383"/>
      <w:bookmarkStart w:id="5186" w:name="_Caption3109"/>
      <w:bookmarkStart w:id="5187" w:name="_Caption4252"/>
      <w:bookmarkStart w:id="5188" w:name="_Caption9574"/>
      <w:bookmarkStart w:id="5189" w:name="_Caption2937"/>
      <w:bookmarkStart w:id="5190" w:name="_Caption9015"/>
      <w:bookmarkStart w:id="5191" w:name="_Caption3823"/>
      <w:bookmarkStart w:id="5192" w:name="_Caption3616"/>
      <w:bookmarkStart w:id="5193" w:name="_Caption1763"/>
      <w:bookmarkStart w:id="5194" w:name="_Caption4514"/>
      <w:bookmarkStart w:id="5195" w:name="_Caption3521"/>
      <w:bookmarkStart w:id="5196" w:name="_Caption6049"/>
      <w:bookmarkStart w:id="5197" w:name="_Caption6117"/>
      <w:bookmarkStart w:id="5198" w:name="_Caption8664"/>
      <w:bookmarkStart w:id="5199" w:name="_Caption1523"/>
      <w:bookmarkStart w:id="5200" w:name="_Caption0745"/>
      <w:bookmarkStart w:id="5201" w:name="_Caption1669"/>
      <w:bookmarkStart w:id="5202" w:name="_Caption7426"/>
      <w:bookmarkStart w:id="5203" w:name="_Caption1662"/>
      <w:bookmarkStart w:id="5204" w:name="_Caption2714"/>
      <w:bookmarkStart w:id="5205" w:name="_Caption0124"/>
      <w:bookmarkStart w:id="5206" w:name="_Caption0132"/>
      <w:bookmarkStart w:id="5207" w:name="_Caption2404"/>
      <w:bookmarkStart w:id="5208" w:name="_Caption4268"/>
      <w:bookmarkStart w:id="5209" w:name="_Caption0844"/>
      <w:bookmarkStart w:id="5210" w:name="_Caption1092"/>
      <w:bookmarkStart w:id="5211" w:name="_Caption9888"/>
      <w:bookmarkStart w:id="5212" w:name="_Caption1856"/>
      <w:bookmarkStart w:id="5213" w:name="_Caption7977"/>
      <w:bookmarkStart w:id="5214" w:name="_Caption3343"/>
      <w:bookmarkStart w:id="5215" w:name="_Caption4797"/>
      <w:bookmarkStart w:id="5216" w:name="_Caption3614"/>
      <w:bookmarkStart w:id="5217" w:name="_Caption8246"/>
      <w:bookmarkStart w:id="5218" w:name="_Caption9225"/>
      <w:bookmarkStart w:id="5219" w:name="_Caption9627"/>
      <w:bookmarkStart w:id="5220" w:name="_Caption9585"/>
      <w:bookmarkStart w:id="5221" w:name="_Caption0675"/>
      <w:bookmarkStart w:id="5222" w:name="_Caption8166"/>
      <w:bookmarkStart w:id="5223" w:name="_Caption4762"/>
      <w:bookmarkStart w:id="5224" w:name="_Caption4597"/>
      <w:bookmarkStart w:id="5225" w:name="_Caption8469"/>
      <w:bookmarkStart w:id="5226" w:name="_Caption9733"/>
      <w:bookmarkStart w:id="5227" w:name="_Caption6900"/>
      <w:bookmarkStart w:id="5228" w:name="_Caption6856"/>
      <w:bookmarkStart w:id="5229" w:name="_Caption2977"/>
      <w:bookmarkStart w:id="5230" w:name="_Caption3849"/>
      <w:bookmarkStart w:id="5231" w:name="_Caption6304"/>
      <w:bookmarkStart w:id="5232" w:name="_Caption0438"/>
      <w:bookmarkStart w:id="5233" w:name="_Caption7085"/>
      <w:bookmarkStart w:id="5234" w:name="_Caption2092"/>
      <w:bookmarkStart w:id="5235" w:name="_Caption0415"/>
      <w:bookmarkStart w:id="5236" w:name="_Caption7794"/>
      <w:bookmarkStart w:id="5237" w:name="_Caption6415"/>
      <w:bookmarkStart w:id="5238" w:name="_Caption3978"/>
      <w:bookmarkStart w:id="5239" w:name="_Caption6493"/>
      <w:bookmarkStart w:id="5240" w:name="_Caption2037"/>
      <w:bookmarkStart w:id="5241" w:name="_Caption0832"/>
      <w:bookmarkStart w:id="5242" w:name="_Caption1324"/>
      <w:bookmarkStart w:id="5243" w:name="_Caption6851"/>
      <w:bookmarkStart w:id="5244" w:name="_Caption2532"/>
      <w:bookmarkStart w:id="5245" w:name="_Caption5650"/>
      <w:bookmarkStart w:id="5246" w:name="_Caption2275"/>
      <w:bookmarkStart w:id="5247" w:name="_Caption2539"/>
      <w:bookmarkStart w:id="5248" w:name="_Caption2217"/>
      <w:bookmarkStart w:id="5249" w:name="_Caption2026"/>
      <w:bookmarkStart w:id="5250" w:name="_Caption5090"/>
      <w:bookmarkStart w:id="5251" w:name="_Toc499847065"/>
      <w:bookmarkStart w:id="5252" w:name="_Toc505120671"/>
      <w:bookmarkStart w:id="5253" w:name="_Toc509220873"/>
      <w:bookmarkStart w:id="5254" w:name="_Toc529869975"/>
      <w:bookmarkStart w:id="5255" w:name="_Toc530748471"/>
      <w:r w:rsidR="00EA42ED">
        <w:rPr>
          <w:noProof/>
        </w:rPr>
        <w:t>D</w:t>
      </w:r>
      <w:r w:rsidR="00EA42ED" w:rsidRPr="00D00F02">
        <w:rPr>
          <w:noProof/>
        </w:rPr>
        <w:t>.</w:t>
      </w:r>
      <w:r w:rsidR="00EA42ED">
        <w:rPr>
          <w:noProof/>
        </w:rPr>
        <w:t>1</w:t>
      </w:r>
      <w:bookmarkStart w:id="5256" w:name="_Toc507523824"/>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r w:rsidRPr="00D00F02">
        <w:fldChar w:fldCharType="end"/>
      </w:r>
      <w:r w:rsidRPr="00D00F02">
        <w:tab/>
        <w:t>Relationship between predicted and actual GHG emissions</w:t>
      </w:r>
      <w:bookmarkEnd w:id="5251"/>
      <w:bookmarkEnd w:id="5252"/>
      <w:bookmarkEnd w:id="5253"/>
      <w:bookmarkEnd w:id="5254"/>
      <w:bookmarkEnd w:id="5255"/>
      <w:bookmarkEnd w:id="5256"/>
    </w:p>
    <w:p w:rsidR="00612FD3" w:rsidRDefault="00612FD3" w:rsidP="00612FD3">
      <w:pPr>
        <w:pStyle w:val="Source"/>
      </w:pPr>
      <w:r w:rsidRPr="003A0387">
        <w:rPr>
          <w:noProof/>
          <w:lang w:eastAsia="en-AU"/>
        </w:rPr>
        <w:drawing>
          <wp:inline distT="0" distB="0" distL="0" distR="0" wp14:anchorId="143F3730" wp14:editId="5834EC20">
            <wp:extent cx="5048250" cy="2552700"/>
            <wp:effectExtent l="0" t="0" r="0" b="0"/>
            <wp:docPr id="28" name="Picture 28" descr="The chart plots the actual emissions (the vertical axis) aginst the predicted greenhouse gas emissions (the horizontal axis). Most points are above the perfect prodiction line (red line, meaning predicted equals to actual emissions), meaning actual emissions are higher than predicted. As a results, the relationship is very weak - actual emissions reduction is only about half (0.49) of prediction reduction." title="Relationship between predicted and actual GHG e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7">
                      <a:extLst>
                        <a:ext uri="{28A0092B-C50C-407E-A947-70E740481C1C}">
                          <a14:useLocalDpi xmlns:a14="http://schemas.microsoft.com/office/drawing/2010/main" val="0"/>
                        </a:ext>
                      </a:extLst>
                    </a:blip>
                    <a:srcRect l="-960" r="-936" b="-3050"/>
                    <a:stretch/>
                  </pic:blipFill>
                  <pic:spPr bwMode="auto">
                    <a:xfrm>
                      <a:off x="0" y="0"/>
                      <a:ext cx="5048250" cy="2552700"/>
                    </a:xfrm>
                    <a:prstGeom prst="rect">
                      <a:avLst/>
                    </a:prstGeom>
                    <a:solidFill>
                      <a:schemeClr val="bg2"/>
                    </a:solidFill>
                    <a:ln>
                      <a:noFill/>
                    </a:ln>
                    <a:extLst>
                      <a:ext uri="{53640926-AAD7-44D8-BBD7-CCE9431645EC}">
                        <a14:shadowObscured xmlns:a14="http://schemas.microsoft.com/office/drawing/2010/main"/>
                      </a:ext>
                    </a:extLst>
                  </pic:spPr>
                </pic:pic>
              </a:graphicData>
            </a:graphic>
          </wp:inline>
        </w:drawing>
      </w:r>
      <w:r>
        <w:rPr>
          <w:i/>
        </w:rPr>
        <w:t>Data source</w:t>
      </w:r>
      <w:r w:rsidRPr="00A67576">
        <w:rPr>
          <w:i/>
        </w:rPr>
        <w:t>:</w:t>
      </w:r>
      <w:r>
        <w:t xml:space="preserve"> CIE based on data in Bell, H., Millagre, R. and Sanchez, C. 2013, </w:t>
      </w:r>
      <w:r w:rsidRPr="005F13AE">
        <w:rPr>
          <w:i/>
        </w:rPr>
        <w:t>Achieving the Green Dream: Predicted vs Actual</w:t>
      </w:r>
      <w:r>
        <w:t>, Green Building Council of Australia, August 2013, pp. 17</w:t>
      </w:r>
      <w:r>
        <w:noBreakHyphen/>
        <w:t>20.</w:t>
      </w:r>
      <w:r w:rsidRPr="00F776ED">
        <w:rPr>
          <w:noProof/>
          <w:lang w:eastAsia="en-AU"/>
        </w:rPr>
        <w:t xml:space="preserve"> </w:t>
      </w:r>
    </w:p>
    <w:p w:rsidR="00612FD3" w:rsidRDefault="00612FD3" w:rsidP="00612FD3">
      <w:pPr>
        <w:pStyle w:val="BodyText"/>
        <w:rPr>
          <w:lang w:eastAsia="en-US"/>
        </w:rPr>
      </w:pPr>
      <w:r>
        <w:rPr>
          <w:lang w:eastAsia="en-US"/>
        </w:rPr>
        <w:t>Discussions with the GBCA suggested that the performance of new buildings can improve as building management improves. It is therefore possible that actual performance moves closer to predictions over time. We understand that the GBCA are currently revisiting this study with a larger sample. This new study should provide some insights into whether the performance of Green Star rated buildings improved over time.</w:t>
      </w:r>
    </w:p>
    <w:p w:rsidR="00612FD3" w:rsidRDefault="00612FD3" w:rsidP="00612FD3">
      <w:pPr>
        <w:pStyle w:val="Heading4"/>
        <w:numPr>
          <w:ilvl w:val="3"/>
          <w:numId w:val="5"/>
        </w:numPr>
      </w:pPr>
      <w:r>
        <w:rPr>
          <w:lang w:eastAsia="en-US"/>
        </w:rPr>
        <w:t>Are these findings driven by outliers?</w:t>
      </w:r>
    </w:p>
    <w:p w:rsidR="00612FD3" w:rsidRDefault="00612FD3" w:rsidP="00612FD3">
      <w:pPr>
        <w:pStyle w:val="BodyText"/>
        <w:rPr>
          <w:lang w:eastAsia="en-US"/>
        </w:rPr>
      </w:pPr>
      <w:r>
        <w:rPr>
          <w:lang w:eastAsia="en-US"/>
        </w:rPr>
        <w:t>In chart </w:t>
      </w:r>
      <w:r>
        <w:rPr>
          <w:highlight w:val="yellow"/>
          <w:lang w:eastAsia="en-US"/>
        </w:rPr>
        <w:fldChar w:fldCharType="begin"/>
      </w:r>
      <w:r>
        <w:rPr>
          <w:lang w:eastAsia="en-US"/>
        </w:rPr>
        <w:instrText xml:space="preserve"> REF _Caption0745 </w:instrText>
      </w:r>
      <w:r>
        <w:rPr>
          <w:highlight w:val="yellow"/>
          <w:lang w:eastAsia="en-US"/>
        </w:rPr>
        <w:fldChar w:fldCharType="separate"/>
      </w:r>
      <w:r w:rsidR="006B79B8">
        <w:rPr>
          <w:noProof/>
        </w:rPr>
        <w:t>D</w:t>
      </w:r>
      <w:r w:rsidR="006B79B8" w:rsidRPr="00D00F02">
        <w:rPr>
          <w:noProof/>
        </w:rPr>
        <w:t>.</w:t>
      </w:r>
      <w:r w:rsidR="006B79B8">
        <w:rPr>
          <w:noProof/>
        </w:rPr>
        <w:t>1</w:t>
      </w:r>
      <w:r>
        <w:rPr>
          <w:highlight w:val="yellow"/>
          <w:lang w:eastAsia="en-US"/>
        </w:rPr>
        <w:fldChar w:fldCharType="end"/>
      </w:r>
      <w:r>
        <w:rPr>
          <w:lang w:eastAsia="en-US"/>
        </w:rPr>
        <w:t xml:space="preserve"> above, there are a number of obvious outliers where actual GHG emissions are significantly higher than predicted. To assess the extent the above findings are driven by these outliers, we exclude all observations where actual GHG emissions were more than 100 Kg CO</w:t>
      </w:r>
      <w:r w:rsidRPr="00F37514">
        <w:rPr>
          <w:vertAlign w:val="subscript"/>
          <w:lang w:eastAsia="en-US"/>
        </w:rPr>
        <w:t>2</w:t>
      </w:r>
      <w:r w:rsidRPr="006F0F4C">
        <w:rPr>
          <w:lang w:eastAsia="en-US"/>
        </w:rPr>
        <w:t>-e</w:t>
      </w:r>
      <w:r>
        <w:rPr>
          <w:lang w:eastAsia="en-US"/>
        </w:rPr>
        <w:t xml:space="preserve"> higher than predicted (5 observations, grey triangles in chart </w:t>
      </w:r>
      <w:r>
        <w:rPr>
          <w:lang w:eastAsia="en-US"/>
        </w:rPr>
        <w:fldChar w:fldCharType="begin"/>
      </w:r>
      <w:r>
        <w:rPr>
          <w:lang w:eastAsia="en-US"/>
        </w:rPr>
        <w:instrText xml:space="preserve"> REF _Caption7744 </w:instrText>
      </w:r>
      <w:r>
        <w:rPr>
          <w:lang w:eastAsia="en-US"/>
        </w:rPr>
        <w:fldChar w:fldCharType="separate"/>
      </w:r>
      <w:r w:rsidR="006B79B8" w:rsidRPr="00D00F02">
        <w:rPr>
          <w:noProof/>
        </w:rPr>
        <w:t>D.2</w:t>
      </w:r>
      <w:r>
        <w:rPr>
          <w:lang w:eastAsia="en-US"/>
        </w:rPr>
        <w:fldChar w:fldCharType="end"/>
      </w:r>
      <w:r>
        <w:rPr>
          <w:lang w:eastAsia="en-US"/>
        </w:rPr>
        <w:t>).</w:t>
      </w:r>
    </w:p>
    <w:p w:rsidR="00612FD3" w:rsidRDefault="00612FD3" w:rsidP="00612FD3">
      <w:pPr>
        <w:pStyle w:val="BodyText"/>
        <w:rPr>
          <w:lang w:eastAsia="en-US"/>
        </w:rPr>
      </w:pPr>
      <w:r>
        <w:rPr>
          <w:lang w:eastAsia="en-US"/>
        </w:rPr>
        <w:t>When the 5 outliers are excluded there is a significantly closer relationship between predicted and actual outcomes.</w:t>
      </w:r>
    </w:p>
    <w:p w:rsidR="00612FD3" w:rsidRDefault="00612FD3" w:rsidP="00612FD3">
      <w:pPr>
        <w:pStyle w:val="ListBullet"/>
        <w:numPr>
          <w:ilvl w:val="0"/>
          <w:numId w:val="36"/>
        </w:numPr>
        <w:rPr>
          <w:lang w:eastAsia="en-US"/>
        </w:rPr>
      </w:pPr>
      <w:r>
        <w:rPr>
          <w:lang w:eastAsia="en-US"/>
        </w:rPr>
        <w:t>When the outliers are excluded, the relationship between predicted and actual outcomes is statistically significant and the ‘fit’ improves (i.e. the R</w:t>
      </w:r>
      <w:r w:rsidRPr="00F37514">
        <w:rPr>
          <w:vertAlign w:val="superscript"/>
          <w:lang w:eastAsia="en-US"/>
        </w:rPr>
        <w:t>2</w:t>
      </w:r>
      <w:r>
        <w:rPr>
          <w:lang w:eastAsia="en-US"/>
        </w:rPr>
        <w:t xml:space="preserve"> increases to around 0.3, implying that modelling can explain around 30 per cent of the variance in actual GHG performance).</w:t>
      </w:r>
    </w:p>
    <w:p w:rsidR="00612FD3" w:rsidRDefault="00612FD3" w:rsidP="00612FD3">
      <w:pPr>
        <w:pStyle w:val="ListBullet"/>
        <w:numPr>
          <w:ilvl w:val="0"/>
          <w:numId w:val="36"/>
        </w:numPr>
        <w:rPr>
          <w:lang w:eastAsia="en-US"/>
        </w:rPr>
      </w:pPr>
      <w:r>
        <w:rPr>
          <w:lang w:eastAsia="en-US"/>
        </w:rPr>
        <w:t>The slope coefficient is around 0.75, implying that around 75 per cent of modelled energy savings are achieved in practice. The 95 per cent confidence interval is between 0.44 and 1.05.</w:t>
      </w:r>
    </w:p>
    <w:p w:rsidR="00612FD3" w:rsidRPr="00D00F02" w:rsidRDefault="00612FD3" w:rsidP="00612FD3">
      <w:pPr>
        <w:pStyle w:val="Caption"/>
        <w:numPr>
          <w:ilvl w:val="0"/>
          <w:numId w:val="7"/>
        </w:numPr>
      </w:pPr>
      <w:r w:rsidRPr="00D00F02">
        <w:fldChar w:fldCharType="begin"/>
      </w:r>
      <w:r w:rsidRPr="00D00F02">
        <w:instrText xml:space="preserve"> IF 1 = 1 "</w:instrText>
      </w:r>
      <w:r w:rsidRPr="00D00F02">
        <w:fldChar w:fldCharType="begin"/>
      </w:r>
      <w:r w:rsidRPr="00D00F02">
        <w:instrText xml:space="preserve"> IF </w:instrText>
      </w:r>
      <w:r w:rsidRPr="00D00F02">
        <w:rPr>
          <w:noProof/>
        </w:rPr>
        <w:fldChar w:fldCharType="begin"/>
      </w:r>
      <w:r w:rsidRPr="00D00F02">
        <w:rPr>
          <w:noProof/>
        </w:rPr>
        <w:instrText xml:space="preserve"> STYLEREF "Heading 6" \l \n </w:instrText>
      </w:r>
      <w:r w:rsidRPr="00D00F02">
        <w:rPr>
          <w:noProof/>
        </w:rPr>
        <w:fldChar w:fldCharType="separate"/>
      </w:r>
      <w:r w:rsidR="00B833F1">
        <w:rPr>
          <w:noProof/>
        </w:rPr>
        <w:instrText>D</w:instrText>
      </w:r>
      <w:r w:rsidRPr="00D00F02">
        <w:rPr>
          <w:noProof/>
        </w:rPr>
        <w:fldChar w:fldCharType="end"/>
      </w:r>
      <w:r w:rsidRPr="00D00F02">
        <w:instrText xml:space="preserve"> = 0 "</w:instrText>
      </w:r>
      <w:r w:rsidRPr="00D00F02">
        <w:fldChar w:fldCharType="begin"/>
      </w:r>
      <w:r w:rsidRPr="00D00F02">
        <w:instrText xml:space="preserve"> IF </w:instrText>
      </w:r>
      <w:r w:rsidRPr="00D00F02">
        <w:fldChar w:fldCharType="begin"/>
      </w:r>
      <w:r w:rsidRPr="00D00F02">
        <w:instrText xml:space="preserve"> STYLEREF "Heading 1" \l \n </w:instrText>
      </w:r>
      <w:r w:rsidRPr="00D00F02">
        <w:fldChar w:fldCharType="separate"/>
      </w:r>
      <w:r w:rsidRPr="00D00F02">
        <w:rPr>
          <w:b/>
          <w:bCs/>
          <w:noProof/>
          <w:lang w:val="en-US"/>
        </w:rPr>
        <w:instrText>Error! No text of specified style in document.</w:instrText>
      </w:r>
      <w:r w:rsidRPr="00D00F02">
        <w:rPr>
          <w:noProof/>
        </w:rPr>
        <w:fldChar w:fldCharType="end"/>
      </w:r>
      <w:r w:rsidRPr="00D00F02">
        <w:instrText xml:space="preserve"> = 0 "" "</w:instrText>
      </w:r>
      <w:r w:rsidRPr="00D00F02">
        <w:fldChar w:fldCharType="begin"/>
      </w:r>
      <w:r w:rsidRPr="00D00F02">
        <w:instrText xml:space="preserve"> STYLEREF "Heading 1" \l \n </w:instrText>
      </w:r>
      <w:r w:rsidRPr="00D00F02">
        <w:fldChar w:fldCharType="separate"/>
      </w:r>
      <w:r w:rsidRPr="00D00F02">
        <w:rPr>
          <w:b/>
          <w:bCs/>
          <w:noProof/>
          <w:lang w:val="en-US"/>
        </w:rPr>
        <w:instrText>Error! No text of specified style in document.</w:instrText>
      </w:r>
      <w:r w:rsidRPr="00D00F02">
        <w:rPr>
          <w:noProof/>
        </w:rPr>
        <w:fldChar w:fldCharType="end"/>
      </w:r>
      <w:r w:rsidRPr="00D00F02">
        <w:instrText xml:space="preserve">." </w:instrText>
      </w:r>
      <w:r w:rsidRPr="00D00F02">
        <w:fldChar w:fldCharType="separate"/>
      </w:r>
      <w:r w:rsidRPr="00D00F02">
        <w:rPr>
          <w:b/>
          <w:bCs/>
          <w:noProof/>
          <w:lang w:val="en-US"/>
        </w:rPr>
        <w:instrText>Error! No text of specified style in document.</w:instrText>
      </w:r>
      <w:r w:rsidRPr="00D00F02">
        <w:rPr>
          <w:noProof/>
        </w:rPr>
        <w:instrText>.</w:instrText>
      </w:r>
      <w:r w:rsidRPr="00D00F02">
        <w:fldChar w:fldCharType="end"/>
      </w:r>
      <w:r w:rsidRPr="00D00F02">
        <w:instrText>" "</w:instrText>
      </w:r>
      <w:r w:rsidRPr="00D00F02">
        <w:rPr>
          <w:noProof/>
        </w:rPr>
        <w:fldChar w:fldCharType="begin"/>
      </w:r>
      <w:r w:rsidRPr="00D00F02">
        <w:rPr>
          <w:noProof/>
        </w:rPr>
        <w:instrText xml:space="preserve"> STYLEREF "Heading 6" \l \n </w:instrText>
      </w:r>
      <w:r w:rsidRPr="00D00F02">
        <w:rPr>
          <w:noProof/>
        </w:rPr>
        <w:fldChar w:fldCharType="separate"/>
      </w:r>
      <w:r w:rsidR="00B833F1">
        <w:rPr>
          <w:noProof/>
        </w:rPr>
        <w:instrText>D</w:instrText>
      </w:r>
      <w:r w:rsidRPr="00D00F02">
        <w:rPr>
          <w:noProof/>
        </w:rPr>
        <w:fldChar w:fldCharType="end"/>
      </w:r>
      <w:r w:rsidRPr="00D00F02">
        <w:instrText xml:space="preserve">." </w:instrText>
      </w:r>
      <w:r w:rsidRPr="00D00F02">
        <w:fldChar w:fldCharType="separate"/>
      </w:r>
      <w:r w:rsidR="00B833F1">
        <w:rPr>
          <w:noProof/>
        </w:rPr>
        <w:instrText>D</w:instrText>
      </w:r>
      <w:r w:rsidR="00B833F1" w:rsidRPr="00D00F02">
        <w:rPr>
          <w:noProof/>
        </w:rPr>
        <w:instrText>.</w:instrText>
      </w:r>
      <w:r w:rsidRPr="00D00F02">
        <w:fldChar w:fldCharType="end"/>
      </w:r>
      <w:r w:rsidRPr="00D00F02">
        <w:instrText xml:space="preserve">2" "" </w:instrText>
      </w:r>
      <w:r w:rsidRPr="00D00F02">
        <w:fldChar w:fldCharType="separate"/>
      </w:r>
      <w:bookmarkStart w:id="5257" w:name="_Caption6828"/>
      <w:bookmarkStart w:id="5258" w:name="_Caption2190"/>
      <w:bookmarkStart w:id="5259" w:name="_Caption5319"/>
      <w:bookmarkStart w:id="5260" w:name="_Caption0838"/>
      <w:bookmarkStart w:id="5261" w:name="_Caption1349"/>
      <w:bookmarkStart w:id="5262" w:name="_Caption4729"/>
      <w:bookmarkStart w:id="5263" w:name="_Caption4372"/>
      <w:bookmarkStart w:id="5264" w:name="_Caption9222"/>
      <w:bookmarkStart w:id="5265" w:name="_Caption0571"/>
      <w:bookmarkStart w:id="5266" w:name="_Caption3588"/>
      <w:bookmarkStart w:id="5267" w:name="_Caption9658"/>
      <w:bookmarkStart w:id="5268" w:name="_Caption6904"/>
      <w:bookmarkStart w:id="5269" w:name="_Caption6659"/>
      <w:bookmarkStart w:id="5270" w:name="_Caption5031"/>
      <w:bookmarkStart w:id="5271" w:name="_Caption7768"/>
      <w:bookmarkStart w:id="5272" w:name="_Caption8649"/>
      <w:bookmarkStart w:id="5273" w:name="_Caption9962"/>
      <w:bookmarkStart w:id="5274" w:name="_Caption4158"/>
      <w:bookmarkStart w:id="5275" w:name="_Caption4578"/>
      <w:bookmarkStart w:id="5276" w:name="_Caption0172"/>
      <w:bookmarkStart w:id="5277" w:name="_Caption5230"/>
      <w:bookmarkStart w:id="5278" w:name="_Caption4058"/>
      <w:bookmarkStart w:id="5279" w:name="_Caption1786"/>
      <w:bookmarkStart w:id="5280" w:name="_Caption2596"/>
      <w:bookmarkStart w:id="5281" w:name="_Caption2672"/>
      <w:bookmarkStart w:id="5282" w:name="_Caption7652"/>
      <w:bookmarkStart w:id="5283" w:name="_Caption6989"/>
      <w:bookmarkStart w:id="5284" w:name="_Caption1850"/>
      <w:bookmarkStart w:id="5285" w:name="_Caption1952"/>
      <w:bookmarkStart w:id="5286" w:name="_Caption0060"/>
      <w:bookmarkStart w:id="5287" w:name="_Caption5381"/>
      <w:bookmarkStart w:id="5288" w:name="_Caption4189"/>
      <w:bookmarkStart w:id="5289" w:name="_Caption1671"/>
      <w:bookmarkStart w:id="5290" w:name="_Caption8686"/>
      <w:bookmarkStart w:id="5291" w:name="_Caption0041"/>
      <w:bookmarkStart w:id="5292" w:name="_Caption3577"/>
      <w:bookmarkStart w:id="5293" w:name="_Caption3401"/>
      <w:bookmarkStart w:id="5294" w:name="_Caption4711"/>
      <w:bookmarkStart w:id="5295" w:name="_Caption9758"/>
      <w:bookmarkStart w:id="5296" w:name="_Caption6008"/>
      <w:bookmarkStart w:id="5297" w:name="_Caption1968"/>
      <w:bookmarkStart w:id="5298" w:name="_Caption9194"/>
      <w:bookmarkStart w:id="5299" w:name="_Caption2489"/>
      <w:bookmarkStart w:id="5300" w:name="_Caption3631"/>
      <w:bookmarkStart w:id="5301" w:name="_Caption7018"/>
      <w:bookmarkStart w:id="5302" w:name="_Caption7279"/>
      <w:bookmarkStart w:id="5303" w:name="_Caption0378"/>
      <w:bookmarkStart w:id="5304" w:name="_Caption5441"/>
      <w:bookmarkStart w:id="5305" w:name="_Caption6428"/>
      <w:bookmarkStart w:id="5306" w:name="_Caption3747"/>
      <w:bookmarkStart w:id="5307" w:name="_Caption5732"/>
      <w:bookmarkStart w:id="5308" w:name="_Caption5626"/>
      <w:bookmarkStart w:id="5309" w:name="_Caption1054"/>
      <w:bookmarkStart w:id="5310" w:name="_Caption8509"/>
      <w:bookmarkStart w:id="5311" w:name="_Caption3372"/>
      <w:bookmarkStart w:id="5312" w:name="_Caption1109"/>
      <w:bookmarkStart w:id="5313" w:name="_Caption9376"/>
      <w:bookmarkStart w:id="5314" w:name="_Caption7744"/>
      <w:bookmarkStart w:id="5315" w:name="_Caption8963"/>
      <w:bookmarkStart w:id="5316" w:name="_Caption5351"/>
      <w:bookmarkStart w:id="5317" w:name="_Caption8342"/>
      <w:bookmarkStart w:id="5318" w:name="_Caption9634"/>
      <w:bookmarkStart w:id="5319" w:name="_Caption2415"/>
      <w:bookmarkStart w:id="5320" w:name="_Caption2329"/>
      <w:bookmarkStart w:id="5321" w:name="_Caption4718"/>
      <w:bookmarkStart w:id="5322" w:name="_Caption5152"/>
      <w:bookmarkStart w:id="5323" w:name="_Caption7246"/>
      <w:bookmarkStart w:id="5324" w:name="_Caption2216"/>
      <w:bookmarkStart w:id="5325" w:name="_Caption2103"/>
      <w:bookmarkStart w:id="5326" w:name="_Caption2861"/>
      <w:bookmarkStart w:id="5327" w:name="_Caption0536"/>
      <w:bookmarkStart w:id="5328" w:name="_Caption4814"/>
      <w:bookmarkStart w:id="5329" w:name="_Caption0884"/>
      <w:bookmarkStart w:id="5330" w:name="_Caption9756"/>
      <w:bookmarkStart w:id="5331" w:name="_Caption7518"/>
      <w:bookmarkStart w:id="5332" w:name="_Caption1858"/>
      <w:bookmarkStart w:id="5333" w:name="_Caption1308"/>
      <w:bookmarkStart w:id="5334" w:name="_Caption3610"/>
      <w:bookmarkStart w:id="5335" w:name="_Caption9901"/>
      <w:bookmarkStart w:id="5336" w:name="_Caption2839"/>
      <w:bookmarkStart w:id="5337" w:name="_Caption5840"/>
      <w:bookmarkStart w:id="5338" w:name="_Caption6433"/>
      <w:bookmarkStart w:id="5339" w:name="_Caption1371"/>
      <w:bookmarkStart w:id="5340" w:name="_Caption9399"/>
      <w:bookmarkStart w:id="5341" w:name="_Caption0635"/>
      <w:bookmarkStart w:id="5342" w:name="_Caption0171"/>
      <w:bookmarkStart w:id="5343" w:name="_Caption1474"/>
      <w:bookmarkStart w:id="5344" w:name="_Caption0492"/>
      <w:bookmarkStart w:id="5345" w:name="_Caption8261"/>
      <w:bookmarkStart w:id="5346" w:name="_Caption8750"/>
      <w:bookmarkStart w:id="5347" w:name="_Caption4803"/>
      <w:bookmarkStart w:id="5348" w:name="_Caption2791"/>
      <w:bookmarkStart w:id="5349" w:name="_Caption8706"/>
      <w:bookmarkStart w:id="5350" w:name="_Caption1074"/>
      <w:bookmarkStart w:id="5351" w:name="_Caption7676"/>
      <w:bookmarkStart w:id="5352" w:name="_Caption2021"/>
      <w:bookmarkStart w:id="5353" w:name="_Caption4774"/>
      <w:bookmarkStart w:id="5354" w:name="_Caption9565"/>
      <w:bookmarkStart w:id="5355" w:name="_Caption3045"/>
      <w:bookmarkStart w:id="5356" w:name="_Caption2833"/>
      <w:bookmarkStart w:id="5357" w:name="_Caption0116"/>
      <w:bookmarkStart w:id="5358" w:name="_Caption5569"/>
      <w:bookmarkStart w:id="5359" w:name="_Caption8043"/>
      <w:bookmarkStart w:id="5360" w:name="_Caption7287"/>
      <w:bookmarkStart w:id="5361" w:name="_Caption2872"/>
      <w:bookmarkStart w:id="5362" w:name="_Caption7809"/>
      <w:bookmarkStart w:id="5363" w:name="_Caption4475"/>
      <w:bookmarkStart w:id="5364" w:name="_Toc509220874"/>
      <w:bookmarkStart w:id="5365" w:name="_Toc529869976"/>
      <w:bookmarkStart w:id="5366" w:name="_Toc530748472"/>
      <w:r w:rsidR="00EA42ED">
        <w:rPr>
          <w:noProof/>
        </w:rPr>
        <w:t>D</w:t>
      </w:r>
      <w:r w:rsidR="00EA42ED" w:rsidRPr="00D00F02">
        <w:rPr>
          <w:noProof/>
        </w:rPr>
        <w:t>.2</w:t>
      </w:r>
      <w:bookmarkStart w:id="5367" w:name="_Toc507523825"/>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r w:rsidRPr="00D00F02">
        <w:fldChar w:fldCharType="end"/>
      </w:r>
      <w:r w:rsidRPr="00D00F02">
        <w:tab/>
        <w:t>Relationship between predicted and actual GHG emissions — excluding outliers</w:t>
      </w:r>
      <w:bookmarkEnd w:id="5364"/>
      <w:bookmarkEnd w:id="5365"/>
      <w:bookmarkEnd w:id="5366"/>
      <w:bookmarkEnd w:id="5367"/>
    </w:p>
    <w:p w:rsidR="00612FD3" w:rsidRDefault="00612FD3" w:rsidP="00612FD3">
      <w:pPr>
        <w:pStyle w:val="Source"/>
      </w:pPr>
      <w:r w:rsidRPr="00592FFD">
        <w:rPr>
          <w:noProof/>
          <w:lang w:eastAsia="en-AU"/>
        </w:rPr>
        <w:drawing>
          <wp:inline distT="0" distB="0" distL="0" distR="0" wp14:anchorId="0153709B" wp14:editId="791389C6">
            <wp:extent cx="5029200" cy="2533650"/>
            <wp:effectExtent l="0" t="0" r="0" b="0"/>
            <wp:docPr id="25" name="Picture 25" descr="The chart plots the actual emissions (the vertical axis) aginst the predicted greenhouse gas emissions (the horizontal axis) with 5 outliers being excluded from the estimated relationship. Most points are still above the perfect prodiction line (red line, meaning predicted equals to actual emissions), meaning actual emissions are higher than predicted. But by removing the outliers, the relationship improves - actual emission reductions are equivalent to three quarters of predicted reductions in emissions." title="Relationship between predicted and actualy GHG emissions-excluding outl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8">
                      <a:extLst>
                        <a:ext uri="{28A0092B-C50C-407E-A947-70E740481C1C}">
                          <a14:useLocalDpi xmlns:a14="http://schemas.microsoft.com/office/drawing/2010/main" val="0"/>
                        </a:ext>
                      </a:extLst>
                    </a:blip>
                    <a:srcRect l="-379" t="1" r="591" b="-3048"/>
                    <a:stretch/>
                  </pic:blipFill>
                  <pic:spPr bwMode="auto">
                    <a:xfrm>
                      <a:off x="0" y="0"/>
                      <a:ext cx="5029200" cy="2533650"/>
                    </a:xfrm>
                    <a:prstGeom prst="rect">
                      <a:avLst/>
                    </a:prstGeom>
                    <a:solidFill>
                      <a:schemeClr val="bg2"/>
                    </a:solidFill>
                    <a:ln>
                      <a:noFill/>
                    </a:ln>
                    <a:extLst>
                      <a:ext uri="{53640926-AAD7-44D8-BBD7-CCE9431645EC}">
                        <a14:shadowObscured xmlns:a14="http://schemas.microsoft.com/office/drawing/2010/main"/>
                      </a:ext>
                    </a:extLst>
                  </pic:spPr>
                </pic:pic>
              </a:graphicData>
            </a:graphic>
          </wp:inline>
        </w:drawing>
      </w:r>
      <w:r>
        <w:rPr>
          <w:i/>
        </w:rPr>
        <w:t>Data source</w:t>
      </w:r>
      <w:r w:rsidRPr="00A67576">
        <w:rPr>
          <w:i/>
        </w:rPr>
        <w:t>:</w:t>
      </w:r>
      <w:r>
        <w:t xml:space="preserve"> CIE based on data in Bell, H., Millagre, R. and Sanchez, C. 2013, </w:t>
      </w:r>
      <w:r w:rsidRPr="005F13AE">
        <w:rPr>
          <w:i/>
        </w:rPr>
        <w:t>Achieving the Green Dream: Predicted vs Actual</w:t>
      </w:r>
      <w:r>
        <w:t>, Green Building Council of Australia, August 2013, pp. 17</w:t>
      </w:r>
      <w:r>
        <w:noBreakHyphen/>
        <w:t>20.</w:t>
      </w:r>
      <w:r w:rsidRPr="00F776ED">
        <w:rPr>
          <w:noProof/>
          <w:lang w:eastAsia="en-AU"/>
        </w:rPr>
        <w:t xml:space="preserve"> </w:t>
      </w:r>
    </w:p>
    <w:p w:rsidR="00612FD3" w:rsidRDefault="00612FD3" w:rsidP="00612FD3">
      <w:pPr>
        <w:pStyle w:val="BodyText"/>
      </w:pPr>
      <w:r>
        <w:rPr>
          <w:lang w:eastAsia="en-US"/>
        </w:rPr>
        <w:t>That removing outliers improves the fit of the data is not surprising. That said, even when the outliers are excluded, there remains significant variation in the relationship between actual and predicted outcomes across buildings and it appears likely that modelled energy savings are not fully realised.</w:t>
      </w:r>
    </w:p>
    <w:p w:rsidR="00612FD3" w:rsidRDefault="00612FD3" w:rsidP="00612FD3">
      <w:pPr>
        <w:pStyle w:val="Heading4"/>
        <w:numPr>
          <w:ilvl w:val="3"/>
          <w:numId w:val="5"/>
        </w:numPr>
      </w:pPr>
      <w:r>
        <w:rPr>
          <w:lang w:eastAsia="en-US"/>
        </w:rPr>
        <w:t>‘As designed’ versus ‘as built’</w:t>
      </w:r>
    </w:p>
    <w:p w:rsidR="00612FD3" w:rsidRDefault="00612FD3" w:rsidP="00612FD3">
      <w:pPr>
        <w:pStyle w:val="BodyText"/>
      </w:pPr>
      <w:r>
        <w:rPr>
          <w:lang w:eastAsia="en-US"/>
        </w:rPr>
        <w:t>The Green Star data also distinguishes between buildings that used the former ‘Green Star — Office Designed’ rating tool and the ‘Green Star — Office As Built’ rating tool. Where projects were rated with both tools, only the data from the ‘As Built’ rating was considered. Note that these separate tools have now been combined and an additional Green Star tool that focuses on building performance has been developed.</w:t>
      </w:r>
    </w:p>
    <w:p w:rsidR="00612FD3" w:rsidRDefault="00612FD3" w:rsidP="00612FD3">
      <w:pPr>
        <w:pStyle w:val="BodyText"/>
      </w:pPr>
      <w:r>
        <w:rPr>
          <w:lang w:eastAsia="en-US"/>
        </w:rPr>
        <w:t>The Green Star ‘as designed’ rating is based on an assessment of the building’s design. The dataset we used includes 30 ‘as designed’ ratings. As compliance with Section J of the NCC is certified based on the building’s design, the Green Star ‘as designed’ rating most closely reflects the compliance process for the NCC.</w:t>
      </w:r>
    </w:p>
    <w:p w:rsidR="00612FD3" w:rsidRDefault="00612FD3" w:rsidP="00612FD3">
      <w:pPr>
        <w:pStyle w:val="BodyText"/>
      </w:pPr>
      <w:r>
        <w:rPr>
          <w:lang w:eastAsia="en-US"/>
        </w:rPr>
        <w:t>The same broad conclusions as above can be inferred from the ‘as designed’ ratings only. Specifically:</w:t>
      </w:r>
    </w:p>
    <w:p w:rsidR="00612FD3" w:rsidRDefault="00612FD3" w:rsidP="00612FD3">
      <w:pPr>
        <w:pStyle w:val="ListBullet"/>
        <w:numPr>
          <w:ilvl w:val="0"/>
          <w:numId w:val="36"/>
        </w:numPr>
      </w:pPr>
      <w:r>
        <w:rPr>
          <w:lang w:eastAsia="en-US"/>
        </w:rPr>
        <w:t>the relationship between predicted and actual outcomes is weak (chart </w:t>
      </w:r>
      <w:r>
        <w:rPr>
          <w:lang w:eastAsia="en-US"/>
        </w:rPr>
        <w:fldChar w:fldCharType="begin"/>
      </w:r>
      <w:r>
        <w:rPr>
          <w:lang w:eastAsia="en-US"/>
        </w:rPr>
        <w:instrText xml:space="preserve"> REF _Caption7306 </w:instrText>
      </w:r>
      <w:r>
        <w:rPr>
          <w:lang w:eastAsia="en-US"/>
        </w:rPr>
        <w:fldChar w:fldCharType="separate"/>
      </w:r>
      <w:r w:rsidR="006B79B8" w:rsidRPr="00D00F02">
        <w:rPr>
          <w:noProof/>
        </w:rPr>
        <w:t>D.3</w:t>
      </w:r>
      <w:r>
        <w:rPr>
          <w:lang w:eastAsia="en-US"/>
        </w:rPr>
        <w:fldChar w:fldCharType="end"/>
      </w:r>
      <w:r>
        <w:rPr>
          <w:lang w:eastAsia="en-US"/>
        </w:rPr>
        <w:t>); and</w:t>
      </w:r>
    </w:p>
    <w:p w:rsidR="00612FD3" w:rsidRDefault="00612FD3" w:rsidP="00612FD3">
      <w:pPr>
        <w:pStyle w:val="ListBullet"/>
        <w:numPr>
          <w:ilvl w:val="0"/>
          <w:numId w:val="36"/>
        </w:numPr>
      </w:pPr>
      <w:r>
        <w:rPr>
          <w:lang w:eastAsia="en-US"/>
        </w:rPr>
        <w:t>as low as only a bit more than half (around 53 per cent) of predicted outcomes based on the building’s design are realised (based on a slope coefficient of 0.53).</w:t>
      </w:r>
    </w:p>
    <w:p w:rsidR="00612FD3" w:rsidRPr="00D00F02" w:rsidRDefault="00612FD3" w:rsidP="00612FD3">
      <w:pPr>
        <w:pStyle w:val="Caption"/>
        <w:numPr>
          <w:ilvl w:val="0"/>
          <w:numId w:val="7"/>
        </w:numPr>
      </w:pPr>
      <w:r w:rsidRPr="00D00F02">
        <w:fldChar w:fldCharType="begin"/>
      </w:r>
      <w:r w:rsidRPr="00D00F02">
        <w:instrText xml:space="preserve"> IF 1 = 1 "</w:instrText>
      </w:r>
      <w:r w:rsidRPr="00D00F02">
        <w:fldChar w:fldCharType="begin"/>
      </w:r>
      <w:r w:rsidRPr="00D00F02">
        <w:instrText xml:space="preserve"> IF </w:instrText>
      </w:r>
      <w:r w:rsidRPr="00D00F02">
        <w:rPr>
          <w:noProof/>
        </w:rPr>
        <w:fldChar w:fldCharType="begin"/>
      </w:r>
      <w:r w:rsidRPr="00D00F02">
        <w:rPr>
          <w:noProof/>
        </w:rPr>
        <w:instrText xml:space="preserve"> STYLEREF "Heading 6" \l \n </w:instrText>
      </w:r>
      <w:r w:rsidRPr="00D00F02">
        <w:rPr>
          <w:noProof/>
        </w:rPr>
        <w:fldChar w:fldCharType="separate"/>
      </w:r>
      <w:r w:rsidR="00B833F1">
        <w:rPr>
          <w:noProof/>
        </w:rPr>
        <w:instrText>D</w:instrText>
      </w:r>
      <w:r w:rsidRPr="00D00F02">
        <w:rPr>
          <w:noProof/>
        </w:rPr>
        <w:fldChar w:fldCharType="end"/>
      </w:r>
      <w:r w:rsidRPr="00D00F02">
        <w:instrText xml:space="preserve"> = 0 "</w:instrText>
      </w:r>
      <w:r w:rsidRPr="00D00F02">
        <w:fldChar w:fldCharType="begin"/>
      </w:r>
      <w:r w:rsidRPr="00D00F02">
        <w:instrText xml:space="preserve"> IF </w:instrText>
      </w:r>
      <w:r w:rsidRPr="00D00F02">
        <w:fldChar w:fldCharType="begin"/>
      </w:r>
      <w:r w:rsidRPr="00D00F02">
        <w:instrText xml:space="preserve"> STYLEREF "Heading 1" \l \n </w:instrText>
      </w:r>
      <w:r w:rsidRPr="00D00F02">
        <w:fldChar w:fldCharType="separate"/>
      </w:r>
      <w:r w:rsidRPr="00D00F02">
        <w:rPr>
          <w:b/>
          <w:bCs/>
          <w:noProof/>
          <w:lang w:val="en-US"/>
        </w:rPr>
        <w:instrText>Error! No text of specified style in document.</w:instrText>
      </w:r>
      <w:r w:rsidRPr="00D00F02">
        <w:rPr>
          <w:noProof/>
        </w:rPr>
        <w:fldChar w:fldCharType="end"/>
      </w:r>
      <w:r w:rsidRPr="00D00F02">
        <w:instrText xml:space="preserve"> = 0 "" "</w:instrText>
      </w:r>
      <w:r w:rsidRPr="00D00F02">
        <w:fldChar w:fldCharType="begin"/>
      </w:r>
      <w:r w:rsidRPr="00D00F02">
        <w:instrText xml:space="preserve"> STYLEREF "Heading 1" \l \n </w:instrText>
      </w:r>
      <w:r w:rsidRPr="00D00F02">
        <w:fldChar w:fldCharType="separate"/>
      </w:r>
      <w:r w:rsidRPr="00D00F02">
        <w:rPr>
          <w:b/>
          <w:bCs/>
          <w:noProof/>
          <w:lang w:val="en-US"/>
        </w:rPr>
        <w:instrText>Error! No text of specified style in document.</w:instrText>
      </w:r>
      <w:r w:rsidRPr="00D00F02">
        <w:rPr>
          <w:noProof/>
        </w:rPr>
        <w:fldChar w:fldCharType="end"/>
      </w:r>
      <w:r w:rsidRPr="00D00F02">
        <w:instrText xml:space="preserve">." </w:instrText>
      </w:r>
      <w:r w:rsidRPr="00D00F02">
        <w:fldChar w:fldCharType="separate"/>
      </w:r>
      <w:r w:rsidRPr="00D00F02">
        <w:rPr>
          <w:b/>
          <w:bCs/>
          <w:noProof/>
          <w:lang w:val="en-US"/>
        </w:rPr>
        <w:instrText>Error! No text of specified style in document.</w:instrText>
      </w:r>
      <w:r w:rsidRPr="00D00F02">
        <w:rPr>
          <w:noProof/>
        </w:rPr>
        <w:instrText>.</w:instrText>
      </w:r>
      <w:r w:rsidRPr="00D00F02">
        <w:fldChar w:fldCharType="end"/>
      </w:r>
      <w:r w:rsidRPr="00D00F02">
        <w:instrText>" "</w:instrText>
      </w:r>
      <w:r w:rsidRPr="00D00F02">
        <w:rPr>
          <w:noProof/>
        </w:rPr>
        <w:fldChar w:fldCharType="begin"/>
      </w:r>
      <w:r w:rsidRPr="00D00F02">
        <w:rPr>
          <w:noProof/>
        </w:rPr>
        <w:instrText xml:space="preserve"> STYLEREF "Heading 6" \l \n </w:instrText>
      </w:r>
      <w:r w:rsidRPr="00D00F02">
        <w:rPr>
          <w:noProof/>
        </w:rPr>
        <w:fldChar w:fldCharType="separate"/>
      </w:r>
      <w:r w:rsidR="00B833F1">
        <w:rPr>
          <w:noProof/>
        </w:rPr>
        <w:instrText>D</w:instrText>
      </w:r>
      <w:r w:rsidRPr="00D00F02">
        <w:rPr>
          <w:noProof/>
        </w:rPr>
        <w:fldChar w:fldCharType="end"/>
      </w:r>
      <w:r w:rsidRPr="00D00F02">
        <w:instrText xml:space="preserve">." </w:instrText>
      </w:r>
      <w:r w:rsidRPr="00D00F02">
        <w:fldChar w:fldCharType="separate"/>
      </w:r>
      <w:r w:rsidR="00B833F1">
        <w:rPr>
          <w:noProof/>
        </w:rPr>
        <w:instrText>D</w:instrText>
      </w:r>
      <w:r w:rsidR="00B833F1" w:rsidRPr="00D00F02">
        <w:rPr>
          <w:noProof/>
        </w:rPr>
        <w:instrText>.</w:instrText>
      </w:r>
      <w:r w:rsidRPr="00D00F02">
        <w:fldChar w:fldCharType="end"/>
      </w:r>
      <w:r w:rsidRPr="00D00F02">
        <w:instrText xml:space="preserve">3" "" </w:instrText>
      </w:r>
      <w:r w:rsidRPr="00D00F02">
        <w:fldChar w:fldCharType="separate"/>
      </w:r>
      <w:bookmarkStart w:id="5368" w:name="_Caption7962"/>
      <w:bookmarkStart w:id="5369" w:name="_Caption5284"/>
      <w:bookmarkStart w:id="5370" w:name="_Caption5974"/>
      <w:bookmarkStart w:id="5371" w:name="_Caption2441"/>
      <w:bookmarkStart w:id="5372" w:name="_Caption8572"/>
      <w:bookmarkStart w:id="5373" w:name="_Caption5823"/>
      <w:bookmarkStart w:id="5374" w:name="_Caption7088"/>
      <w:bookmarkStart w:id="5375" w:name="_Caption2467"/>
      <w:bookmarkStart w:id="5376" w:name="_Caption4029"/>
      <w:bookmarkStart w:id="5377" w:name="_Caption6259"/>
      <w:bookmarkStart w:id="5378" w:name="_Caption0192"/>
      <w:bookmarkStart w:id="5379" w:name="_Caption6797"/>
      <w:bookmarkStart w:id="5380" w:name="_Caption0958"/>
      <w:bookmarkStart w:id="5381" w:name="_Caption0761"/>
      <w:bookmarkStart w:id="5382" w:name="_Caption1680"/>
      <w:bookmarkStart w:id="5383" w:name="_Caption5419"/>
      <w:bookmarkStart w:id="5384" w:name="_Caption3914"/>
      <w:bookmarkStart w:id="5385" w:name="_Caption0042"/>
      <w:bookmarkStart w:id="5386" w:name="_Caption3657"/>
      <w:bookmarkStart w:id="5387" w:name="_Caption3016"/>
      <w:bookmarkStart w:id="5388" w:name="_Caption5363"/>
      <w:bookmarkStart w:id="5389" w:name="_Caption3137"/>
      <w:bookmarkStart w:id="5390" w:name="_Caption1465"/>
      <w:bookmarkStart w:id="5391" w:name="_Caption9336"/>
      <w:bookmarkStart w:id="5392" w:name="_Caption0551"/>
      <w:bookmarkStart w:id="5393" w:name="_Caption1004"/>
      <w:bookmarkStart w:id="5394" w:name="_Caption6175"/>
      <w:bookmarkStart w:id="5395" w:name="_Caption1890"/>
      <w:bookmarkStart w:id="5396" w:name="_Caption2312"/>
      <w:bookmarkStart w:id="5397" w:name="_Caption2730"/>
      <w:bookmarkStart w:id="5398" w:name="_Caption7451"/>
      <w:bookmarkStart w:id="5399" w:name="_Caption4897"/>
      <w:bookmarkStart w:id="5400" w:name="_Caption4087"/>
      <w:bookmarkStart w:id="5401" w:name="_Caption7265"/>
      <w:bookmarkStart w:id="5402" w:name="_Caption6784"/>
      <w:bookmarkStart w:id="5403" w:name="_Caption0090"/>
      <w:bookmarkStart w:id="5404" w:name="_Caption6276"/>
      <w:bookmarkStart w:id="5405" w:name="_Caption2956"/>
      <w:bookmarkStart w:id="5406" w:name="_Caption9321"/>
      <w:bookmarkStart w:id="5407" w:name="_Caption5272"/>
      <w:bookmarkStart w:id="5408" w:name="_Caption9670"/>
      <w:bookmarkStart w:id="5409" w:name="_Caption5881"/>
      <w:bookmarkStart w:id="5410" w:name="_Caption2903"/>
      <w:bookmarkStart w:id="5411" w:name="_Caption7288"/>
      <w:bookmarkStart w:id="5412" w:name="_Caption7905"/>
      <w:bookmarkStart w:id="5413" w:name="_Caption3455"/>
      <w:bookmarkStart w:id="5414" w:name="_Caption6310"/>
      <w:bookmarkStart w:id="5415" w:name="_Caption8947"/>
      <w:bookmarkStart w:id="5416" w:name="_Caption2623"/>
      <w:bookmarkStart w:id="5417" w:name="_Caption7498"/>
      <w:bookmarkStart w:id="5418" w:name="_Caption0668"/>
      <w:bookmarkStart w:id="5419" w:name="_Caption9205"/>
      <w:bookmarkStart w:id="5420" w:name="_Caption9490"/>
      <w:bookmarkStart w:id="5421" w:name="_Caption6408"/>
      <w:bookmarkStart w:id="5422" w:name="_Caption6743"/>
      <w:bookmarkStart w:id="5423" w:name="_Caption6795"/>
      <w:bookmarkStart w:id="5424" w:name="_Caption6335"/>
      <w:bookmarkStart w:id="5425" w:name="_Caption9623"/>
      <w:bookmarkStart w:id="5426" w:name="_Caption7306"/>
      <w:bookmarkStart w:id="5427" w:name="_Caption6211"/>
      <w:bookmarkStart w:id="5428" w:name="_Caption1166"/>
      <w:bookmarkStart w:id="5429" w:name="_Caption9072"/>
      <w:bookmarkStart w:id="5430" w:name="_Caption8270"/>
      <w:bookmarkStart w:id="5431" w:name="_Caption2508"/>
      <w:bookmarkStart w:id="5432" w:name="_Caption4496"/>
      <w:bookmarkStart w:id="5433" w:name="_Caption8907"/>
      <w:bookmarkStart w:id="5434" w:name="_Caption2809"/>
      <w:bookmarkStart w:id="5435" w:name="_Caption5404"/>
      <w:bookmarkStart w:id="5436" w:name="_Caption4085"/>
      <w:bookmarkStart w:id="5437" w:name="_Caption9809"/>
      <w:bookmarkStart w:id="5438" w:name="_Caption4468"/>
      <w:bookmarkStart w:id="5439" w:name="_Caption7967"/>
      <w:bookmarkStart w:id="5440" w:name="_Caption6418"/>
      <w:bookmarkStart w:id="5441" w:name="_Caption3847"/>
      <w:bookmarkStart w:id="5442" w:name="_Caption4649"/>
      <w:bookmarkStart w:id="5443" w:name="_Caption9852"/>
      <w:bookmarkStart w:id="5444" w:name="_Caption2859"/>
      <w:bookmarkStart w:id="5445" w:name="_Caption5426"/>
      <w:bookmarkStart w:id="5446" w:name="_Caption1720"/>
      <w:bookmarkStart w:id="5447" w:name="_Caption7819"/>
      <w:bookmarkStart w:id="5448" w:name="_Caption2010"/>
      <w:bookmarkStart w:id="5449" w:name="_Caption7500"/>
      <w:bookmarkStart w:id="5450" w:name="_Caption3802"/>
      <w:bookmarkStart w:id="5451" w:name="_Caption7342"/>
      <w:bookmarkStart w:id="5452" w:name="_Caption0174"/>
      <w:bookmarkStart w:id="5453" w:name="_Caption4291"/>
      <w:bookmarkStart w:id="5454" w:name="_Caption1010"/>
      <w:bookmarkStart w:id="5455" w:name="_Caption5045"/>
      <w:bookmarkStart w:id="5456" w:name="_Caption5391"/>
      <w:bookmarkStart w:id="5457" w:name="_Caption3450"/>
      <w:bookmarkStart w:id="5458" w:name="_Caption1532"/>
      <w:bookmarkStart w:id="5459" w:name="_Caption6982"/>
      <w:bookmarkStart w:id="5460" w:name="_Caption8634"/>
      <w:bookmarkStart w:id="5461" w:name="_Caption0353"/>
      <w:bookmarkStart w:id="5462" w:name="_Caption6350"/>
      <w:bookmarkStart w:id="5463" w:name="_Caption1819"/>
      <w:bookmarkStart w:id="5464" w:name="_Caption6177"/>
      <w:bookmarkStart w:id="5465" w:name="_Caption8898"/>
      <w:bookmarkStart w:id="5466" w:name="_Caption0268"/>
      <w:bookmarkStart w:id="5467" w:name="_Caption6692"/>
      <w:bookmarkStart w:id="5468" w:name="_Caption5976"/>
      <w:bookmarkStart w:id="5469" w:name="_Caption2512"/>
      <w:bookmarkStart w:id="5470" w:name="_Caption3097"/>
      <w:bookmarkStart w:id="5471" w:name="_Caption0945"/>
      <w:bookmarkStart w:id="5472" w:name="_Caption2191"/>
      <w:bookmarkStart w:id="5473" w:name="_Caption7102"/>
      <w:bookmarkStart w:id="5474" w:name="_Caption8578"/>
      <w:bookmarkStart w:id="5475" w:name="_Toc509220875"/>
      <w:bookmarkStart w:id="5476" w:name="_Toc529869977"/>
      <w:bookmarkStart w:id="5477" w:name="_Toc530748473"/>
      <w:r w:rsidR="00EA42ED">
        <w:rPr>
          <w:noProof/>
        </w:rPr>
        <w:t>D</w:t>
      </w:r>
      <w:r w:rsidR="00EA42ED" w:rsidRPr="00D00F02">
        <w:rPr>
          <w:noProof/>
        </w:rPr>
        <w:t>.3</w:t>
      </w:r>
      <w:bookmarkStart w:id="5478" w:name="_Toc507523826"/>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r w:rsidRPr="00D00F02">
        <w:fldChar w:fldCharType="end"/>
      </w:r>
      <w:r w:rsidRPr="00D00F02">
        <w:tab/>
        <w:t>Relationship between predicted and actual GHG emissions — as designed</w:t>
      </w:r>
      <w:bookmarkEnd w:id="5475"/>
      <w:bookmarkEnd w:id="5476"/>
      <w:bookmarkEnd w:id="5477"/>
      <w:bookmarkEnd w:id="5478"/>
    </w:p>
    <w:p w:rsidR="00612FD3" w:rsidRDefault="00612FD3" w:rsidP="00612FD3">
      <w:pPr>
        <w:pStyle w:val="Source"/>
      </w:pPr>
      <w:r w:rsidRPr="003A0387">
        <w:rPr>
          <w:noProof/>
          <w:lang w:eastAsia="en-AU"/>
        </w:rPr>
        <w:drawing>
          <wp:inline distT="0" distB="0" distL="0" distR="0" wp14:anchorId="7D997C38" wp14:editId="043F6F80">
            <wp:extent cx="4954270" cy="2477135"/>
            <wp:effectExtent l="0" t="0" r="0" b="0"/>
            <wp:docPr id="29" name="Picture 29" descr="The chart plots the actual emissions (the vertical axis) aginst the predicted greenhouse gas emissions (the horizontal axis) based on the Green Star 'as designed' rating data. Most points are above the perfect prodiction line (red line, meaning predicted equals to actual emissions), meaning actual emissions are higher than predicted." title="Relationship between predicted and actual GHG emissions-as design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954270" cy="2477135"/>
                    </a:xfrm>
                    <a:prstGeom prst="rect">
                      <a:avLst/>
                    </a:prstGeom>
                    <a:solidFill>
                      <a:schemeClr val="bg2"/>
                    </a:solidFill>
                    <a:ln>
                      <a:noFill/>
                    </a:ln>
                  </pic:spPr>
                </pic:pic>
              </a:graphicData>
            </a:graphic>
          </wp:inline>
        </w:drawing>
      </w:r>
      <w:r>
        <w:rPr>
          <w:i/>
        </w:rPr>
        <w:t>Data source</w:t>
      </w:r>
      <w:r w:rsidRPr="00A67576">
        <w:rPr>
          <w:i/>
        </w:rPr>
        <w:t>:</w:t>
      </w:r>
      <w:r>
        <w:t xml:space="preserve"> CIE based on data in Bell, H., Millagre, R. and Sanchez, C. 2013, </w:t>
      </w:r>
      <w:r w:rsidRPr="005F13AE">
        <w:rPr>
          <w:i/>
        </w:rPr>
        <w:t>Achieving the Green Dream: Predicted vs Actual</w:t>
      </w:r>
      <w:r>
        <w:t>, Green Building Council of Australia, August 2013, pp. 17</w:t>
      </w:r>
      <w:r>
        <w:noBreakHyphen/>
        <w:t>20.</w:t>
      </w:r>
      <w:r w:rsidRPr="00F776ED">
        <w:rPr>
          <w:noProof/>
          <w:lang w:eastAsia="en-AU"/>
        </w:rPr>
        <w:t xml:space="preserve"> </w:t>
      </w:r>
    </w:p>
    <w:p w:rsidR="00612FD3" w:rsidRPr="00F776ED" w:rsidRDefault="00612FD3" w:rsidP="00612FD3">
      <w:pPr>
        <w:pStyle w:val="BodyText"/>
        <w:rPr>
          <w:spacing w:val="-3"/>
          <w:lang w:eastAsia="en-US"/>
        </w:rPr>
      </w:pPr>
      <w:r w:rsidRPr="00F776ED">
        <w:rPr>
          <w:spacing w:val="-3"/>
          <w:lang w:eastAsia="en-US"/>
        </w:rPr>
        <w:t>There are also 30 observations based on the Green Star ‘as built’ tool. The ‘as built’ ratings are based on the building as it was actually constructed. In principle, it would be reasonable to expect a closer relationship between predicted and actual outcomes based on ‘as built’ ratings, compared to ‘as designed’ ratings on the basis that variations between design and the building ‘as built’ are one factor that could potentially explain the energy efficiency gap.</w:t>
      </w:r>
    </w:p>
    <w:p w:rsidR="00612FD3" w:rsidRPr="00F776ED" w:rsidRDefault="00612FD3" w:rsidP="00612FD3">
      <w:pPr>
        <w:pStyle w:val="ListBullet"/>
        <w:numPr>
          <w:ilvl w:val="0"/>
          <w:numId w:val="36"/>
        </w:numPr>
        <w:ind w:right="-143"/>
        <w:rPr>
          <w:spacing w:val="-3"/>
          <w:lang w:eastAsia="en-US"/>
        </w:rPr>
      </w:pPr>
      <w:r w:rsidRPr="00F776ED">
        <w:rPr>
          <w:spacing w:val="-3"/>
          <w:lang w:eastAsia="en-US"/>
        </w:rPr>
        <w:t>However, somewhat surprisingly, the relationship between predicted ‘as built’ and actual outcomes is equally weak (chart </w:t>
      </w:r>
      <w:r w:rsidRPr="00F776ED">
        <w:rPr>
          <w:spacing w:val="-3"/>
          <w:highlight w:val="yellow"/>
          <w:lang w:eastAsia="en-US"/>
        </w:rPr>
        <w:fldChar w:fldCharType="begin"/>
      </w:r>
      <w:r w:rsidRPr="00F776ED">
        <w:rPr>
          <w:spacing w:val="-3"/>
          <w:lang w:eastAsia="en-US"/>
        </w:rPr>
        <w:instrText xml:space="preserve"> REF _Caption8377 </w:instrText>
      </w:r>
      <w:r>
        <w:rPr>
          <w:spacing w:val="-3"/>
          <w:lang w:eastAsia="en-US"/>
        </w:rPr>
        <w:instrText xml:space="preserve"> \* MERGEFORMAT </w:instrText>
      </w:r>
      <w:r w:rsidRPr="00F776ED">
        <w:rPr>
          <w:spacing w:val="-3"/>
          <w:highlight w:val="yellow"/>
          <w:lang w:eastAsia="en-US"/>
        </w:rPr>
        <w:fldChar w:fldCharType="separate"/>
      </w:r>
      <w:r w:rsidR="006B79B8" w:rsidRPr="006B79B8">
        <w:rPr>
          <w:noProof/>
          <w:spacing w:val="-3"/>
        </w:rPr>
        <w:t>D.4</w:t>
      </w:r>
      <w:r w:rsidRPr="00F776ED">
        <w:rPr>
          <w:spacing w:val="-3"/>
          <w:highlight w:val="yellow"/>
          <w:lang w:eastAsia="en-US"/>
        </w:rPr>
        <w:fldChar w:fldCharType="end"/>
      </w:r>
      <w:r w:rsidRPr="00F776ED">
        <w:rPr>
          <w:spacing w:val="-3"/>
          <w:lang w:eastAsia="en-US"/>
        </w:rPr>
        <w:t>). This suggests that the performance gap may not be a result of non</w:t>
      </w:r>
      <w:r w:rsidRPr="00F776ED">
        <w:rPr>
          <w:spacing w:val="-3"/>
          <w:lang w:eastAsia="en-US"/>
        </w:rPr>
        <w:noBreakHyphen/>
        <w:t>compliance, where the building is not built to the certified design.</w:t>
      </w:r>
    </w:p>
    <w:p w:rsidR="00612FD3" w:rsidRPr="00F776ED" w:rsidRDefault="00612FD3" w:rsidP="00612FD3">
      <w:pPr>
        <w:pStyle w:val="ListBullet"/>
        <w:numPr>
          <w:ilvl w:val="0"/>
          <w:numId w:val="36"/>
        </w:numPr>
        <w:ind w:right="-143"/>
        <w:rPr>
          <w:spacing w:val="-3"/>
          <w:lang w:eastAsia="en-US"/>
        </w:rPr>
      </w:pPr>
      <w:r w:rsidRPr="00F776ED">
        <w:rPr>
          <w:spacing w:val="-3"/>
          <w:lang w:eastAsia="en-US"/>
        </w:rPr>
        <w:t>The slope coefficient suggests that only around 36 per cent of modelled energy savings are realised in practice.</w:t>
      </w:r>
    </w:p>
    <w:p w:rsidR="00612FD3" w:rsidRPr="00D00F02" w:rsidRDefault="00612FD3" w:rsidP="00612FD3">
      <w:pPr>
        <w:pStyle w:val="Caption"/>
        <w:numPr>
          <w:ilvl w:val="0"/>
          <w:numId w:val="7"/>
        </w:numPr>
        <w:spacing w:before="240"/>
      </w:pPr>
      <w:r w:rsidRPr="00D00F02">
        <w:fldChar w:fldCharType="begin"/>
      </w:r>
      <w:r w:rsidRPr="00D00F02">
        <w:instrText xml:space="preserve"> IF 1 = 1 "</w:instrText>
      </w:r>
      <w:r w:rsidRPr="00D00F02">
        <w:fldChar w:fldCharType="begin"/>
      </w:r>
      <w:r w:rsidRPr="00D00F02">
        <w:instrText xml:space="preserve"> IF </w:instrText>
      </w:r>
      <w:r w:rsidRPr="00D00F02">
        <w:rPr>
          <w:noProof/>
        </w:rPr>
        <w:fldChar w:fldCharType="begin"/>
      </w:r>
      <w:r w:rsidRPr="00D00F02">
        <w:rPr>
          <w:noProof/>
        </w:rPr>
        <w:instrText xml:space="preserve"> STYLEREF "Heading 6" \l \n </w:instrText>
      </w:r>
      <w:r w:rsidRPr="00D00F02">
        <w:rPr>
          <w:noProof/>
        </w:rPr>
        <w:fldChar w:fldCharType="separate"/>
      </w:r>
      <w:r w:rsidR="00B833F1">
        <w:rPr>
          <w:noProof/>
        </w:rPr>
        <w:instrText>D</w:instrText>
      </w:r>
      <w:r w:rsidRPr="00D00F02">
        <w:rPr>
          <w:noProof/>
        </w:rPr>
        <w:fldChar w:fldCharType="end"/>
      </w:r>
      <w:r w:rsidRPr="00D00F02">
        <w:instrText xml:space="preserve"> = 0 "</w:instrText>
      </w:r>
      <w:r w:rsidRPr="00D00F02">
        <w:fldChar w:fldCharType="begin"/>
      </w:r>
      <w:r w:rsidRPr="00D00F02">
        <w:instrText xml:space="preserve"> IF </w:instrText>
      </w:r>
      <w:r w:rsidRPr="00D00F02">
        <w:fldChar w:fldCharType="begin"/>
      </w:r>
      <w:r w:rsidRPr="00D00F02">
        <w:instrText xml:space="preserve"> STYLEREF "Heading 1" \l \n </w:instrText>
      </w:r>
      <w:r w:rsidRPr="00D00F02">
        <w:fldChar w:fldCharType="separate"/>
      </w:r>
      <w:r w:rsidRPr="00D00F02">
        <w:rPr>
          <w:b/>
          <w:bCs/>
          <w:noProof/>
          <w:lang w:val="en-US"/>
        </w:rPr>
        <w:instrText>Error! No text of specified style in document.</w:instrText>
      </w:r>
      <w:r w:rsidRPr="00D00F02">
        <w:rPr>
          <w:noProof/>
        </w:rPr>
        <w:fldChar w:fldCharType="end"/>
      </w:r>
      <w:r w:rsidRPr="00D00F02">
        <w:instrText xml:space="preserve"> = 0 "" "</w:instrText>
      </w:r>
      <w:r w:rsidRPr="00D00F02">
        <w:fldChar w:fldCharType="begin"/>
      </w:r>
      <w:r w:rsidRPr="00D00F02">
        <w:instrText xml:space="preserve"> STYLEREF "Heading 1" \l \n </w:instrText>
      </w:r>
      <w:r w:rsidRPr="00D00F02">
        <w:fldChar w:fldCharType="separate"/>
      </w:r>
      <w:r w:rsidRPr="00D00F02">
        <w:rPr>
          <w:b/>
          <w:bCs/>
          <w:noProof/>
          <w:lang w:val="en-US"/>
        </w:rPr>
        <w:instrText>Error! No text of specified style in document.</w:instrText>
      </w:r>
      <w:r w:rsidRPr="00D00F02">
        <w:rPr>
          <w:noProof/>
        </w:rPr>
        <w:fldChar w:fldCharType="end"/>
      </w:r>
      <w:r w:rsidRPr="00D00F02">
        <w:instrText xml:space="preserve">." </w:instrText>
      </w:r>
      <w:r w:rsidRPr="00D00F02">
        <w:fldChar w:fldCharType="separate"/>
      </w:r>
      <w:r w:rsidRPr="00D00F02">
        <w:rPr>
          <w:b/>
          <w:bCs/>
          <w:noProof/>
          <w:lang w:val="en-US"/>
        </w:rPr>
        <w:instrText>Error! No text of specified style in document.</w:instrText>
      </w:r>
      <w:r w:rsidRPr="00D00F02">
        <w:rPr>
          <w:noProof/>
        </w:rPr>
        <w:instrText>.</w:instrText>
      </w:r>
      <w:r w:rsidRPr="00D00F02">
        <w:fldChar w:fldCharType="end"/>
      </w:r>
      <w:r w:rsidRPr="00D00F02">
        <w:instrText>" "</w:instrText>
      </w:r>
      <w:r w:rsidRPr="00D00F02">
        <w:rPr>
          <w:noProof/>
        </w:rPr>
        <w:fldChar w:fldCharType="begin"/>
      </w:r>
      <w:r w:rsidRPr="00D00F02">
        <w:rPr>
          <w:noProof/>
        </w:rPr>
        <w:instrText xml:space="preserve"> STYLEREF "Heading 6" \l \n </w:instrText>
      </w:r>
      <w:r w:rsidRPr="00D00F02">
        <w:rPr>
          <w:noProof/>
        </w:rPr>
        <w:fldChar w:fldCharType="separate"/>
      </w:r>
      <w:r w:rsidR="00B833F1">
        <w:rPr>
          <w:noProof/>
        </w:rPr>
        <w:instrText>D</w:instrText>
      </w:r>
      <w:r w:rsidRPr="00D00F02">
        <w:rPr>
          <w:noProof/>
        </w:rPr>
        <w:fldChar w:fldCharType="end"/>
      </w:r>
      <w:r w:rsidRPr="00D00F02">
        <w:instrText xml:space="preserve">." </w:instrText>
      </w:r>
      <w:r w:rsidRPr="00D00F02">
        <w:fldChar w:fldCharType="separate"/>
      </w:r>
      <w:r w:rsidR="00B833F1">
        <w:rPr>
          <w:noProof/>
        </w:rPr>
        <w:instrText>D</w:instrText>
      </w:r>
      <w:r w:rsidR="00B833F1" w:rsidRPr="00D00F02">
        <w:rPr>
          <w:noProof/>
        </w:rPr>
        <w:instrText>.</w:instrText>
      </w:r>
      <w:r w:rsidRPr="00D00F02">
        <w:fldChar w:fldCharType="end"/>
      </w:r>
      <w:r w:rsidRPr="00D00F02">
        <w:instrText xml:space="preserve">4" "" </w:instrText>
      </w:r>
      <w:r w:rsidRPr="00D00F02">
        <w:fldChar w:fldCharType="separate"/>
      </w:r>
      <w:bookmarkStart w:id="5479" w:name="_Caption1277"/>
      <w:bookmarkStart w:id="5480" w:name="_Caption5498"/>
      <w:bookmarkStart w:id="5481" w:name="_Caption1404"/>
      <w:bookmarkStart w:id="5482" w:name="_Caption7113"/>
      <w:bookmarkStart w:id="5483" w:name="_Caption6349"/>
      <w:bookmarkStart w:id="5484" w:name="_Caption2168"/>
      <w:bookmarkStart w:id="5485" w:name="_Caption9946"/>
      <w:bookmarkStart w:id="5486" w:name="_Caption4109"/>
      <w:bookmarkStart w:id="5487" w:name="_Caption4483"/>
      <w:bookmarkStart w:id="5488" w:name="_Caption5592"/>
      <w:bookmarkStart w:id="5489" w:name="_Caption8977"/>
      <w:bookmarkStart w:id="5490" w:name="_Caption7677"/>
      <w:bookmarkStart w:id="5491" w:name="_Caption9904"/>
      <w:bookmarkStart w:id="5492" w:name="_Caption7638"/>
      <w:bookmarkStart w:id="5493" w:name="_Caption8287"/>
      <w:bookmarkStart w:id="5494" w:name="_Caption9798"/>
      <w:bookmarkStart w:id="5495" w:name="_Caption9402"/>
      <w:bookmarkStart w:id="5496" w:name="_Caption8120"/>
      <w:bookmarkStart w:id="5497" w:name="_Caption3443"/>
      <w:bookmarkStart w:id="5498" w:name="_Caption4485"/>
      <w:bookmarkStart w:id="5499" w:name="_Caption5937"/>
      <w:bookmarkStart w:id="5500" w:name="_Caption0267"/>
      <w:bookmarkStart w:id="5501" w:name="_Caption9771"/>
      <w:bookmarkStart w:id="5502" w:name="_Caption9123"/>
      <w:bookmarkStart w:id="5503" w:name="_Caption3755"/>
      <w:bookmarkStart w:id="5504" w:name="_Caption1405"/>
      <w:bookmarkStart w:id="5505" w:name="_Caption5855"/>
      <w:bookmarkStart w:id="5506" w:name="_Caption1397"/>
      <w:bookmarkStart w:id="5507" w:name="_Caption9789"/>
      <w:bookmarkStart w:id="5508" w:name="_Caption4719"/>
      <w:bookmarkStart w:id="5509" w:name="_Caption7838"/>
      <w:bookmarkStart w:id="5510" w:name="_Caption5431"/>
      <w:bookmarkStart w:id="5511" w:name="_Caption9494"/>
      <w:bookmarkStart w:id="5512" w:name="_Caption4517"/>
      <w:bookmarkStart w:id="5513" w:name="_Caption1668"/>
      <w:bookmarkStart w:id="5514" w:name="_Caption1739"/>
      <w:bookmarkStart w:id="5515" w:name="_Caption3851"/>
      <w:bookmarkStart w:id="5516" w:name="_Caption5047"/>
      <w:bookmarkStart w:id="5517" w:name="_Caption5781"/>
      <w:bookmarkStart w:id="5518" w:name="_Caption9374"/>
      <w:bookmarkStart w:id="5519" w:name="_Caption0432"/>
      <w:bookmarkStart w:id="5520" w:name="_Caption5078"/>
      <w:bookmarkStart w:id="5521" w:name="_Caption4273"/>
      <w:bookmarkStart w:id="5522" w:name="_Caption1741"/>
      <w:bookmarkStart w:id="5523" w:name="_Caption7717"/>
      <w:bookmarkStart w:id="5524" w:name="_Caption4837"/>
      <w:bookmarkStart w:id="5525" w:name="_Caption7900"/>
      <w:bookmarkStart w:id="5526" w:name="_Caption0139"/>
      <w:bookmarkStart w:id="5527" w:name="_Caption7277"/>
      <w:bookmarkStart w:id="5528" w:name="_Caption3902"/>
      <w:bookmarkStart w:id="5529" w:name="_Caption8680"/>
      <w:bookmarkStart w:id="5530" w:name="_Caption2830"/>
      <w:bookmarkStart w:id="5531" w:name="_Caption3146"/>
      <w:bookmarkStart w:id="5532" w:name="_Caption9401"/>
      <w:bookmarkStart w:id="5533" w:name="_Caption2047"/>
      <w:bookmarkStart w:id="5534" w:name="_Caption6445"/>
      <w:bookmarkStart w:id="5535" w:name="_Caption0990"/>
      <w:bookmarkStart w:id="5536" w:name="_Caption1770"/>
      <w:bookmarkStart w:id="5537" w:name="_Caption7349"/>
      <w:bookmarkStart w:id="5538" w:name="_Caption8377"/>
      <w:bookmarkStart w:id="5539" w:name="_Caption4620"/>
      <w:bookmarkStart w:id="5540" w:name="_Caption1081"/>
      <w:bookmarkStart w:id="5541" w:name="_Caption0465"/>
      <w:bookmarkStart w:id="5542" w:name="_Caption9385"/>
      <w:bookmarkStart w:id="5543" w:name="_Caption5523"/>
      <w:bookmarkStart w:id="5544" w:name="_Caption1841"/>
      <w:bookmarkStart w:id="5545" w:name="_Caption8078"/>
      <w:bookmarkStart w:id="5546" w:name="_Caption7236"/>
      <w:bookmarkStart w:id="5547" w:name="_Caption8807"/>
      <w:bookmarkStart w:id="5548" w:name="_Caption7495"/>
      <w:bookmarkStart w:id="5549" w:name="_Caption0831"/>
      <w:bookmarkStart w:id="5550" w:name="_Caption9136"/>
      <w:bookmarkStart w:id="5551" w:name="_Caption8745"/>
      <w:bookmarkStart w:id="5552" w:name="_Caption6425"/>
      <w:bookmarkStart w:id="5553" w:name="_Caption5610"/>
      <w:bookmarkStart w:id="5554" w:name="_Caption5086"/>
      <w:bookmarkStart w:id="5555" w:name="_Caption4929"/>
      <w:bookmarkStart w:id="5556" w:name="_Caption2635"/>
      <w:bookmarkStart w:id="5557" w:name="_Caption7142"/>
      <w:bookmarkStart w:id="5558" w:name="_Caption5042"/>
      <w:bookmarkStart w:id="5559" w:name="_Caption5913"/>
      <w:bookmarkStart w:id="5560" w:name="_Caption3099"/>
      <w:bookmarkStart w:id="5561" w:name="_Caption3526"/>
      <w:bookmarkStart w:id="5562" w:name="_Caption0481"/>
      <w:bookmarkStart w:id="5563" w:name="_Caption4090"/>
      <w:bookmarkStart w:id="5564" w:name="_Caption6499"/>
      <w:bookmarkStart w:id="5565" w:name="_Caption8914"/>
      <w:bookmarkStart w:id="5566" w:name="_Caption8584"/>
      <w:bookmarkStart w:id="5567" w:name="_Caption4791"/>
      <w:bookmarkStart w:id="5568" w:name="_Caption4198"/>
      <w:bookmarkStart w:id="5569" w:name="_Caption4964"/>
      <w:bookmarkStart w:id="5570" w:name="_Caption0187"/>
      <w:bookmarkStart w:id="5571" w:name="_Caption1760"/>
      <w:bookmarkStart w:id="5572" w:name="_Caption9752"/>
      <w:bookmarkStart w:id="5573" w:name="_Caption5282"/>
      <w:bookmarkStart w:id="5574" w:name="_Caption0191"/>
      <w:bookmarkStart w:id="5575" w:name="_Caption5256"/>
      <w:bookmarkStart w:id="5576" w:name="_Caption0604"/>
      <w:bookmarkStart w:id="5577" w:name="_Caption5799"/>
      <w:bookmarkStart w:id="5578" w:name="_Caption7481"/>
      <w:bookmarkStart w:id="5579" w:name="_Caption5055"/>
      <w:bookmarkStart w:id="5580" w:name="_Caption2760"/>
      <w:bookmarkStart w:id="5581" w:name="_Caption9451"/>
      <w:bookmarkStart w:id="5582" w:name="_Caption2252"/>
      <w:bookmarkStart w:id="5583" w:name="_Caption7577"/>
      <w:bookmarkStart w:id="5584" w:name="_Caption0578"/>
      <w:bookmarkStart w:id="5585" w:name="_Caption2581"/>
      <w:bookmarkStart w:id="5586" w:name="_Toc509220876"/>
      <w:bookmarkStart w:id="5587" w:name="_Toc529869978"/>
      <w:bookmarkStart w:id="5588" w:name="_Toc530748474"/>
      <w:r w:rsidR="00EA42ED">
        <w:rPr>
          <w:noProof/>
        </w:rPr>
        <w:t>D</w:t>
      </w:r>
      <w:r w:rsidR="00EA42ED" w:rsidRPr="00D00F02">
        <w:rPr>
          <w:noProof/>
        </w:rPr>
        <w:t>.4</w:t>
      </w:r>
      <w:bookmarkStart w:id="5589" w:name="_Toc507523827"/>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r w:rsidRPr="00D00F02">
        <w:fldChar w:fldCharType="end"/>
      </w:r>
      <w:r w:rsidRPr="00D00F02">
        <w:tab/>
        <w:t>Relationship between predicted and actual GHG emissions — as built</w:t>
      </w:r>
      <w:bookmarkEnd w:id="5586"/>
      <w:bookmarkEnd w:id="5587"/>
      <w:bookmarkEnd w:id="5588"/>
      <w:bookmarkEnd w:id="5589"/>
    </w:p>
    <w:p w:rsidR="00612FD3" w:rsidRDefault="00612FD3" w:rsidP="00612FD3">
      <w:pPr>
        <w:pStyle w:val="Source"/>
        <w:rPr>
          <w:noProof/>
          <w:lang w:eastAsia="en-AU"/>
        </w:rPr>
      </w:pPr>
      <w:r w:rsidRPr="003A0387">
        <w:rPr>
          <w:noProof/>
          <w:lang w:eastAsia="en-AU"/>
        </w:rPr>
        <w:drawing>
          <wp:inline distT="0" distB="0" distL="0" distR="0" wp14:anchorId="10A53E6B" wp14:editId="2E585C33">
            <wp:extent cx="5038725" cy="2514600"/>
            <wp:effectExtent l="0" t="0" r="9525" b="0"/>
            <wp:docPr id="30" name="Picture 30" descr="The chart plots the actual emissions (the vertical axis) aginst the predicted greenhouse gas emissions (the horizontal axis) based on the Green Star 'as built' rating data. Most points are above the perfect prodiction line (red line, meaning predicted equals to actual emissions), meaning actual emissions are higher than predicted." title="Relationship between predicted GHG emis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0">
                      <a:extLst>
                        <a:ext uri="{28A0092B-C50C-407E-A947-70E740481C1C}">
                          <a14:useLocalDpi xmlns:a14="http://schemas.microsoft.com/office/drawing/2010/main" val="0"/>
                        </a:ext>
                      </a:extLst>
                    </a:blip>
                    <a:srcRect l="-961" r="-743" b="-1513"/>
                    <a:stretch/>
                  </pic:blipFill>
                  <pic:spPr bwMode="auto">
                    <a:xfrm>
                      <a:off x="0" y="0"/>
                      <a:ext cx="5038725" cy="2514600"/>
                    </a:xfrm>
                    <a:prstGeom prst="rect">
                      <a:avLst/>
                    </a:prstGeom>
                    <a:solidFill>
                      <a:schemeClr val="bg2"/>
                    </a:solidFill>
                    <a:ln>
                      <a:noFill/>
                    </a:ln>
                    <a:extLst>
                      <a:ext uri="{53640926-AAD7-44D8-BBD7-CCE9431645EC}">
                        <a14:shadowObscured xmlns:a14="http://schemas.microsoft.com/office/drawing/2010/main"/>
                      </a:ext>
                    </a:extLst>
                  </pic:spPr>
                </pic:pic>
              </a:graphicData>
            </a:graphic>
          </wp:inline>
        </w:drawing>
      </w:r>
      <w:r>
        <w:rPr>
          <w:i/>
        </w:rPr>
        <w:t>Data source</w:t>
      </w:r>
      <w:r w:rsidRPr="00A67576">
        <w:rPr>
          <w:i/>
        </w:rPr>
        <w:t>:</w:t>
      </w:r>
      <w:r>
        <w:t xml:space="preserve"> CIE based on data in Bell, H., Millagre, R. and Sanchez, C. 2013, </w:t>
      </w:r>
      <w:r w:rsidRPr="005F13AE">
        <w:rPr>
          <w:i/>
        </w:rPr>
        <w:t>Achieving the Green Dream: Predicted vs Actual</w:t>
      </w:r>
      <w:r>
        <w:t>, Green Building Council of Australia, August 2013, pp. 17</w:t>
      </w:r>
      <w:r>
        <w:noBreakHyphen/>
        <w:t>20.</w:t>
      </w:r>
      <w:r w:rsidRPr="00F776ED">
        <w:rPr>
          <w:noProof/>
          <w:lang w:eastAsia="en-AU"/>
        </w:rPr>
        <w:t xml:space="preserve"> </w:t>
      </w:r>
    </w:p>
    <w:p w:rsidR="003620E4" w:rsidRDefault="003620E4" w:rsidP="002B3C0A">
      <w:pPr>
        <w:pStyle w:val="Heading4"/>
      </w:pPr>
      <w:r>
        <w:t>Limitations</w:t>
      </w:r>
    </w:p>
    <w:p w:rsidR="003620E4" w:rsidRDefault="003620E4" w:rsidP="003620E4">
      <w:pPr>
        <w:pStyle w:val="BodyText"/>
        <w:rPr>
          <w:lang w:eastAsia="en-US"/>
        </w:rPr>
      </w:pPr>
      <w:r>
        <w:rPr>
          <w:lang w:eastAsia="en-US"/>
        </w:rPr>
        <w:t>A submission from Parramatta City Council argued that predicted ‘normalised’ greenhouse gas emissions in design (or at the as</w:t>
      </w:r>
      <w:r>
        <w:rPr>
          <w:lang w:eastAsia="en-US"/>
        </w:rPr>
        <w:noBreakHyphen/>
        <w:t>built stage) and the NABERS Benchmarking Factor in operation are not comparable, implying that no conclusions on the accuracy of modelled outcomes can be drawn from the above analysis.</w:t>
      </w:r>
    </w:p>
    <w:p w:rsidR="003620E4" w:rsidRDefault="003620E4" w:rsidP="003620E4">
      <w:pPr>
        <w:pStyle w:val="BodyText"/>
        <w:rPr>
          <w:lang w:eastAsia="en-US"/>
        </w:rPr>
      </w:pPr>
      <w:r>
        <w:rPr>
          <w:lang w:eastAsia="en-US"/>
        </w:rPr>
        <w:t>NABERS Benchmarking Factors are designed to enable a fair comparison between buildings (or tenancies). Benchmarking Factors are calculated by applying correction factors to the actual emissions of the rated premise to account for building/tenant operational factors, such as building area, hours of use, climate, equipment density and greenhouse intensity of the energy source.</w:t>
      </w:r>
      <w:r>
        <w:rPr>
          <w:rStyle w:val="FootnoteReference"/>
          <w:lang w:eastAsia="en-US"/>
        </w:rPr>
        <w:footnoteReference w:id="115"/>
      </w:r>
    </w:p>
    <w:p w:rsidR="003620E4" w:rsidRDefault="003620E4" w:rsidP="003620E4">
      <w:pPr>
        <w:pStyle w:val="BodyText"/>
        <w:rPr>
          <w:lang w:eastAsia="en-US"/>
        </w:rPr>
      </w:pPr>
      <w:r>
        <w:rPr>
          <w:lang w:eastAsia="en-US"/>
        </w:rPr>
        <w:t>Conceptually, applying these corrections is appropriate to ensure comparability. For example, if a building produces the same greenhouse gases as modelled, yet the occupied floor area is smaller and/or the operating hours are shorter than assumed in the modelling, the building would appear to be operating less efficiently than modelled.</w:t>
      </w:r>
    </w:p>
    <w:p w:rsidR="003620E4" w:rsidRDefault="003620E4" w:rsidP="003620E4">
      <w:pPr>
        <w:pStyle w:val="BodyText"/>
        <w:rPr>
          <w:lang w:eastAsia="en-US"/>
        </w:rPr>
      </w:pPr>
      <w:r>
        <w:rPr>
          <w:lang w:eastAsia="en-US"/>
        </w:rPr>
        <w:t>Modelled energy performance can vary from actual energy performance for a number of reasons, including that the actual operation of the building may be difficult to predict and may not reflect the assumptions used in modelling (see appendix D for more discussion of the factors that may contribute to the performance gap). In this regard, the observation that input assumptions used in modelling vary from actual operation reinforces the point that a specific building’s energy performance is inherently hard to predict, even where the model accurately captures the physical relationships between building design and energy performance. Actual energy performance will depend on the interaction between the technical energy efficiency of the building as well as behavioural aspects.</w:t>
      </w:r>
    </w:p>
    <w:p w:rsidR="003620E4" w:rsidRDefault="003620E4" w:rsidP="003620E4">
      <w:pPr>
        <w:pStyle w:val="BodyText"/>
        <w:rPr>
          <w:lang w:eastAsia="en-US"/>
        </w:rPr>
      </w:pPr>
      <w:r>
        <w:rPr>
          <w:lang w:eastAsia="en-US"/>
        </w:rPr>
        <w:t>However, the argument here is that the algorithms used to correct for differences in floor area, hours of operation and climate introduces distortions.</w:t>
      </w:r>
    </w:p>
    <w:p w:rsidR="003620E4" w:rsidRDefault="003620E4" w:rsidP="003620E4">
      <w:pPr>
        <w:pStyle w:val="ListBullet"/>
        <w:numPr>
          <w:ilvl w:val="0"/>
          <w:numId w:val="36"/>
        </w:numPr>
        <w:rPr>
          <w:lang w:eastAsia="en-US"/>
        </w:rPr>
      </w:pPr>
      <w:r>
        <w:rPr>
          <w:lang w:eastAsia="en-US"/>
        </w:rPr>
        <w:t>Flux Consultants who prepared the submission on behalf of Parramatta City Council argues that the algorithms used to normalise energy performance are based on limited and now out</w:t>
      </w:r>
      <w:r>
        <w:rPr>
          <w:lang w:eastAsia="en-US"/>
        </w:rPr>
        <w:noBreakHyphen/>
        <w:t>of</w:t>
      </w:r>
      <w:r>
        <w:rPr>
          <w:lang w:eastAsia="en-US"/>
        </w:rPr>
        <w:noBreakHyphen/>
        <w:t>date datasets that were available when the Australian Building Greenhouse Rating scheme (the forerunner to NABERS) was established in 1998. Subsequent analysis based</w:t>
      </w:r>
      <w:r w:rsidRPr="00A80366">
        <w:rPr>
          <w:lang w:eastAsia="en-US"/>
        </w:rPr>
        <w:t xml:space="preserve"> </w:t>
      </w:r>
      <w:r>
        <w:rPr>
          <w:lang w:eastAsia="en-US"/>
        </w:rPr>
        <w:t>on an expanded dataset (available through the CBD program) has suggested that some of the relationships used to normalise energy performance may be unreliable.</w:t>
      </w:r>
      <w:r>
        <w:rPr>
          <w:rStyle w:val="FootnoteReference"/>
          <w:lang w:eastAsia="en-US"/>
        </w:rPr>
        <w:footnoteReference w:id="116"/>
      </w:r>
    </w:p>
    <w:p w:rsidR="003620E4" w:rsidRDefault="003620E4" w:rsidP="003620E4">
      <w:pPr>
        <w:pStyle w:val="ListBullet"/>
        <w:numPr>
          <w:ilvl w:val="0"/>
          <w:numId w:val="36"/>
        </w:numPr>
        <w:rPr>
          <w:lang w:eastAsia="en-US"/>
        </w:rPr>
      </w:pPr>
      <w:r>
        <w:rPr>
          <w:lang w:eastAsia="en-US"/>
        </w:rPr>
        <w:t>Furthermore, the submission argues that the NABERS Benchmarking Factor is based on greenhouse gas emissions factors from 1998, which are now out</w:t>
      </w:r>
      <w:r>
        <w:rPr>
          <w:lang w:eastAsia="en-US"/>
        </w:rPr>
        <w:noBreakHyphen/>
        <w:t>of</w:t>
      </w:r>
      <w:r>
        <w:rPr>
          <w:lang w:eastAsia="en-US"/>
        </w:rPr>
        <w:noBreakHyphen/>
        <w:t>date, particularly in areas where the greenhouse gas intensity of electricity has declined significantly. This means that the Benchmarking Factors are not comparable with modelled greenhouse gas emissions, which are based on current greenhouse gas emissions factors.</w:t>
      </w:r>
      <w:r>
        <w:rPr>
          <w:rStyle w:val="FootnoteReference"/>
          <w:lang w:eastAsia="en-US"/>
        </w:rPr>
        <w:footnoteReference w:id="117"/>
      </w:r>
    </w:p>
    <w:p w:rsidR="003620E4" w:rsidRDefault="003620E4" w:rsidP="003620E4">
      <w:pPr>
        <w:pStyle w:val="BodyText"/>
        <w:rPr>
          <w:lang w:eastAsia="en-US"/>
        </w:rPr>
      </w:pPr>
      <w:r>
        <w:rPr>
          <w:lang w:eastAsia="en-US"/>
        </w:rPr>
        <w:t>Other stakeholders have made various plausible suggestions as to why the relationship implied by these results may not be representative of the commercial building sector more broadly, including the following:</w:t>
      </w:r>
    </w:p>
    <w:p w:rsidR="003620E4" w:rsidRDefault="003620E4" w:rsidP="003620E4">
      <w:pPr>
        <w:pStyle w:val="ListBullet"/>
        <w:numPr>
          <w:ilvl w:val="0"/>
          <w:numId w:val="36"/>
        </w:numPr>
        <w:rPr>
          <w:lang w:eastAsia="en-US"/>
        </w:rPr>
      </w:pPr>
      <w:r>
        <w:rPr>
          <w:lang w:eastAsia="en-US"/>
        </w:rPr>
        <w:t>the sample includes only office buildings which may not be representative of other types of commercial buildings;</w:t>
      </w:r>
    </w:p>
    <w:p w:rsidR="003620E4" w:rsidRDefault="003620E4" w:rsidP="003620E4">
      <w:pPr>
        <w:pStyle w:val="ListBullet"/>
        <w:numPr>
          <w:ilvl w:val="0"/>
          <w:numId w:val="36"/>
        </w:numPr>
        <w:rPr>
          <w:lang w:eastAsia="en-US"/>
        </w:rPr>
      </w:pPr>
      <w:r>
        <w:rPr>
          <w:lang w:eastAsia="en-US"/>
        </w:rPr>
        <w:t>the actual performance was measured only two years after construction and it may take several years to achieve optimal performance; and</w:t>
      </w:r>
    </w:p>
    <w:p w:rsidR="003620E4" w:rsidRDefault="003620E4" w:rsidP="003620E4">
      <w:pPr>
        <w:pStyle w:val="ListBullet"/>
        <w:numPr>
          <w:ilvl w:val="0"/>
          <w:numId w:val="36"/>
        </w:numPr>
        <w:rPr>
          <w:lang w:eastAsia="en-US"/>
        </w:rPr>
      </w:pPr>
      <w:r>
        <w:rPr>
          <w:lang w:eastAsia="en-US"/>
        </w:rPr>
        <w:t>actual performance in any given year can be affected by factors such as weather conditions and may not be representative of average performance over time.</w:t>
      </w:r>
    </w:p>
    <w:p w:rsidR="003620E4" w:rsidRDefault="003620E4" w:rsidP="003620E4">
      <w:pPr>
        <w:pStyle w:val="BodyText"/>
        <w:rPr>
          <w:lang w:eastAsia="en-US"/>
        </w:rPr>
      </w:pPr>
      <w:r>
        <w:rPr>
          <w:lang w:eastAsia="en-US"/>
        </w:rPr>
        <w:t>On the other hand, participants in the voluntary Green Star scheme that may also be required to obtain a NABERS rating would be expected to be more conscious of their energy performance than other building owners.</w:t>
      </w:r>
    </w:p>
    <w:p w:rsidR="00612FD3" w:rsidRDefault="00612FD3" w:rsidP="00612FD3">
      <w:pPr>
        <w:pStyle w:val="Heading3"/>
        <w:numPr>
          <w:ilvl w:val="2"/>
          <w:numId w:val="5"/>
        </w:numPr>
        <w:rPr>
          <w:lang w:eastAsia="en-US"/>
        </w:rPr>
      </w:pPr>
      <w:r>
        <w:rPr>
          <w:lang w:eastAsia="en-US"/>
        </w:rPr>
        <w:t>NABERS commitment agreements</w:t>
      </w:r>
    </w:p>
    <w:p w:rsidR="00612FD3" w:rsidRDefault="00612FD3" w:rsidP="00612FD3">
      <w:pPr>
        <w:pStyle w:val="BodyText"/>
        <w:rPr>
          <w:lang w:eastAsia="en-US"/>
        </w:rPr>
      </w:pPr>
      <w:r>
        <w:rPr>
          <w:lang w:eastAsia="en-US"/>
        </w:rPr>
        <w:t>The extent to which the targets specified in NABERS Commitment Agreements are being achieved is another potential indicator of whether modelled outcomes are being realised. Data provided by the NSW Office of Environment and Heritage (the NABERS administrator) shows that of the 115 completed NABERS Commitment Agreements for which data are available, 105 (or 91 per cent) achieved their targeted star rating (table </w:t>
      </w:r>
      <w:r>
        <w:rPr>
          <w:highlight w:val="yellow"/>
          <w:lang w:eastAsia="en-US"/>
        </w:rPr>
        <w:fldChar w:fldCharType="begin"/>
      </w:r>
      <w:r>
        <w:rPr>
          <w:lang w:eastAsia="en-US"/>
        </w:rPr>
        <w:instrText xml:space="preserve"> REF _Caption4258 </w:instrText>
      </w:r>
      <w:r>
        <w:rPr>
          <w:highlight w:val="yellow"/>
          <w:lang w:eastAsia="en-US"/>
        </w:rPr>
        <w:fldChar w:fldCharType="separate"/>
      </w:r>
      <w:r w:rsidR="006B79B8">
        <w:rPr>
          <w:noProof/>
        </w:rPr>
        <w:t>D</w:t>
      </w:r>
      <w:r w:rsidR="006B79B8" w:rsidRPr="00695C93">
        <w:rPr>
          <w:noProof/>
        </w:rPr>
        <w:t>.</w:t>
      </w:r>
      <w:r w:rsidR="006B79B8">
        <w:rPr>
          <w:noProof/>
        </w:rPr>
        <w:t>5</w:t>
      </w:r>
      <w:r>
        <w:rPr>
          <w:highlight w:val="yellow"/>
          <w:lang w:eastAsia="en-US"/>
        </w:rPr>
        <w:fldChar w:fldCharType="end"/>
      </w:r>
      <w:r>
        <w:rPr>
          <w:lang w:eastAsia="en-US"/>
        </w:rPr>
        <w:t>). However, data on modelled GHG emission and/or energy consumption performance was not available.</w:t>
      </w:r>
    </w:p>
    <w:p w:rsidR="00612FD3" w:rsidRDefault="00612FD3" w:rsidP="00612FD3">
      <w:pPr>
        <w:pStyle w:val="Caption"/>
      </w:pPr>
      <w:r w:rsidRPr="00695C93">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sidR="00B833F1">
        <w:rPr>
          <w:noProof/>
        </w:rPr>
        <w:instrText>D</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1</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Pr>
          <w:noProof/>
        </w:rPr>
        <w:instrText>1</w:instrText>
      </w:r>
      <w:r>
        <w:rPr>
          <w:noProof/>
        </w:rPr>
        <w:fldChar w:fldCharType="end"/>
      </w:r>
      <w:r w:rsidRPr="00695C93">
        <w:instrText xml:space="preserve">." </w:instrText>
      </w:r>
      <w:r w:rsidRPr="00695C93">
        <w:fldChar w:fldCharType="separate"/>
      </w:r>
      <w:r>
        <w:rPr>
          <w:noProof/>
        </w:rPr>
        <w:instrText>1</w:instrText>
      </w:r>
      <w:r w:rsidRPr="00695C93">
        <w:rPr>
          <w:noProof/>
        </w:rPr>
        <w:instrText>.</w:instrText>
      </w:r>
      <w:r w:rsidRPr="00695C93">
        <w:fldChar w:fldCharType="end"/>
      </w:r>
      <w:r w:rsidRPr="00695C93">
        <w:instrText>" "</w:instrText>
      </w:r>
      <w:r>
        <w:rPr>
          <w:noProof/>
        </w:rPr>
        <w:fldChar w:fldCharType="begin"/>
      </w:r>
      <w:r>
        <w:rPr>
          <w:noProof/>
        </w:rPr>
        <w:instrText xml:space="preserve"> STYLEREF "Heading 6" \l \n </w:instrText>
      </w:r>
      <w:r>
        <w:rPr>
          <w:noProof/>
        </w:rPr>
        <w:fldChar w:fldCharType="separate"/>
      </w:r>
      <w:r w:rsidR="00B833F1">
        <w:rPr>
          <w:noProof/>
        </w:rPr>
        <w:instrText>D</w:instrText>
      </w:r>
      <w:r>
        <w:rPr>
          <w:noProof/>
        </w:rPr>
        <w:fldChar w:fldCharType="end"/>
      </w:r>
      <w:r w:rsidRPr="00695C93">
        <w:instrText xml:space="preserve">." </w:instrText>
      </w:r>
      <w:r w:rsidRPr="00695C93">
        <w:fldChar w:fldCharType="separate"/>
      </w:r>
      <w:r w:rsidR="00B833F1">
        <w:rPr>
          <w:noProof/>
        </w:rPr>
        <w:instrText>D</w:instrText>
      </w:r>
      <w:r w:rsidR="00B833F1" w:rsidRPr="00695C93">
        <w:rPr>
          <w:noProof/>
        </w:rPr>
        <w:instrText>.</w:instrText>
      </w:r>
      <w:r w:rsidRPr="00695C93">
        <w:fldChar w:fldCharType="end"/>
      </w:r>
      <w:r>
        <w:instrText>5</w:instrText>
      </w:r>
      <w:r w:rsidRPr="00695C93">
        <w:instrText xml:space="preserve">" "" </w:instrText>
      </w:r>
      <w:r w:rsidRPr="00695C93">
        <w:fldChar w:fldCharType="separate"/>
      </w:r>
      <w:bookmarkStart w:id="5590" w:name="_Caption1637"/>
      <w:bookmarkStart w:id="5591" w:name="_Caption4057"/>
      <w:bookmarkStart w:id="5592" w:name="_Caption9028"/>
      <w:bookmarkStart w:id="5593" w:name="_Caption6311"/>
      <w:bookmarkStart w:id="5594" w:name="_Caption5988"/>
      <w:bookmarkStart w:id="5595" w:name="_Caption4264"/>
      <w:bookmarkStart w:id="5596" w:name="_Caption0134"/>
      <w:bookmarkStart w:id="5597" w:name="_Caption9571"/>
      <w:bookmarkStart w:id="5598" w:name="_Caption3923"/>
      <w:bookmarkStart w:id="5599" w:name="_Caption2985"/>
      <w:bookmarkStart w:id="5600" w:name="_Caption1460"/>
      <w:bookmarkStart w:id="5601" w:name="_Caption0348"/>
      <w:bookmarkStart w:id="5602" w:name="_Caption6313"/>
      <w:bookmarkStart w:id="5603" w:name="_Caption5461"/>
      <w:bookmarkStart w:id="5604" w:name="_Caption4656"/>
      <w:bookmarkStart w:id="5605" w:name="_Caption8730"/>
      <w:bookmarkStart w:id="5606" w:name="_Caption0282"/>
      <w:bookmarkStart w:id="5607" w:name="_Caption9427"/>
      <w:bookmarkStart w:id="5608" w:name="_Caption1520"/>
      <w:bookmarkStart w:id="5609" w:name="_Caption8478"/>
      <w:bookmarkStart w:id="5610" w:name="_Caption6417"/>
      <w:bookmarkStart w:id="5611" w:name="_Caption1229"/>
      <w:bookmarkStart w:id="5612" w:name="_Caption5539"/>
      <w:bookmarkStart w:id="5613" w:name="_Caption7200"/>
      <w:bookmarkStart w:id="5614" w:name="_Caption6679"/>
      <w:bookmarkStart w:id="5615" w:name="_Caption9122"/>
      <w:bookmarkStart w:id="5616" w:name="_Caption6816"/>
      <w:bookmarkStart w:id="5617" w:name="_Caption0222"/>
      <w:bookmarkStart w:id="5618" w:name="_Caption5049"/>
      <w:bookmarkStart w:id="5619" w:name="_Caption8752"/>
      <w:bookmarkStart w:id="5620" w:name="_Caption7425"/>
      <w:bookmarkStart w:id="5621" w:name="_Caption1173"/>
      <w:bookmarkStart w:id="5622" w:name="_Caption5929"/>
      <w:bookmarkStart w:id="5623" w:name="_Caption7926"/>
      <w:bookmarkStart w:id="5624" w:name="_Caption3311"/>
      <w:bookmarkStart w:id="5625" w:name="_Caption3032"/>
      <w:bookmarkStart w:id="5626" w:name="_Caption7070"/>
      <w:bookmarkStart w:id="5627" w:name="_Caption1399"/>
      <w:bookmarkStart w:id="5628" w:name="_Caption8242"/>
      <w:bookmarkStart w:id="5629" w:name="_Caption7912"/>
      <w:bookmarkStart w:id="5630" w:name="_Caption6379"/>
      <w:bookmarkStart w:id="5631" w:name="_Caption1719"/>
      <w:bookmarkStart w:id="5632" w:name="_Caption5057"/>
      <w:bookmarkStart w:id="5633" w:name="_Caption7655"/>
      <w:bookmarkStart w:id="5634" w:name="_Caption2805"/>
      <w:bookmarkStart w:id="5635" w:name="_Caption1494"/>
      <w:bookmarkStart w:id="5636" w:name="_Caption9098"/>
      <w:bookmarkStart w:id="5637" w:name="_Caption2528"/>
      <w:bookmarkStart w:id="5638" w:name="_Caption9405"/>
      <w:bookmarkStart w:id="5639" w:name="_Caption2605"/>
      <w:bookmarkStart w:id="5640" w:name="_Caption5208"/>
      <w:bookmarkStart w:id="5641" w:name="_Caption2072"/>
      <w:bookmarkStart w:id="5642" w:name="_Caption5514"/>
      <w:bookmarkStart w:id="5643" w:name="_Caption6684"/>
      <w:bookmarkStart w:id="5644" w:name="_Caption4100"/>
      <w:bookmarkStart w:id="5645" w:name="_Caption6754"/>
      <w:bookmarkStart w:id="5646" w:name="_Caption1061"/>
      <w:bookmarkStart w:id="5647" w:name="_Caption8013"/>
      <w:bookmarkStart w:id="5648" w:name="_Caption8689"/>
      <w:bookmarkStart w:id="5649" w:name="_Caption7709"/>
      <w:bookmarkStart w:id="5650" w:name="_Caption4258"/>
      <w:bookmarkStart w:id="5651" w:name="_Caption7651"/>
      <w:bookmarkStart w:id="5652" w:name="_Caption8536"/>
      <w:bookmarkStart w:id="5653" w:name="_Caption1736"/>
      <w:bookmarkStart w:id="5654" w:name="_Caption6507"/>
      <w:bookmarkStart w:id="5655" w:name="_Caption5041"/>
      <w:bookmarkStart w:id="5656" w:name="_Caption3976"/>
      <w:bookmarkStart w:id="5657" w:name="_Caption1647"/>
      <w:bookmarkStart w:id="5658" w:name="_Caption5636"/>
      <w:bookmarkStart w:id="5659" w:name="_Caption5118"/>
      <w:bookmarkStart w:id="5660" w:name="_Caption1058"/>
      <w:bookmarkStart w:id="5661" w:name="_Caption8994"/>
      <w:bookmarkStart w:id="5662" w:name="_Caption8872"/>
      <w:bookmarkStart w:id="5663" w:name="_Caption0723"/>
      <w:bookmarkStart w:id="5664" w:name="_Caption0694"/>
      <w:bookmarkStart w:id="5665" w:name="_Caption4072"/>
      <w:bookmarkStart w:id="5666" w:name="_Caption6063"/>
      <w:bookmarkStart w:id="5667" w:name="_Caption4289"/>
      <w:bookmarkStart w:id="5668" w:name="_Caption5672"/>
      <w:bookmarkStart w:id="5669" w:name="_Caption7392"/>
      <w:bookmarkStart w:id="5670" w:name="_Caption7616"/>
      <w:bookmarkStart w:id="5671" w:name="_Caption4299"/>
      <w:bookmarkStart w:id="5672" w:name="_Caption7649"/>
      <w:bookmarkStart w:id="5673" w:name="_Caption5604"/>
      <w:bookmarkStart w:id="5674" w:name="_Caption4879"/>
      <w:bookmarkStart w:id="5675" w:name="_Caption5022"/>
      <w:bookmarkStart w:id="5676" w:name="_Caption2883"/>
      <w:bookmarkStart w:id="5677" w:name="_Caption8116"/>
      <w:bookmarkStart w:id="5678" w:name="_Caption4089"/>
      <w:bookmarkStart w:id="5679" w:name="_Caption7310"/>
      <w:bookmarkStart w:id="5680" w:name="_Caption6806"/>
      <w:bookmarkStart w:id="5681" w:name="_Caption8423"/>
      <w:bookmarkStart w:id="5682" w:name="_Caption6406"/>
      <w:bookmarkStart w:id="5683" w:name="_Caption7870"/>
      <w:bookmarkStart w:id="5684" w:name="_Caption1304"/>
      <w:bookmarkStart w:id="5685" w:name="_Caption5748"/>
      <w:bookmarkStart w:id="5686" w:name="_Caption2707"/>
      <w:bookmarkStart w:id="5687" w:name="_Caption6184"/>
      <w:bookmarkStart w:id="5688" w:name="_Caption0017"/>
      <w:bookmarkStart w:id="5689" w:name="_Caption7585"/>
      <w:bookmarkStart w:id="5690" w:name="_Caption0002"/>
      <w:bookmarkStart w:id="5691" w:name="_Caption5029"/>
      <w:bookmarkStart w:id="5692" w:name="_Caption8917"/>
      <w:bookmarkStart w:id="5693" w:name="_Caption9368"/>
      <w:bookmarkStart w:id="5694" w:name="_Caption1904"/>
      <w:bookmarkStart w:id="5695" w:name="_Caption1112"/>
      <w:bookmarkStart w:id="5696" w:name="_Caption2732"/>
      <w:bookmarkStart w:id="5697" w:name="_Toc509220877"/>
      <w:bookmarkStart w:id="5698" w:name="_Toc529869979"/>
      <w:bookmarkStart w:id="5699" w:name="_Toc530748475"/>
      <w:r w:rsidR="00EA42ED">
        <w:rPr>
          <w:noProof/>
        </w:rPr>
        <w:t>D</w:t>
      </w:r>
      <w:r w:rsidR="00EA42ED" w:rsidRPr="00695C93">
        <w:rPr>
          <w:noProof/>
        </w:rPr>
        <w:t>.</w:t>
      </w:r>
      <w:r w:rsidR="00EA42ED">
        <w:rPr>
          <w:noProof/>
        </w:rPr>
        <w:t>5</w:t>
      </w:r>
      <w:bookmarkStart w:id="5700" w:name="_Toc507523828"/>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r w:rsidRPr="00695C93">
        <w:fldChar w:fldCharType="end"/>
      </w:r>
      <w:r w:rsidRPr="00695C93">
        <w:tab/>
      </w:r>
      <w:r>
        <w:t>NABERS Commitment Agreements</w:t>
      </w:r>
      <w:bookmarkEnd w:id="5697"/>
      <w:bookmarkEnd w:id="5698"/>
      <w:bookmarkEnd w:id="5699"/>
      <w:bookmarkEnd w:id="5700"/>
    </w:p>
    <w:tbl>
      <w:tblPr>
        <w:tblW w:w="7936" w:type="dxa"/>
        <w:tblLayout w:type="fixed"/>
        <w:tblLook w:val="0000" w:firstRow="0" w:lastRow="0" w:firstColumn="0" w:lastColumn="0" w:noHBand="0" w:noVBand="0"/>
        <w:tblCaption w:val="Table D.5 NABERS Commitment Agreements"/>
        <w:tblDescription w:val="This table shows NABERS commitment agreements. "/>
      </w:tblPr>
      <w:tblGrid>
        <w:gridCol w:w="1233"/>
        <w:gridCol w:w="2234"/>
        <w:gridCol w:w="2234"/>
        <w:gridCol w:w="2235"/>
      </w:tblGrid>
      <w:tr w:rsidR="00612FD3" w:rsidTr="00301B6D">
        <w:trPr>
          <w:trHeight w:val="691"/>
        </w:trPr>
        <w:tc>
          <w:tcPr>
            <w:tcW w:w="1233" w:type="dxa"/>
            <w:shd w:val="clear" w:color="auto" w:fill="6F6652"/>
            <w:tcMar>
              <w:left w:w="57" w:type="dxa"/>
              <w:right w:w="57" w:type="dxa"/>
            </w:tcMar>
          </w:tcPr>
          <w:p w:rsidR="00612FD3" w:rsidRDefault="00612FD3" w:rsidP="00301B6D">
            <w:pPr>
              <w:pStyle w:val="TableDataColumnHeading"/>
              <w:jc w:val="left"/>
              <w:rPr>
                <w:lang w:val="en-GB"/>
              </w:rPr>
            </w:pPr>
          </w:p>
        </w:tc>
        <w:tc>
          <w:tcPr>
            <w:tcW w:w="2234" w:type="dxa"/>
            <w:shd w:val="clear" w:color="auto" w:fill="6F6652"/>
            <w:tcMar>
              <w:left w:w="57" w:type="dxa"/>
              <w:right w:w="57" w:type="dxa"/>
            </w:tcMar>
          </w:tcPr>
          <w:p w:rsidR="00612FD3" w:rsidRDefault="00612FD3" w:rsidP="00301B6D">
            <w:pPr>
              <w:pStyle w:val="TableDataColumnHeading"/>
              <w:rPr>
                <w:lang w:val="en-GB"/>
              </w:rPr>
            </w:pPr>
            <w:r>
              <w:rPr>
                <w:lang w:val="en-GB"/>
              </w:rPr>
              <w:t>Completed NABERS Commitment Agreements</w:t>
            </w:r>
          </w:p>
        </w:tc>
        <w:tc>
          <w:tcPr>
            <w:tcW w:w="2234" w:type="dxa"/>
            <w:shd w:val="clear" w:color="auto" w:fill="6F6652"/>
            <w:tcMar>
              <w:left w:w="57" w:type="dxa"/>
              <w:right w:w="57" w:type="dxa"/>
            </w:tcMar>
          </w:tcPr>
          <w:p w:rsidR="00612FD3" w:rsidRDefault="00612FD3" w:rsidP="00301B6D">
            <w:pPr>
              <w:pStyle w:val="TableDataColumnHeading"/>
              <w:rPr>
                <w:lang w:val="en-GB"/>
              </w:rPr>
            </w:pPr>
            <w:r>
              <w:rPr>
                <w:lang w:val="en-GB"/>
              </w:rPr>
              <w:t>Star rating target not achieved</w:t>
            </w:r>
          </w:p>
        </w:tc>
        <w:tc>
          <w:tcPr>
            <w:tcW w:w="2235" w:type="dxa"/>
            <w:shd w:val="clear" w:color="auto" w:fill="6F6652"/>
            <w:tcMar>
              <w:left w:w="57" w:type="dxa"/>
              <w:right w:w="57" w:type="dxa"/>
            </w:tcMar>
          </w:tcPr>
          <w:p w:rsidR="00612FD3" w:rsidRDefault="00612FD3" w:rsidP="00301B6D">
            <w:pPr>
              <w:pStyle w:val="TableDataColumnHeading"/>
              <w:rPr>
                <w:lang w:val="en-GB"/>
              </w:rPr>
            </w:pPr>
            <w:r>
              <w:rPr>
                <w:lang w:val="en-GB"/>
              </w:rPr>
              <w:t>Star rating target achieved</w:t>
            </w:r>
          </w:p>
        </w:tc>
      </w:tr>
      <w:tr w:rsidR="00612FD3" w:rsidTr="00301B6D">
        <w:trPr>
          <w:trHeight w:val="230"/>
        </w:trPr>
        <w:tc>
          <w:tcPr>
            <w:tcW w:w="123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jc w:val="left"/>
              <w:rPr>
                <w:lang w:val="en-GB"/>
              </w:rPr>
            </w:pPr>
          </w:p>
        </w:tc>
        <w:tc>
          <w:tcPr>
            <w:tcW w:w="2234"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No.</w:t>
            </w:r>
          </w:p>
        </w:tc>
        <w:tc>
          <w:tcPr>
            <w:tcW w:w="2234"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No.</w:t>
            </w:r>
          </w:p>
        </w:tc>
        <w:tc>
          <w:tcPr>
            <w:tcW w:w="2235"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Per cent</w:t>
            </w:r>
          </w:p>
        </w:tc>
      </w:tr>
      <w:tr w:rsidR="00612FD3" w:rsidTr="00301B6D">
        <w:trPr>
          <w:trHeight w:val="230"/>
        </w:trPr>
        <w:tc>
          <w:tcPr>
            <w:tcW w:w="123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jc w:val="left"/>
              <w:rPr>
                <w:lang w:val="en-GB"/>
              </w:rPr>
            </w:pPr>
            <w:r>
              <w:rPr>
                <w:lang w:val="en-GB"/>
              </w:rPr>
              <w:t>4 stars</w:t>
            </w:r>
          </w:p>
        </w:tc>
        <w:tc>
          <w:tcPr>
            <w:tcW w:w="223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7</w:t>
            </w:r>
          </w:p>
        </w:tc>
        <w:tc>
          <w:tcPr>
            <w:tcW w:w="223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0</w:t>
            </w:r>
          </w:p>
        </w:tc>
        <w:tc>
          <w:tcPr>
            <w:tcW w:w="223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100</w:t>
            </w:r>
          </w:p>
        </w:tc>
      </w:tr>
      <w:tr w:rsidR="00612FD3" w:rsidTr="00301B6D">
        <w:trPr>
          <w:trHeight w:val="230"/>
        </w:trPr>
        <w:tc>
          <w:tcPr>
            <w:tcW w:w="123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jc w:val="left"/>
              <w:rPr>
                <w:lang w:val="en-GB"/>
              </w:rPr>
            </w:pPr>
            <w:r>
              <w:rPr>
                <w:lang w:val="en-GB"/>
              </w:rPr>
              <w:t>4.5 stars</w:t>
            </w:r>
          </w:p>
        </w:tc>
        <w:tc>
          <w:tcPr>
            <w:tcW w:w="223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66</w:t>
            </w:r>
          </w:p>
        </w:tc>
        <w:tc>
          <w:tcPr>
            <w:tcW w:w="223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8</w:t>
            </w:r>
          </w:p>
        </w:tc>
        <w:tc>
          <w:tcPr>
            <w:tcW w:w="223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88</w:t>
            </w:r>
          </w:p>
        </w:tc>
      </w:tr>
      <w:tr w:rsidR="00612FD3" w:rsidTr="00301B6D">
        <w:trPr>
          <w:trHeight w:val="230"/>
        </w:trPr>
        <w:tc>
          <w:tcPr>
            <w:tcW w:w="123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jc w:val="left"/>
              <w:rPr>
                <w:lang w:val="en-GB"/>
              </w:rPr>
            </w:pPr>
            <w:r>
              <w:rPr>
                <w:lang w:val="en-GB"/>
              </w:rPr>
              <w:t>5 stars</w:t>
            </w:r>
          </w:p>
        </w:tc>
        <w:tc>
          <w:tcPr>
            <w:tcW w:w="223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40</w:t>
            </w:r>
          </w:p>
        </w:tc>
        <w:tc>
          <w:tcPr>
            <w:tcW w:w="223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1</w:t>
            </w:r>
          </w:p>
        </w:tc>
        <w:tc>
          <w:tcPr>
            <w:tcW w:w="223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98</w:t>
            </w:r>
          </w:p>
        </w:tc>
      </w:tr>
      <w:tr w:rsidR="00612FD3" w:rsidTr="00301B6D">
        <w:trPr>
          <w:trHeight w:val="230"/>
        </w:trPr>
        <w:tc>
          <w:tcPr>
            <w:tcW w:w="123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jc w:val="left"/>
              <w:rPr>
                <w:lang w:val="en-GB"/>
              </w:rPr>
            </w:pPr>
            <w:r>
              <w:rPr>
                <w:lang w:val="en-GB"/>
              </w:rPr>
              <w:t>5.5 stars</w:t>
            </w:r>
          </w:p>
        </w:tc>
        <w:tc>
          <w:tcPr>
            <w:tcW w:w="223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1</w:t>
            </w:r>
          </w:p>
        </w:tc>
        <w:tc>
          <w:tcPr>
            <w:tcW w:w="223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0</w:t>
            </w:r>
          </w:p>
        </w:tc>
        <w:tc>
          <w:tcPr>
            <w:tcW w:w="223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100</w:t>
            </w:r>
          </w:p>
        </w:tc>
      </w:tr>
      <w:tr w:rsidR="00612FD3" w:rsidTr="00301B6D">
        <w:trPr>
          <w:trHeight w:val="230"/>
        </w:trPr>
        <w:tc>
          <w:tcPr>
            <w:tcW w:w="123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jc w:val="left"/>
              <w:rPr>
                <w:lang w:val="en-GB"/>
              </w:rPr>
            </w:pPr>
            <w:r>
              <w:rPr>
                <w:lang w:val="en-GB"/>
              </w:rPr>
              <w:t>6 stars</w:t>
            </w:r>
          </w:p>
        </w:tc>
        <w:tc>
          <w:tcPr>
            <w:tcW w:w="223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1</w:t>
            </w:r>
          </w:p>
        </w:tc>
        <w:tc>
          <w:tcPr>
            <w:tcW w:w="223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1</w:t>
            </w:r>
          </w:p>
        </w:tc>
        <w:tc>
          <w:tcPr>
            <w:tcW w:w="223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0</w:t>
            </w:r>
          </w:p>
        </w:tc>
      </w:tr>
      <w:tr w:rsidR="00612FD3" w:rsidRPr="00F776ED" w:rsidTr="00301B6D">
        <w:trPr>
          <w:trHeight w:val="230"/>
        </w:trPr>
        <w:tc>
          <w:tcPr>
            <w:tcW w:w="1233"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rsidR="00612FD3" w:rsidRPr="00F776ED" w:rsidRDefault="00612FD3" w:rsidP="00301B6D">
            <w:pPr>
              <w:pStyle w:val="TableDataEntries"/>
              <w:jc w:val="left"/>
              <w:rPr>
                <w:rFonts w:ascii="Franklin Gothic Demi" w:hAnsi="Franklin Gothic Demi"/>
                <w:lang w:val="en-GB"/>
              </w:rPr>
            </w:pPr>
            <w:r w:rsidRPr="00F776ED">
              <w:rPr>
                <w:rFonts w:ascii="Franklin Gothic Demi" w:hAnsi="Franklin Gothic Demi"/>
                <w:lang w:val="en-GB"/>
              </w:rPr>
              <w:t>Total</w:t>
            </w:r>
          </w:p>
        </w:tc>
        <w:tc>
          <w:tcPr>
            <w:tcW w:w="2234"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rsidR="00612FD3" w:rsidRPr="00F776ED" w:rsidRDefault="00612FD3" w:rsidP="00301B6D">
            <w:pPr>
              <w:pStyle w:val="TableDataEntries"/>
              <w:rPr>
                <w:rFonts w:ascii="Franklin Gothic Demi" w:hAnsi="Franklin Gothic Demi"/>
                <w:lang w:val="en-GB"/>
              </w:rPr>
            </w:pPr>
            <w:r w:rsidRPr="00F776ED">
              <w:rPr>
                <w:rFonts w:ascii="Franklin Gothic Demi" w:hAnsi="Franklin Gothic Demi"/>
                <w:lang w:val="en-GB"/>
              </w:rPr>
              <w:t>115</w:t>
            </w:r>
          </w:p>
        </w:tc>
        <w:tc>
          <w:tcPr>
            <w:tcW w:w="2234"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rsidR="00612FD3" w:rsidRPr="00F776ED" w:rsidRDefault="00612FD3" w:rsidP="00301B6D">
            <w:pPr>
              <w:pStyle w:val="TableDataEntries"/>
              <w:rPr>
                <w:rFonts w:ascii="Franklin Gothic Demi" w:hAnsi="Franklin Gothic Demi"/>
                <w:lang w:val="en-GB"/>
              </w:rPr>
            </w:pPr>
            <w:r w:rsidRPr="00F776ED">
              <w:rPr>
                <w:rFonts w:ascii="Franklin Gothic Demi" w:hAnsi="Franklin Gothic Demi"/>
                <w:lang w:val="en-GB"/>
              </w:rPr>
              <w:t>10</w:t>
            </w:r>
          </w:p>
        </w:tc>
        <w:tc>
          <w:tcPr>
            <w:tcW w:w="2235"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rsidR="00612FD3" w:rsidRPr="00F776ED" w:rsidRDefault="00612FD3" w:rsidP="00301B6D">
            <w:pPr>
              <w:pStyle w:val="TableDataEntries"/>
              <w:rPr>
                <w:rFonts w:ascii="Franklin Gothic Demi" w:hAnsi="Franklin Gothic Demi"/>
                <w:lang w:val="en-GB"/>
              </w:rPr>
            </w:pPr>
            <w:r w:rsidRPr="00F776ED">
              <w:rPr>
                <w:rFonts w:ascii="Franklin Gothic Demi" w:hAnsi="Franklin Gothic Demi"/>
                <w:lang w:val="en-GB"/>
              </w:rPr>
              <w:t>91</w:t>
            </w:r>
          </w:p>
        </w:tc>
      </w:tr>
    </w:tbl>
    <w:p w:rsidR="00612FD3" w:rsidRDefault="00612FD3" w:rsidP="00612FD3">
      <w:pPr>
        <w:pStyle w:val="Source"/>
        <w:rPr>
          <w:lang w:bidi="fa-IR"/>
        </w:rPr>
      </w:pPr>
      <w:r w:rsidRPr="00C147EC">
        <w:rPr>
          <w:i/>
          <w:lang w:bidi="fa-IR"/>
        </w:rPr>
        <w:t>Source:</w:t>
      </w:r>
      <w:r>
        <w:rPr>
          <w:lang w:bidi="fa-IR"/>
        </w:rPr>
        <w:t xml:space="preserve"> NSW Office of Environment and Heritage.</w:t>
      </w:r>
    </w:p>
    <w:p w:rsidR="00612FD3" w:rsidRPr="00F776ED" w:rsidRDefault="00612FD3" w:rsidP="00612FD3">
      <w:pPr>
        <w:pStyle w:val="BodyText"/>
        <w:rPr>
          <w:spacing w:val="-3"/>
          <w:lang w:eastAsia="en-US"/>
        </w:rPr>
      </w:pPr>
      <w:r w:rsidRPr="00F776ED">
        <w:rPr>
          <w:spacing w:val="-3"/>
          <w:lang w:eastAsia="en-US"/>
        </w:rPr>
        <w:t>The percentage of NABERS Commitment Agreements that have achieved their star rating target is significantly higher than the 57 per cent of buildings in the Green Star sample discussed above. This could potentially indicate that a closer relationship between predicted and actual outcomes than estimated above. However, it is possible that owners that enter into NABERS Commitment Agreements are relatively conservative in the star rating they are willing to commit to.</w:t>
      </w:r>
    </w:p>
    <w:p w:rsidR="00612FD3" w:rsidRPr="00F776ED" w:rsidRDefault="00612FD3" w:rsidP="00612FD3">
      <w:pPr>
        <w:pStyle w:val="ListBullet"/>
        <w:numPr>
          <w:ilvl w:val="0"/>
          <w:numId w:val="36"/>
        </w:numPr>
        <w:rPr>
          <w:spacing w:val="-3"/>
          <w:lang w:eastAsia="en-US"/>
        </w:rPr>
      </w:pPr>
      <w:r w:rsidRPr="00F776ED">
        <w:rPr>
          <w:spacing w:val="-3"/>
          <w:lang w:eastAsia="en-US"/>
        </w:rPr>
        <w:t>We note that the targeted star ratings are relatively unambitious; in only two cases, the targeted star rating was higher than 5 stars.</w:t>
      </w:r>
    </w:p>
    <w:p w:rsidR="00612FD3" w:rsidRPr="00F776ED" w:rsidRDefault="00612FD3" w:rsidP="00612FD3">
      <w:pPr>
        <w:pStyle w:val="ListBullet"/>
        <w:numPr>
          <w:ilvl w:val="0"/>
          <w:numId w:val="36"/>
        </w:numPr>
        <w:rPr>
          <w:spacing w:val="-3"/>
          <w:lang w:eastAsia="en-US"/>
        </w:rPr>
      </w:pPr>
      <w:r w:rsidRPr="00F776ED">
        <w:rPr>
          <w:spacing w:val="-3"/>
          <w:lang w:eastAsia="en-US"/>
        </w:rPr>
        <w:t>Furthermore, there are several NABERS Commitment Agreements where the targeted star rating is only 4 stars. As the current minimum standards in the NCC are around 4.5 to 5 stars, it is doubtful that a 4 star rating would be compliant.</w:t>
      </w:r>
    </w:p>
    <w:p w:rsidR="00612FD3" w:rsidRPr="00F776ED" w:rsidRDefault="00612FD3" w:rsidP="00612FD3">
      <w:pPr>
        <w:pStyle w:val="BodyText"/>
        <w:rPr>
          <w:spacing w:val="-3"/>
          <w:lang w:eastAsia="en-US"/>
        </w:rPr>
      </w:pPr>
      <w:r w:rsidRPr="00F776ED">
        <w:rPr>
          <w:spacing w:val="-3"/>
          <w:lang w:eastAsia="en-US"/>
        </w:rPr>
        <w:t>It is therefore difficult to draw firm conclusions from NABERS Commitment Agreements.</w:t>
      </w:r>
    </w:p>
    <w:p w:rsidR="00612FD3" w:rsidRPr="00F776ED" w:rsidRDefault="00612FD3" w:rsidP="00612FD3">
      <w:pPr>
        <w:pStyle w:val="Heading2"/>
        <w:numPr>
          <w:ilvl w:val="1"/>
          <w:numId w:val="5"/>
        </w:numPr>
        <w:rPr>
          <w:rFonts w:asciiTheme="minorHAnsi" w:hAnsiTheme="minorHAnsi"/>
          <w:spacing w:val="-3"/>
          <w:lang w:bidi="fa-IR"/>
        </w:rPr>
      </w:pPr>
      <w:bookmarkStart w:id="5701" w:name="_Toc509220814"/>
      <w:bookmarkStart w:id="5702" w:name="_Toc529869876"/>
      <w:bookmarkStart w:id="5703" w:name="_Toc530748594"/>
      <w:r w:rsidRPr="00F776ED">
        <w:rPr>
          <w:rFonts w:asciiTheme="minorHAnsi" w:hAnsiTheme="minorHAnsi"/>
          <w:spacing w:val="-3"/>
          <w:lang w:bidi="fa-IR"/>
        </w:rPr>
        <w:t>Reasons why predicted energy savings may not be realised</w:t>
      </w:r>
      <w:bookmarkEnd w:id="5701"/>
      <w:bookmarkEnd w:id="5702"/>
      <w:bookmarkEnd w:id="5703"/>
    </w:p>
    <w:p w:rsidR="00612FD3" w:rsidRPr="00F776ED" w:rsidRDefault="00612FD3" w:rsidP="00612FD3">
      <w:pPr>
        <w:pStyle w:val="BodyText"/>
        <w:rPr>
          <w:spacing w:val="-3"/>
          <w:lang w:bidi="fa-IR"/>
        </w:rPr>
      </w:pPr>
      <w:r w:rsidRPr="00F776ED">
        <w:rPr>
          <w:spacing w:val="-3"/>
          <w:lang w:bidi="fa-IR"/>
        </w:rPr>
        <w:t>There are a range of explanations for the performance gap at all stages of a building’s life cycle. Modelling is an abstract form of the reality which tends to differ in many cases from some of assumptions made in the modelling.</w:t>
      </w:r>
    </w:p>
    <w:p w:rsidR="00612FD3" w:rsidRPr="00F776ED" w:rsidRDefault="00612FD3" w:rsidP="00612FD3">
      <w:pPr>
        <w:pStyle w:val="ListBullet"/>
        <w:numPr>
          <w:ilvl w:val="0"/>
          <w:numId w:val="36"/>
        </w:numPr>
        <w:rPr>
          <w:spacing w:val="-3"/>
          <w:lang w:bidi="fa-IR"/>
        </w:rPr>
      </w:pPr>
      <w:r w:rsidRPr="00F776ED">
        <w:rPr>
          <w:spacing w:val="-3"/>
          <w:lang w:bidi="fa-IR"/>
        </w:rPr>
        <w:t xml:space="preserve">Design and construction phase — </w:t>
      </w:r>
      <w:r w:rsidRPr="00F776ED">
        <w:rPr>
          <w:spacing w:val="-3"/>
          <w:lang w:val="en-GB" w:eastAsia="en-GB"/>
        </w:rPr>
        <w:t>the NCC focuses on building design, but there can be gaps between a building’s design and the building actually constructed.</w:t>
      </w:r>
    </w:p>
    <w:p w:rsidR="00612FD3" w:rsidRPr="00F776ED" w:rsidRDefault="00612FD3" w:rsidP="00612FD3">
      <w:pPr>
        <w:pStyle w:val="ListBullet2"/>
        <w:numPr>
          <w:ilvl w:val="1"/>
          <w:numId w:val="36"/>
        </w:numPr>
        <w:rPr>
          <w:spacing w:val="-3"/>
          <w:lang w:bidi="fa-IR"/>
        </w:rPr>
      </w:pPr>
      <w:r w:rsidRPr="00F776ED">
        <w:rPr>
          <w:spacing w:val="-3"/>
          <w:lang w:val="en-GB" w:eastAsia="en-GB"/>
        </w:rPr>
        <w:t xml:space="preserve">The National Energy Efficient Buildings Project also noted that anecdotally, </w:t>
      </w:r>
      <w:r w:rsidRPr="00F776ED">
        <w:rPr>
          <w:spacing w:val="-3"/>
        </w:rPr>
        <w:t>energy efficiency features and technologies are eliminated during the design and construction process. Budget constraints often force the building developer (not necessarily the ultimate owner) to choose between energy performance and other design elements that are more highly valued.</w:t>
      </w:r>
      <w:r w:rsidRPr="00F776ED">
        <w:rPr>
          <w:rStyle w:val="FootnoteReference"/>
          <w:rFonts w:asciiTheme="minorHAnsi" w:hAnsiTheme="minorHAnsi"/>
          <w:spacing w:val="-3"/>
        </w:rPr>
        <w:footnoteReference w:id="118"/>
      </w:r>
      <w:r w:rsidRPr="00F776ED">
        <w:rPr>
          <w:spacing w:val="-3"/>
        </w:rPr>
        <w:t xml:space="preserve"> However, no quantitative evidence on the extent to which this occurs was reported.</w:t>
      </w:r>
    </w:p>
    <w:p w:rsidR="00612FD3" w:rsidRPr="00F776ED" w:rsidRDefault="00612FD3" w:rsidP="00612FD3">
      <w:pPr>
        <w:pStyle w:val="ListBullet2"/>
        <w:numPr>
          <w:ilvl w:val="1"/>
          <w:numId w:val="36"/>
        </w:numPr>
        <w:rPr>
          <w:spacing w:val="-3"/>
          <w:lang w:bidi="fa-IR"/>
        </w:rPr>
      </w:pPr>
      <w:r w:rsidRPr="00F776ED">
        <w:rPr>
          <w:spacing w:val="-3"/>
          <w:lang w:bidi="fa-IR"/>
        </w:rPr>
        <w:t>The UK Carbon Trust also noted that:</w:t>
      </w:r>
    </w:p>
    <w:p w:rsidR="00612FD3" w:rsidRPr="00F776ED" w:rsidRDefault="00612FD3" w:rsidP="00612FD3">
      <w:pPr>
        <w:pStyle w:val="ListBullet3"/>
        <w:numPr>
          <w:ilvl w:val="2"/>
          <w:numId w:val="36"/>
        </w:numPr>
        <w:rPr>
          <w:spacing w:val="-3"/>
          <w:lang w:bidi="fa-IR"/>
        </w:rPr>
      </w:pPr>
      <w:r w:rsidRPr="00F776ED">
        <w:rPr>
          <w:spacing w:val="-3"/>
          <w:lang w:bidi="fa-IR"/>
        </w:rPr>
        <w:t>the aim to make building low carbon in</w:t>
      </w:r>
      <w:r w:rsidRPr="00F776ED">
        <w:rPr>
          <w:spacing w:val="-3"/>
          <w:lang w:bidi="fa-IR"/>
        </w:rPr>
        <w:noBreakHyphen/>
        <w:t>use is not clearly conveyed to the design team; and</w:t>
      </w:r>
    </w:p>
    <w:p w:rsidR="00612FD3" w:rsidRPr="00F776ED" w:rsidRDefault="00612FD3" w:rsidP="00612FD3">
      <w:pPr>
        <w:pStyle w:val="ListBullet3"/>
        <w:numPr>
          <w:ilvl w:val="2"/>
          <w:numId w:val="36"/>
        </w:numPr>
        <w:rPr>
          <w:spacing w:val="-3"/>
          <w:lang w:bidi="fa-IR"/>
        </w:rPr>
      </w:pPr>
      <w:r w:rsidRPr="00F776ED">
        <w:rPr>
          <w:spacing w:val="-3"/>
          <w:lang w:bidi="fa-IR"/>
        </w:rPr>
        <w:t>design intent is not delivered on</w:t>
      </w:r>
      <w:r w:rsidRPr="00F776ED">
        <w:rPr>
          <w:spacing w:val="-3"/>
          <w:lang w:bidi="fa-IR"/>
        </w:rPr>
        <w:noBreakHyphen/>
        <w:t>site during construction.</w:t>
      </w:r>
      <w:r w:rsidRPr="00F776ED">
        <w:rPr>
          <w:rStyle w:val="FootnoteReference"/>
          <w:rFonts w:asciiTheme="minorHAnsi" w:hAnsiTheme="minorHAnsi"/>
          <w:spacing w:val="-3"/>
          <w:lang w:bidi="fa-IR"/>
        </w:rPr>
        <w:t xml:space="preserve"> </w:t>
      </w:r>
      <w:r w:rsidRPr="00F776ED">
        <w:rPr>
          <w:rStyle w:val="FootnoteReference"/>
          <w:rFonts w:asciiTheme="minorHAnsi" w:hAnsiTheme="minorHAnsi"/>
          <w:spacing w:val="-3"/>
          <w:lang w:bidi="fa-IR"/>
        </w:rPr>
        <w:footnoteReference w:id="119"/>
      </w:r>
    </w:p>
    <w:p w:rsidR="00612FD3" w:rsidRPr="00F776ED" w:rsidRDefault="00612FD3" w:rsidP="00612FD3">
      <w:pPr>
        <w:pStyle w:val="ListBullet"/>
        <w:numPr>
          <w:ilvl w:val="0"/>
          <w:numId w:val="36"/>
        </w:numPr>
        <w:rPr>
          <w:spacing w:val="-3"/>
          <w:lang w:bidi="fa-IR"/>
        </w:rPr>
      </w:pPr>
      <w:r w:rsidRPr="00F776ED">
        <w:rPr>
          <w:spacing w:val="-3"/>
          <w:lang w:bidi="fa-IR"/>
        </w:rPr>
        <w:t>Operation phase — building operation could contribute to the performance gap, including:</w:t>
      </w:r>
    </w:p>
    <w:p w:rsidR="00612FD3" w:rsidRPr="00F776ED" w:rsidRDefault="00612FD3" w:rsidP="00612FD3">
      <w:pPr>
        <w:pStyle w:val="ListBullet2"/>
        <w:numPr>
          <w:ilvl w:val="1"/>
          <w:numId w:val="36"/>
        </w:numPr>
        <w:rPr>
          <w:spacing w:val="-3"/>
        </w:rPr>
      </w:pPr>
      <w:r w:rsidRPr="00F776ED">
        <w:rPr>
          <w:spacing w:val="-3"/>
          <w:lang w:bidi="fa-IR"/>
        </w:rPr>
        <w:t xml:space="preserve">A lack of adequate commissioning and maintenance — </w:t>
      </w:r>
      <w:r w:rsidRPr="00F776ED">
        <w:rPr>
          <w:spacing w:val="-3"/>
          <w:lang w:val="en-GB" w:eastAsia="en-GB"/>
        </w:rPr>
        <w:t>t</w:t>
      </w:r>
      <w:r w:rsidRPr="00F776ED">
        <w:rPr>
          <w:spacing w:val="-3"/>
        </w:rPr>
        <w:t>he National Energy Efficient Buildings Project reported that a perceived lack of adequate commissioning for new and renovated commercial buildings and ongoing maintenance was likely to be contributing to poor energy efficiency outcomes. As buildings aim for higher energy efficiency, integrating all of the relevant systems and ensuring that they deliver intended outcomes, through all seasons and weather conditions becomes more challenging. This means there is often greater scope for high performance buildings to deviate from design energy consumption than simpler, ‘refrigerated boxes’.</w:t>
      </w:r>
      <w:r w:rsidRPr="00F776ED">
        <w:rPr>
          <w:rStyle w:val="FootnoteReference"/>
          <w:rFonts w:asciiTheme="minorHAnsi" w:hAnsiTheme="minorHAnsi"/>
          <w:spacing w:val="-3"/>
        </w:rPr>
        <w:footnoteReference w:id="120"/>
      </w:r>
      <w:r w:rsidRPr="00F776ED">
        <w:rPr>
          <w:spacing w:val="-3"/>
        </w:rPr>
        <w:t xml:space="preserve"> This finding was based on industry perceptions, rather than quantified evidence.</w:t>
      </w:r>
    </w:p>
    <w:p w:rsidR="00612FD3" w:rsidRPr="00F776ED" w:rsidRDefault="00612FD3" w:rsidP="00612FD3">
      <w:pPr>
        <w:pStyle w:val="ListBullet2"/>
        <w:numPr>
          <w:ilvl w:val="1"/>
          <w:numId w:val="36"/>
        </w:numPr>
        <w:rPr>
          <w:spacing w:val="-3"/>
        </w:rPr>
      </w:pPr>
      <w:r w:rsidRPr="00F776ED">
        <w:rPr>
          <w:spacing w:val="-3"/>
        </w:rPr>
        <w:t>Sub</w:t>
      </w:r>
      <w:r w:rsidRPr="00F776ED">
        <w:rPr>
          <w:spacing w:val="-3"/>
        </w:rPr>
        <w:noBreakHyphen/>
        <w:t>optimal building operation.</w:t>
      </w:r>
    </w:p>
    <w:p w:rsidR="00612FD3" w:rsidRPr="00F776ED" w:rsidRDefault="00612FD3" w:rsidP="00612FD3">
      <w:pPr>
        <w:pStyle w:val="ListBullet2"/>
        <w:numPr>
          <w:ilvl w:val="1"/>
          <w:numId w:val="36"/>
        </w:numPr>
        <w:rPr>
          <w:spacing w:val="-3"/>
        </w:rPr>
      </w:pPr>
      <w:r w:rsidRPr="00F776ED">
        <w:rPr>
          <w:spacing w:val="-3"/>
        </w:rPr>
        <w:t>Occupancy patterns and behaviour — occupancy patterns can be difficult to predict and where they vary from those modelled, this could contribute to the performance gap. Similarly, the behaviour of building occupants can have a significant impact on energy consumption.</w:t>
      </w:r>
    </w:p>
    <w:p w:rsidR="00612FD3" w:rsidRPr="00F776ED" w:rsidRDefault="00612FD3" w:rsidP="00612FD3">
      <w:pPr>
        <w:pStyle w:val="ListBullet"/>
        <w:numPr>
          <w:ilvl w:val="0"/>
          <w:numId w:val="36"/>
        </w:numPr>
        <w:rPr>
          <w:spacing w:val="-3"/>
          <w:lang w:bidi="fa-IR"/>
        </w:rPr>
      </w:pPr>
      <w:r w:rsidRPr="00F776ED">
        <w:rPr>
          <w:spacing w:val="-3"/>
          <w:lang w:bidi="fa-IR"/>
        </w:rPr>
        <w:t>Modelling failures — a recent UK study (albeit in relation to residential buildings) found that a sample of 108 building modellers found that there was little correlation between variables that the modellers considered to be important to annual energy demand and the factors that were objectively found to be important.</w:t>
      </w:r>
      <w:r w:rsidRPr="00F776ED">
        <w:rPr>
          <w:rStyle w:val="FootnoteReference"/>
          <w:rFonts w:asciiTheme="minorHAnsi" w:hAnsiTheme="minorHAnsi"/>
          <w:spacing w:val="-3"/>
          <w:lang w:bidi="fa-IR"/>
        </w:rPr>
        <w:footnoteReference w:id="121"/>
      </w:r>
      <w:r w:rsidRPr="00F776ED">
        <w:rPr>
          <w:spacing w:val="-3"/>
          <w:lang w:bidi="fa-IR"/>
        </w:rPr>
        <w:t xml:space="preserve"> On this basis, the study concluded that this sample of building modellers, and by implication the population of building modellers cannot be considered ‘modelling literate’. This suggested that the performance of building modellers was contributing to the performance gap. Although these findings have no direct relevance to commercial building energy modellers in Australia, it nonetheless demonstrates that energy modelling involves subjective judgement and modellers are not infallible.</w:t>
      </w:r>
    </w:p>
    <w:p w:rsidR="00612FD3" w:rsidRDefault="00612FD3" w:rsidP="00612FD3">
      <w:pPr>
        <w:pStyle w:val="Heading6"/>
        <w:numPr>
          <w:ilvl w:val="5"/>
          <w:numId w:val="5"/>
        </w:numPr>
      </w:pPr>
      <w:bookmarkStart w:id="5704" w:name="_Toc499847018"/>
      <w:bookmarkStart w:id="5705" w:name="_Toc505120614"/>
      <w:bookmarkStart w:id="5706" w:name="_Ref507429860"/>
      <w:bookmarkStart w:id="5707" w:name="_Toc507523771"/>
      <w:bookmarkStart w:id="5708" w:name="_Ref507683255"/>
      <w:bookmarkStart w:id="5709" w:name="_Toc509220815"/>
      <w:bookmarkStart w:id="5710" w:name="_Toc529869877"/>
      <w:bookmarkStart w:id="5711" w:name="_Toc530748595"/>
      <w:r>
        <w:t>Commercial building construction projections</w:t>
      </w:r>
      <w:bookmarkEnd w:id="5704"/>
      <w:bookmarkEnd w:id="5705"/>
      <w:bookmarkEnd w:id="5706"/>
      <w:bookmarkEnd w:id="5707"/>
      <w:bookmarkEnd w:id="5708"/>
      <w:bookmarkEnd w:id="5709"/>
      <w:bookmarkEnd w:id="5710"/>
      <w:bookmarkEnd w:id="5711"/>
    </w:p>
    <w:p w:rsidR="00612FD3" w:rsidRDefault="00612FD3" w:rsidP="00612FD3">
      <w:pPr>
        <w:pStyle w:val="BodyText"/>
      </w:pPr>
      <w:r>
        <w:t xml:space="preserve">The net benefit of the proposed changes to the NCC will reflect the impacts to the sum of the components of individual building classes, across </w:t>
      </w:r>
      <w:r w:rsidR="00E31EE8">
        <w:t>Climate Zone</w:t>
      </w:r>
      <w:r>
        <w:t>s. The proposed changes will affect new or refurbished commercial buildings from 2019. This appendix presents the projected stock of buildings that may be subject to both benefits and costs associated with the proposed changes to the NCC. In providing this we:</w:t>
      </w:r>
    </w:p>
    <w:p w:rsidR="00612FD3" w:rsidRDefault="00612FD3" w:rsidP="00612FD3">
      <w:pPr>
        <w:pStyle w:val="ListBullet"/>
        <w:numPr>
          <w:ilvl w:val="0"/>
          <w:numId w:val="36"/>
        </w:numPr>
      </w:pPr>
      <w:r>
        <w:t>update previous estimates of the commercial building stock by class to the base year of 2017</w:t>
      </w:r>
    </w:p>
    <w:p w:rsidR="00612FD3" w:rsidRDefault="00612FD3" w:rsidP="00612FD3">
      <w:pPr>
        <w:pStyle w:val="ListBullet"/>
        <w:numPr>
          <w:ilvl w:val="0"/>
          <w:numId w:val="36"/>
        </w:numPr>
      </w:pPr>
      <w:r>
        <w:t xml:space="preserve">estimate the rate of additions to the building stock by class of building, in terms of both net additions </w:t>
      </w:r>
      <w:r w:rsidRPr="001F5A63">
        <w:rPr>
          <w:i/>
        </w:rPr>
        <w:t>and</w:t>
      </w:r>
      <w:r>
        <w:t xml:space="preserve"> replacements of retired buildings out to 2049 (for 30 years)</w:t>
      </w:r>
      <w:r>
        <w:rPr>
          <w:rStyle w:val="FootnoteReference"/>
        </w:rPr>
        <w:footnoteReference w:id="122"/>
      </w:r>
      <w:r>
        <w:t>, and</w:t>
      </w:r>
    </w:p>
    <w:p w:rsidR="00612FD3" w:rsidRDefault="00612FD3" w:rsidP="00612FD3">
      <w:pPr>
        <w:pStyle w:val="ListBullet"/>
        <w:numPr>
          <w:ilvl w:val="0"/>
          <w:numId w:val="36"/>
        </w:numPr>
      </w:pPr>
      <w:r>
        <w:t xml:space="preserve">separately estimate the potential rate of refurbishment that would affect the existing stock of buildings. </w:t>
      </w:r>
    </w:p>
    <w:p w:rsidR="00612FD3" w:rsidRDefault="00612FD3" w:rsidP="00612FD3">
      <w:pPr>
        <w:pStyle w:val="BodyText"/>
      </w:pPr>
      <w:r>
        <w:t>Given the relevant period for evaluation is 10 years from the introduction of the changes, our reporting of these projections focuses on the period of 2019-29.</w:t>
      </w:r>
    </w:p>
    <w:p w:rsidR="00612FD3" w:rsidRDefault="00612FD3" w:rsidP="00612FD3">
      <w:pPr>
        <w:pStyle w:val="Heading2"/>
        <w:numPr>
          <w:ilvl w:val="1"/>
          <w:numId w:val="5"/>
        </w:numPr>
      </w:pPr>
      <w:bookmarkStart w:id="5712" w:name="_Toc499545221"/>
      <w:bookmarkStart w:id="5713" w:name="_Toc499847019"/>
      <w:bookmarkStart w:id="5714" w:name="_Toc505120615"/>
      <w:bookmarkStart w:id="5715" w:name="_Toc507523772"/>
      <w:bookmarkStart w:id="5716" w:name="_Toc509220816"/>
      <w:bookmarkStart w:id="5717" w:name="_Toc529869878"/>
      <w:bookmarkStart w:id="5718" w:name="_Toc530748596"/>
      <w:r>
        <w:t>Background and approach</w:t>
      </w:r>
      <w:bookmarkEnd w:id="5712"/>
      <w:bookmarkEnd w:id="5713"/>
      <w:bookmarkEnd w:id="5714"/>
      <w:bookmarkEnd w:id="5715"/>
      <w:bookmarkEnd w:id="5716"/>
      <w:bookmarkEnd w:id="5717"/>
      <w:bookmarkEnd w:id="5718"/>
    </w:p>
    <w:p w:rsidR="00612FD3" w:rsidRDefault="00612FD3" w:rsidP="00612FD3">
      <w:pPr>
        <w:pStyle w:val="BodyText"/>
      </w:pPr>
      <w:r>
        <w:t xml:space="preserve">There are two previous sources of estimates of the commercial building stock, in terms of floor area, across multiple classes: </w:t>
      </w:r>
    </w:p>
    <w:p w:rsidR="00612FD3" w:rsidRDefault="00612FD3" w:rsidP="00612FD3">
      <w:pPr>
        <w:pStyle w:val="ListBullet"/>
        <w:numPr>
          <w:ilvl w:val="0"/>
          <w:numId w:val="36"/>
        </w:numPr>
      </w:pPr>
      <w:r w:rsidRPr="001F5A63">
        <w:rPr>
          <w:i/>
        </w:rPr>
        <w:t>Baseline energy consumption and greenhouse gas emissions in commercial buildings in Australia</w:t>
      </w:r>
      <w:r>
        <w:t>, prepared by pitt&amp;sherry (with input from BIS Shrapnel and Exergy Pty Ltd) for the COAG National Strategy on Energy Efficiency, in 2012.</w:t>
      </w:r>
    </w:p>
    <w:p w:rsidR="00612FD3" w:rsidRPr="008E706B" w:rsidRDefault="00612FD3" w:rsidP="00612FD3">
      <w:pPr>
        <w:pStyle w:val="ListBullet"/>
        <w:numPr>
          <w:ilvl w:val="0"/>
          <w:numId w:val="36"/>
        </w:numPr>
        <w:rPr>
          <w:i/>
        </w:rPr>
      </w:pPr>
      <w:r w:rsidRPr="008E706B">
        <w:rPr>
          <w:i/>
        </w:rPr>
        <w:t>Economic evaluation of energy efficiency standards in the Building Code of Australia</w:t>
      </w:r>
      <w:r>
        <w:rPr>
          <w:i/>
        </w:rPr>
        <w:t xml:space="preserve">, </w:t>
      </w:r>
      <w:r>
        <w:t>prepared by the CIE for the Department of the Environment, Water, Heritage and the Arts, in 2009.</w:t>
      </w:r>
    </w:p>
    <w:p w:rsidR="00612FD3" w:rsidRDefault="00612FD3" w:rsidP="00612FD3">
      <w:pPr>
        <w:pStyle w:val="BodyText"/>
      </w:pPr>
      <w:r>
        <w:t>While the work by pitt&amp;sherry in 2012 provides the most recent estimates of the Australian commercial building stock, it is important to note the following key limitations of these estimates:</w:t>
      </w:r>
    </w:p>
    <w:p w:rsidR="00612FD3" w:rsidRDefault="00612FD3" w:rsidP="00612FD3">
      <w:pPr>
        <w:pStyle w:val="ListBullet"/>
        <w:numPr>
          <w:ilvl w:val="0"/>
          <w:numId w:val="36"/>
        </w:numPr>
      </w:pPr>
      <w:r>
        <w:t>It was a stock model (estimating total, rather than turnover), and not able to separately estimate additions, refurbishments or retirements.</w:t>
      </w:r>
    </w:p>
    <w:p w:rsidR="00612FD3" w:rsidRDefault="00612FD3" w:rsidP="00612FD3">
      <w:pPr>
        <w:pStyle w:val="ListBullet"/>
        <w:numPr>
          <w:ilvl w:val="0"/>
          <w:numId w:val="36"/>
        </w:numPr>
      </w:pPr>
      <w:r>
        <w:t>The scope of the exercise excluded a number of important building classes, including:</w:t>
      </w:r>
    </w:p>
    <w:p w:rsidR="00612FD3" w:rsidRDefault="00612FD3" w:rsidP="00612FD3">
      <w:pPr>
        <w:pStyle w:val="ListBullet2"/>
        <w:numPr>
          <w:ilvl w:val="1"/>
          <w:numId w:val="36"/>
        </w:numPr>
      </w:pPr>
      <w:r>
        <w:t>industrial buildings such as factories</w:t>
      </w:r>
    </w:p>
    <w:p w:rsidR="00612FD3" w:rsidRDefault="00612FD3" w:rsidP="00612FD3">
      <w:pPr>
        <w:pStyle w:val="ListBullet2"/>
        <w:numPr>
          <w:ilvl w:val="1"/>
          <w:numId w:val="36"/>
        </w:numPr>
      </w:pPr>
      <w:r>
        <w:t>other industrial buildings such as warehouses, cool rooms and freezers;</w:t>
      </w:r>
    </w:p>
    <w:p w:rsidR="00612FD3" w:rsidRDefault="00612FD3" w:rsidP="00612FD3">
      <w:pPr>
        <w:pStyle w:val="ListBullet2"/>
        <w:numPr>
          <w:ilvl w:val="1"/>
          <w:numId w:val="36"/>
        </w:numPr>
      </w:pPr>
      <w:r w:rsidRPr="00B607DE">
        <w:t>standalone aged care facilities</w:t>
      </w:r>
    </w:p>
    <w:p w:rsidR="00612FD3" w:rsidRPr="00B607DE" w:rsidRDefault="00612FD3" w:rsidP="00612FD3">
      <w:pPr>
        <w:pStyle w:val="ListBullet2"/>
        <w:numPr>
          <w:ilvl w:val="1"/>
          <w:numId w:val="36"/>
        </w:numPr>
      </w:pPr>
      <w:r>
        <w:t>undercover car parks; and</w:t>
      </w:r>
    </w:p>
    <w:p w:rsidR="00612FD3" w:rsidRPr="00AF07E7" w:rsidRDefault="00612FD3" w:rsidP="00612FD3">
      <w:pPr>
        <w:pStyle w:val="ListBullet2"/>
        <w:numPr>
          <w:ilvl w:val="1"/>
          <w:numId w:val="36"/>
        </w:numPr>
      </w:pPr>
      <w:r>
        <w:t>a range of other building classes that are potentially less important to this evaluation such as health clinics and doctors’ surgeries, and hotels and motels with less than five rooms.</w:t>
      </w:r>
    </w:p>
    <w:p w:rsidR="00612FD3" w:rsidRDefault="00612FD3" w:rsidP="00612FD3">
      <w:pPr>
        <w:spacing w:before="140"/>
      </w:pPr>
      <w:r>
        <w:t>The</w:t>
      </w:r>
      <w:r w:rsidRPr="006E270D">
        <w:t xml:space="preserve"> </w:t>
      </w:r>
      <w:r>
        <w:t xml:space="preserve">CIE’s updated </w:t>
      </w:r>
      <w:r w:rsidRPr="006E270D">
        <w:t>commercial building stock estimates principal</w:t>
      </w:r>
      <w:r>
        <w:t>ly utilise the pitt&amp;sherry estimates to 2020.</w:t>
      </w:r>
      <w:r w:rsidRPr="006E270D">
        <w:t xml:space="preserve"> </w:t>
      </w:r>
      <w:r>
        <w:t>However, we overcome the limitations of the exclusions by separately estimating the floor space of ‘industrial’ buildings such as factories, warehouses and storage, undercover car parks and standalone aged care residences. It remains a model that estimates the total floor area for each building class, with the difference between each year reflecting the rate of ‘net addition’ (including the replacement of retirements). To establish the total rate of addition (to account for retirements) we separately estimate the rate of building retirements across the whole building stock and add these to the ‘net additions’ to get total additions. Also, we attempt to shed light on the extent of major refurbishments separately.</w:t>
      </w:r>
    </w:p>
    <w:p w:rsidR="00612FD3" w:rsidRDefault="00612FD3" w:rsidP="00612FD3">
      <w:pPr>
        <w:spacing w:before="140"/>
      </w:pPr>
      <w:r>
        <w:t xml:space="preserve">The concordance of building classes in the NCC against the pitt&amp;sherry categories and 2009 CIE stock estimates are shown in table E.1. </w:t>
      </w:r>
    </w:p>
    <w:p w:rsidR="00612FD3" w:rsidRDefault="00612FD3" w:rsidP="00612FD3">
      <w:pPr>
        <w:pStyle w:val="Caption"/>
        <w:numPr>
          <w:ilvl w:val="0"/>
          <w:numId w:val="7"/>
        </w:numPr>
      </w:pPr>
      <w:r w:rsidRPr="00695C93">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sidR="00B833F1">
        <w:rPr>
          <w:noProof/>
        </w:rPr>
        <w:instrText>E</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1</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Pr>
          <w:noProof/>
        </w:rPr>
        <w:instrText>1</w:instrText>
      </w:r>
      <w:r>
        <w:rPr>
          <w:noProof/>
        </w:rPr>
        <w:fldChar w:fldCharType="end"/>
      </w:r>
      <w:r w:rsidRPr="00695C93">
        <w:instrText xml:space="preserve">." </w:instrText>
      </w:r>
      <w:r w:rsidRPr="00695C93">
        <w:fldChar w:fldCharType="separate"/>
      </w:r>
      <w:r>
        <w:rPr>
          <w:noProof/>
        </w:rPr>
        <w:instrText>1</w:instrText>
      </w:r>
      <w:r w:rsidRPr="00695C93">
        <w:rPr>
          <w:noProof/>
        </w:rPr>
        <w:instrText>.</w:instrText>
      </w:r>
      <w:r w:rsidRPr="00695C93">
        <w:fldChar w:fldCharType="end"/>
      </w:r>
      <w:r w:rsidRPr="00695C93">
        <w:instrText>" "</w:instrText>
      </w:r>
      <w:r>
        <w:rPr>
          <w:noProof/>
        </w:rPr>
        <w:fldChar w:fldCharType="begin"/>
      </w:r>
      <w:r>
        <w:rPr>
          <w:noProof/>
        </w:rPr>
        <w:instrText xml:space="preserve"> STYLEREF "Heading 6" \l \n </w:instrText>
      </w:r>
      <w:r>
        <w:rPr>
          <w:noProof/>
        </w:rPr>
        <w:fldChar w:fldCharType="separate"/>
      </w:r>
      <w:r w:rsidR="00B833F1">
        <w:rPr>
          <w:noProof/>
        </w:rPr>
        <w:instrText>E</w:instrText>
      </w:r>
      <w:r>
        <w:rPr>
          <w:noProof/>
        </w:rPr>
        <w:fldChar w:fldCharType="end"/>
      </w:r>
      <w:r w:rsidRPr="00695C93">
        <w:instrText xml:space="preserve">." </w:instrText>
      </w:r>
      <w:r w:rsidRPr="00695C93">
        <w:fldChar w:fldCharType="separate"/>
      </w:r>
      <w:r w:rsidR="00B833F1">
        <w:rPr>
          <w:noProof/>
        </w:rPr>
        <w:instrText>E</w:instrText>
      </w:r>
      <w:r w:rsidR="00B833F1"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sidR="00B833F1">
        <w:rPr>
          <w:noProof/>
        </w:rPr>
        <w:instrText>E</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1</w:instrText>
      </w:r>
      <w:r>
        <w:rPr>
          <w:noProof/>
        </w:rPr>
        <w:fldChar w:fldCharType="end"/>
      </w:r>
      <w:r w:rsidRPr="00695C93">
        <w:instrText xml:space="preserve"> = 0 "" "1" </w:instrText>
      </w:r>
      <w:r w:rsidRPr="00695C93">
        <w:fldChar w:fldCharType="separate"/>
      </w:r>
      <w:r w:rsidRPr="00695C93">
        <w:rPr>
          <w:noProof/>
        </w:rPr>
        <w:instrText>1</w:instrText>
      </w:r>
      <w:r w:rsidRPr="00695C93">
        <w:fldChar w:fldCharType="end"/>
      </w:r>
      <w:r w:rsidRPr="00695C93">
        <w:instrText xml:space="preserve">" "6" </w:instrText>
      </w:r>
      <w:r w:rsidRPr="00695C93">
        <w:fldChar w:fldCharType="separate"/>
      </w:r>
      <w:r w:rsidR="00B833F1" w:rsidRPr="00695C93">
        <w:rPr>
          <w:noProof/>
        </w:rPr>
        <w:instrText>6</w:instrText>
      </w:r>
      <w:r w:rsidRPr="00695C93">
        <w:fldChar w:fldCharType="end"/>
      </w:r>
      <w:r w:rsidRPr="00695C93">
        <w:instrText xml:space="preserve"> </w:instrText>
      </w:r>
      <w:r w:rsidRPr="00695C93">
        <w:fldChar w:fldCharType="separate"/>
      </w:r>
      <w:r w:rsidR="00B833F1">
        <w:rPr>
          <w:noProof/>
        </w:rPr>
        <w:instrText>1</w:instrText>
      </w:r>
      <w:r w:rsidRPr="00695C93">
        <w:fldChar w:fldCharType="end"/>
      </w:r>
      <w:r w:rsidRPr="00695C93">
        <w:instrText xml:space="preserve">" "" </w:instrText>
      </w:r>
      <w:r w:rsidRPr="00695C93">
        <w:fldChar w:fldCharType="separate"/>
      </w:r>
      <w:bookmarkStart w:id="5719" w:name="_Caption7284"/>
      <w:bookmarkStart w:id="5720" w:name="_Caption3067"/>
      <w:bookmarkStart w:id="5721" w:name="_Caption5368"/>
      <w:bookmarkStart w:id="5722" w:name="_Caption9131"/>
      <w:bookmarkStart w:id="5723" w:name="_Caption3093"/>
      <w:bookmarkStart w:id="5724" w:name="_Caption9772"/>
      <w:bookmarkStart w:id="5725" w:name="_Caption1603"/>
      <w:bookmarkStart w:id="5726" w:name="_Caption5568"/>
      <w:bookmarkStart w:id="5727" w:name="_Caption1396"/>
      <w:bookmarkStart w:id="5728" w:name="_Caption1972"/>
      <w:bookmarkStart w:id="5729" w:name="_Caption8068"/>
      <w:bookmarkStart w:id="5730" w:name="_Caption0992"/>
      <w:bookmarkStart w:id="5731" w:name="_Caption1373"/>
      <w:bookmarkStart w:id="5732" w:name="_Caption1503"/>
      <w:bookmarkStart w:id="5733" w:name="_Caption8736"/>
      <w:bookmarkStart w:id="5734" w:name="_Caption1773"/>
      <w:bookmarkStart w:id="5735" w:name="_Caption8264"/>
      <w:bookmarkStart w:id="5736" w:name="_Caption3836"/>
      <w:bookmarkStart w:id="5737" w:name="_Caption4861"/>
      <w:bookmarkStart w:id="5738" w:name="_Caption2088"/>
      <w:bookmarkStart w:id="5739" w:name="_Caption9179"/>
      <w:bookmarkStart w:id="5740" w:name="_Caption1564"/>
      <w:bookmarkStart w:id="5741" w:name="_Caption4271"/>
      <w:bookmarkStart w:id="5742" w:name="_Caption2552"/>
      <w:bookmarkStart w:id="5743" w:name="_Caption3143"/>
      <w:bookmarkStart w:id="5744" w:name="_Caption4563"/>
      <w:bookmarkStart w:id="5745" w:name="_Caption8519"/>
      <w:bookmarkStart w:id="5746" w:name="_Caption9107"/>
      <w:bookmarkStart w:id="5747" w:name="_Caption0057"/>
      <w:bookmarkStart w:id="5748" w:name="_Caption4820"/>
      <w:bookmarkStart w:id="5749" w:name="_Caption9287"/>
      <w:bookmarkStart w:id="5750" w:name="_Caption4992"/>
      <w:bookmarkStart w:id="5751" w:name="_Caption8983"/>
      <w:bookmarkStart w:id="5752" w:name="_Caption0486"/>
      <w:bookmarkStart w:id="5753" w:name="_Caption7319"/>
      <w:bookmarkStart w:id="5754" w:name="_Caption3994"/>
      <w:bookmarkStart w:id="5755" w:name="_Caption9130"/>
      <w:bookmarkStart w:id="5756" w:name="_Caption5278"/>
      <w:bookmarkStart w:id="5757" w:name="_Caption2785"/>
      <w:bookmarkStart w:id="5758" w:name="_Caption0446"/>
      <w:bookmarkStart w:id="5759" w:name="_Caption8226"/>
      <w:bookmarkStart w:id="5760" w:name="_Caption1174"/>
      <w:bookmarkStart w:id="5761" w:name="_Caption3199"/>
      <w:bookmarkStart w:id="5762" w:name="_Caption3757"/>
      <w:bookmarkStart w:id="5763" w:name="_Caption5137"/>
      <w:bookmarkStart w:id="5764" w:name="_Caption6767"/>
      <w:bookmarkStart w:id="5765" w:name="_Caption4975"/>
      <w:bookmarkStart w:id="5766" w:name="_Caption7883"/>
      <w:bookmarkStart w:id="5767" w:name="_Caption2877"/>
      <w:bookmarkStart w:id="5768" w:name="_Caption8949"/>
      <w:bookmarkStart w:id="5769" w:name="_Caption4377"/>
      <w:bookmarkStart w:id="5770" w:name="_Caption6169"/>
      <w:bookmarkStart w:id="5771" w:name="_Caption8848"/>
      <w:bookmarkStart w:id="5772" w:name="_Caption0381"/>
      <w:bookmarkStart w:id="5773" w:name="_Caption6782"/>
      <w:bookmarkStart w:id="5774" w:name="_Caption3041"/>
      <w:bookmarkStart w:id="5775" w:name="_Caption2353"/>
      <w:bookmarkStart w:id="5776" w:name="_Caption8362"/>
      <w:bookmarkStart w:id="5777" w:name="_Caption8661"/>
      <w:bookmarkStart w:id="5778" w:name="_Caption9666"/>
      <w:bookmarkStart w:id="5779" w:name="_Caption9935"/>
      <w:bookmarkStart w:id="5780" w:name="_Caption1380"/>
      <w:bookmarkStart w:id="5781" w:name="_Caption4780"/>
      <w:bookmarkStart w:id="5782" w:name="_Caption4602"/>
      <w:bookmarkStart w:id="5783" w:name="_Caption5145"/>
      <w:bookmarkStart w:id="5784" w:name="_Caption1488"/>
      <w:bookmarkStart w:id="5785" w:name="_Caption6997"/>
      <w:bookmarkStart w:id="5786" w:name="_Caption2600"/>
      <w:bookmarkStart w:id="5787" w:name="_Caption4020"/>
      <w:bookmarkStart w:id="5788" w:name="_Caption1769"/>
      <w:bookmarkStart w:id="5789" w:name="_Caption5690"/>
      <w:bookmarkStart w:id="5790" w:name="_Caption9814"/>
      <w:bookmarkStart w:id="5791" w:name="_Caption1821"/>
      <w:bookmarkStart w:id="5792" w:name="_Caption6273"/>
      <w:bookmarkStart w:id="5793" w:name="_Caption0321"/>
      <w:bookmarkStart w:id="5794" w:name="_Caption8722"/>
      <w:bookmarkStart w:id="5795" w:name="_Caption5079"/>
      <w:bookmarkStart w:id="5796" w:name="_Caption9514"/>
      <w:bookmarkStart w:id="5797" w:name="_Caption8080"/>
      <w:bookmarkStart w:id="5798" w:name="_Caption8022"/>
      <w:bookmarkStart w:id="5799" w:name="_Caption9473"/>
      <w:bookmarkStart w:id="5800" w:name="_Caption8016"/>
      <w:bookmarkStart w:id="5801" w:name="_Caption2980"/>
      <w:bookmarkStart w:id="5802" w:name="_Caption8348"/>
      <w:bookmarkStart w:id="5803" w:name="_Caption8909"/>
      <w:bookmarkStart w:id="5804" w:name="_Caption6590"/>
      <w:bookmarkStart w:id="5805" w:name="_Caption6519"/>
      <w:bookmarkStart w:id="5806" w:name="_Caption6775"/>
      <w:bookmarkStart w:id="5807" w:name="_Caption2172"/>
      <w:bookmarkStart w:id="5808" w:name="_Caption9311"/>
      <w:bookmarkStart w:id="5809" w:name="_Caption3506"/>
      <w:bookmarkStart w:id="5810" w:name="_Caption2135"/>
      <w:bookmarkStart w:id="5811" w:name="_Caption6994"/>
      <w:bookmarkStart w:id="5812" w:name="_Caption0428"/>
      <w:bookmarkStart w:id="5813" w:name="_Caption2688"/>
      <w:bookmarkStart w:id="5814" w:name="_Caption1960"/>
      <w:bookmarkStart w:id="5815" w:name="_Caption5803"/>
      <w:bookmarkStart w:id="5816" w:name="_Caption9731"/>
      <w:bookmarkStart w:id="5817" w:name="_Caption7411"/>
      <w:bookmarkStart w:id="5818" w:name="_Caption9633"/>
      <w:bookmarkStart w:id="5819" w:name="_Caption7022"/>
      <w:bookmarkStart w:id="5820" w:name="_Caption8429"/>
      <w:bookmarkStart w:id="5821" w:name="_Caption9905"/>
      <w:bookmarkStart w:id="5822" w:name="_Caption4434"/>
      <w:bookmarkStart w:id="5823" w:name="_Caption5979"/>
      <w:bookmarkStart w:id="5824" w:name="_Caption4457"/>
      <w:bookmarkStart w:id="5825" w:name="_Caption3127"/>
      <w:bookmarkStart w:id="5826" w:name="_Caption0345"/>
      <w:bookmarkStart w:id="5827" w:name="_Toc499545263"/>
      <w:bookmarkStart w:id="5828" w:name="_Toc499847066"/>
      <w:bookmarkStart w:id="5829" w:name="_Toc505120676"/>
      <w:bookmarkStart w:id="5830" w:name="_Toc509220878"/>
      <w:bookmarkStart w:id="5831" w:name="_Toc529869980"/>
      <w:bookmarkStart w:id="5832" w:name="_Toc530748476"/>
      <w:r w:rsidR="00EA42ED">
        <w:rPr>
          <w:noProof/>
        </w:rPr>
        <w:t>E</w:t>
      </w:r>
      <w:r w:rsidR="00EA42ED" w:rsidRPr="00695C93">
        <w:rPr>
          <w:noProof/>
        </w:rPr>
        <w:t>.</w:t>
      </w:r>
      <w:r w:rsidR="00EA42ED">
        <w:rPr>
          <w:noProof/>
        </w:rPr>
        <w:t>1</w:t>
      </w:r>
      <w:bookmarkStart w:id="5833" w:name="_Toc507523829"/>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r w:rsidRPr="00695C93">
        <w:fldChar w:fldCharType="end"/>
      </w:r>
      <w:r w:rsidRPr="00695C93">
        <w:tab/>
      </w:r>
      <w:r>
        <w:t>Categories of commercial buildings and base data source</w:t>
      </w:r>
      <w:bookmarkEnd w:id="5827"/>
      <w:bookmarkEnd w:id="5828"/>
      <w:bookmarkEnd w:id="5829"/>
      <w:bookmarkEnd w:id="5830"/>
      <w:bookmarkEnd w:id="5831"/>
      <w:bookmarkEnd w:id="5832"/>
      <w:bookmarkEnd w:id="5833"/>
    </w:p>
    <w:tbl>
      <w:tblPr>
        <w:tblW w:w="7994" w:type="dxa"/>
        <w:tblLayout w:type="fixed"/>
        <w:tblLook w:val="0000" w:firstRow="0" w:lastRow="0" w:firstColumn="0" w:lastColumn="0" w:noHBand="0" w:noVBand="0"/>
        <w:tblCaption w:val="Table E.1: Categories of commercial buildings and base data source"/>
        <w:tblDescription w:val="This table shows the categories of commercial buildings and base data source. "/>
      </w:tblPr>
      <w:tblGrid>
        <w:gridCol w:w="2410"/>
        <w:gridCol w:w="1985"/>
        <w:gridCol w:w="3599"/>
      </w:tblGrid>
      <w:tr w:rsidR="00612FD3" w:rsidTr="00E75AC2">
        <w:trPr>
          <w:tblHeader/>
        </w:trPr>
        <w:tc>
          <w:tcPr>
            <w:tcW w:w="2410" w:type="dxa"/>
            <w:tcBorders>
              <w:bottom w:val="single" w:sz="8" w:space="0" w:color="FFFFFF" w:themeColor="background1"/>
            </w:tcBorders>
            <w:shd w:val="clear" w:color="auto" w:fill="6F6652"/>
            <w:tcMar>
              <w:left w:w="57" w:type="dxa"/>
              <w:right w:w="57" w:type="dxa"/>
            </w:tcMar>
          </w:tcPr>
          <w:p w:rsidR="00612FD3" w:rsidRDefault="00612FD3" w:rsidP="00301B6D">
            <w:pPr>
              <w:pStyle w:val="TableTextColumnHeading"/>
            </w:pPr>
            <w:r>
              <w:t xml:space="preserve">Building classes </w:t>
            </w:r>
          </w:p>
        </w:tc>
        <w:tc>
          <w:tcPr>
            <w:tcW w:w="1985" w:type="dxa"/>
            <w:tcBorders>
              <w:bottom w:val="single" w:sz="8" w:space="0" w:color="FFFFFF" w:themeColor="background1"/>
            </w:tcBorders>
            <w:shd w:val="clear" w:color="auto" w:fill="6F6652"/>
            <w:tcMar>
              <w:left w:w="57" w:type="dxa"/>
              <w:right w:w="57" w:type="dxa"/>
            </w:tcMar>
          </w:tcPr>
          <w:p w:rsidR="00612FD3" w:rsidRDefault="00612FD3" w:rsidP="00301B6D">
            <w:pPr>
              <w:pStyle w:val="TableTextColumnHeading"/>
            </w:pPr>
            <w:r>
              <w:t xml:space="preserve">pitt&amp;sherry </w:t>
            </w:r>
          </w:p>
        </w:tc>
        <w:tc>
          <w:tcPr>
            <w:tcW w:w="3599" w:type="dxa"/>
            <w:tcBorders>
              <w:bottom w:val="single" w:sz="8" w:space="0" w:color="FFFFFF" w:themeColor="background1"/>
            </w:tcBorders>
            <w:shd w:val="clear" w:color="auto" w:fill="6F6652"/>
            <w:tcMar>
              <w:left w:w="57" w:type="dxa"/>
              <w:right w:w="57" w:type="dxa"/>
            </w:tcMar>
          </w:tcPr>
          <w:p w:rsidR="00612FD3" w:rsidRDefault="00612FD3" w:rsidP="00301B6D">
            <w:pPr>
              <w:pStyle w:val="TableTextColumnHeading"/>
            </w:pPr>
            <w:r>
              <w:t>Stock estimates, base year</w:t>
            </w:r>
          </w:p>
        </w:tc>
      </w:tr>
      <w:tr w:rsidR="00E75AC2" w:rsidTr="00E75AC2">
        <w:tc>
          <w:tcPr>
            <w:tcW w:w="2410"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E75AC2" w:rsidRPr="006E270D" w:rsidRDefault="00E75AC2" w:rsidP="00E75AC2">
            <w:pPr>
              <w:pStyle w:val="TableHeading1"/>
            </w:pPr>
            <w:r w:rsidRPr="006E270D">
              <w:t>Class 3</w:t>
            </w:r>
          </w:p>
        </w:tc>
        <w:tc>
          <w:tcPr>
            <w:tcW w:w="1985"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E75AC2" w:rsidRDefault="00E75AC2" w:rsidP="00E75AC2">
            <w:pPr>
              <w:pStyle w:val="TableHeading1"/>
            </w:pPr>
          </w:p>
        </w:tc>
        <w:tc>
          <w:tcPr>
            <w:tcW w:w="359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E75AC2" w:rsidRDefault="00E75AC2" w:rsidP="00E75AC2">
            <w:pPr>
              <w:pStyle w:val="TableHeading1"/>
            </w:pPr>
          </w:p>
        </w:tc>
      </w:tr>
      <w:tr w:rsidR="00612FD3" w:rsidTr="00E75AC2">
        <w:tc>
          <w:tcPr>
            <w:tcW w:w="241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TextEntries"/>
            </w:pPr>
            <w:r>
              <w:t>Residential component of hotels, motels, schools, hospitals and jails</w:t>
            </w:r>
          </w:p>
        </w:tc>
        <w:tc>
          <w:tcPr>
            <w:tcW w:w="198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TextEntries"/>
            </w:pPr>
            <w:r>
              <w:t>Hotels</w:t>
            </w:r>
          </w:p>
        </w:tc>
        <w:tc>
          <w:tcPr>
            <w:tcW w:w="359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TextEntries"/>
            </w:pPr>
            <w:r>
              <w:t>pitt&amp;sherry</w:t>
            </w:r>
          </w:p>
        </w:tc>
      </w:tr>
      <w:tr w:rsidR="00E75AC2" w:rsidTr="00E75AC2">
        <w:tc>
          <w:tcPr>
            <w:tcW w:w="2410"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E75AC2" w:rsidRDefault="00E75AC2" w:rsidP="00E75AC2">
            <w:pPr>
              <w:pStyle w:val="TableHeading1"/>
            </w:pPr>
            <w:r>
              <w:t>Class 5</w:t>
            </w:r>
          </w:p>
        </w:tc>
        <w:tc>
          <w:tcPr>
            <w:tcW w:w="1985"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E75AC2" w:rsidRDefault="00E75AC2" w:rsidP="00E75AC2">
            <w:pPr>
              <w:pStyle w:val="TableHeading1"/>
            </w:pPr>
          </w:p>
        </w:tc>
        <w:tc>
          <w:tcPr>
            <w:tcW w:w="359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E75AC2" w:rsidRDefault="00E75AC2" w:rsidP="00E75AC2">
            <w:pPr>
              <w:pStyle w:val="TableHeading1"/>
            </w:pPr>
          </w:p>
        </w:tc>
      </w:tr>
      <w:tr w:rsidR="00612FD3" w:rsidTr="00E75AC2">
        <w:tc>
          <w:tcPr>
            <w:tcW w:w="241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TextEntries"/>
            </w:pPr>
            <w:r>
              <w:t>Office buildings</w:t>
            </w:r>
            <w:r>
              <w:rPr>
                <w:rStyle w:val="NoteLabel"/>
              </w:rPr>
              <w:t xml:space="preserve"> a</w:t>
            </w:r>
            <w:r>
              <w:t xml:space="preserve"> that are used for professional or commercial purposes, excluding Class 6, 7, 8 or 9 buildings</w:t>
            </w:r>
          </w:p>
        </w:tc>
        <w:tc>
          <w:tcPr>
            <w:tcW w:w="198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TextEntries"/>
            </w:pPr>
            <w:r>
              <w:t>Standalone offices</w:t>
            </w:r>
          </w:p>
        </w:tc>
        <w:tc>
          <w:tcPr>
            <w:tcW w:w="359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TextEntries"/>
            </w:pPr>
            <w:r>
              <w:t>pitt&amp;sherry</w:t>
            </w:r>
          </w:p>
        </w:tc>
      </w:tr>
      <w:tr w:rsidR="00E75AC2" w:rsidTr="00E75AC2">
        <w:tc>
          <w:tcPr>
            <w:tcW w:w="2410"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E75AC2" w:rsidRPr="006E270D" w:rsidRDefault="00E75AC2" w:rsidP="00E75AC2">
            <w:pPr>
              <w:pStyle w:val="TableHeading1"/>
            </w:pPr>
            <w:r w:rsidRPr="006E270D">
              <w:t xml:space="preserve">Class 6 </w:t>
            </w:r>
          </w:p>
        </w:tc>
        <w:tc>
          <w:tcPr>
            <w:tcW w:w="1985"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E75AC2" w:rsidRPr="007600EC" w:rsidRDefault="00E75AC2" w:rsidP="00E75AC2">
            <w:pPr>
              <w:pStyle w:val="TableHeading1"/>
            </w:pPr>
          </w:p>
        </w:tc>
        <w:tc>
          <w:tcPr>
            <w:tcW w:w="359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E75AC2" w:rsidRDefault="00E75AC2" w:rsidP="00E75AC2">
            <w:pPr>
              <w:pStyle w:val="TableHeading1"/>
            </w:pPr>
          </w:p>
        </w:tc>
      </w:tr>
      <w:tr w:rsidR="00612FD3" w:rsidTr="00E75AC2">
        <w:tc>
          <w:tcPr>
            <w:tcW w:w="241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TextEntries"/>
            </w:pPr>
            <w:r>
              <w:t>Buildings typically shops, restaurants, and cafes</w:t>
            </w:r>
          </w:p>
        </w:tc>
        <w:tc>
          <w:tcPr>
            <w:tcW w:w="198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TextEntries"/>
            </w:pPr>
            <w:r w:rsidRPr="007600EC">
              <w:t>Retail (shopping centres</w:t>
            </w:r>
            <w:r>
              <w:t>, supermarkets and retail strips</w:t>
            </w:r>
            <w:r w:rsidRPr="007600EC">
              <w:t>)</w:t>
            </w:r>
          </w:p>
        </w:tc>
        <w:tc>
          <w:tcPr>
            <w:tcW w:w="359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TextEntries"/>
            </w:pPr>
            <w:r>
              <w:t>pitt&amp;sherry</w:t>
            </w:r>
          </w:p>
        </w:tc>
      </w:tr>
      <w:tr w:rsidR="00E75AC2" w:rsidTr="00817952">
        <w:tc>
          <w:tcPr>
            <w:tcW w:w="2410"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E75AC2" w:rsidRPr="006E270D" w:rsidRDefault="00E75AC2" w:rsidP="00817952">
            <w:pPr>
              <w:pStyle w:val="TableHeading1"/>
            </w:pPr>
            <w:r>
              <w:t>Class 7a</w:t>
            </w:r>
          </w:p>
        </w:tc>
        <w:tc>
          <w:tcPr>
            <w:tcW w:w="1985"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E75AC2" w:rsidRPr="007600EC" w:rsidRDefault="00E75AC2" w:rsidP="00817952">
            <w:pPr>
              <w:pStyle w:val="TableHeading1"/>
            </w:pPr>
          </w:p>
        </w:tc>
        <w:tc>
          <w:tcPr>
            <w:tcW w:w="359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E75AC2" w:rsidRDefault="00E75AC2" w:rsidP="00817952">
            <w:pPr>
              <w:pStyle w:val="TableHeading1"/>
            </w:pPr>
          </w:p>
        </w:tc>
      </w:tr>
      <w:tr w:rsidR="00612FD3" w:rsidTr="00301B6D">
        <w:trPr>
          <w:trHeight w:val="1266"/>
        </w:trPr>
        <w:tc>
          <w:tcPr>
            <w:tcW w:w="241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Pr="006E270D" w:rsidRDefault="00612FD3" w:rsidP="00301B6D">
            <w:pPr>
              <w:pStyle w:val="Note"/>
              <w:rPr>
                <w:b/>
              </w:rPr>
            </w:pPr>
          </w:p>
        </w:tc>
        <w:tc>
          <w:tcPr>
            <w:tcW w:w="198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TextEntries"/>
            </w:pPr>
            <w:r>
              <w:t>Car parks</w:t>
            </w:r>
          </w:p>
        </w:tc>
        <w:tc>
          <w:tcPr>
            <w:tcW w:w="359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TextEntries"/>
            </w:pPr>
            <w:r>
              <w:t>CIE estimates: We utilise the Deloitte Access Economics/ Colliers Edge</w:t>
            </w:r>
            <w:r>
              <w:rPr>
                <w:rStyle w:val="NoteLabel"/>
              </w:rPr>
              <w:t xml:space="preserve"> b</w:t>
            </w:r>
            <w:r>
              <w:t xml:space="preserve"> of non-residential car spaces per 100 CBD workers, applying the proportion for ‘Sydney’ as a guide for the ratio of </w:t>
            </w:r>
            <w:r w:rsidRPr="008D5AAF">
              <w:rPr>
                <w:i/>
              </w:rPr>
              <w:t>undercover</w:t>
            </w:r>
            <w:r>
              <w:t xml:space="preserve"> car parks per full time worker (12.2 per 100 workers).</w:t>
            </w:r>
            <w:r w:rsidRPr="00A907F0">
              <w:rPr>
                <w:rStyle w:val="NoteLabel"/>
              </w:rPr>
              <w:t xml:space="preserve"> c</w:t>
            </w:r>
            <w:r>
              <w:t xml:space="preserve"> We apply this ratio to the number of employed persons of working age in each capital city. </w:t>
            </w:r>
          </w:p>
          <w:p w:rsidR="00612FD3" w:rsidRDefault="00612FD3" w:rsidP="00301B6D">
            <w:pPr>
              <w:pStyle w:val="TableTextEntries"/>
            </w:pPr>
            <w:r>
              <w:t>For workers located outside of each capital city, we assume a rate of one tenth the proportion of car spaces per worker in cities. Each car space is assumed to require 32 m</w:t>
            </w:r>
            <w:r w:rsidRPr="006F0F4C">
              <w:rPr>
                <w:vertAlign w:val="superscript"/>
              </w:rPr>
              <w:t>2</w:t>
            </w:r>
            <w:r>
              <w:t xml:space="preserve"> of building. Estimates were crosschecked with building approval data for ‘transport buildings’, and are consistent with 50 per cent of this category of planned expenditure being for underground car parks. </w:t>
            </w:r>
          </w:p>
        </w:tc>
      </w:tr>
      <w:tr w:rsidR="00E75AC2" w:rsidTr="00817952">
        <w:tc>
          <w:tcPr>
            <w:tcW w:w="2410"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E75AC2" w:rsidRPr="006E270D" w:rsidRDefault="00E75AC2" w:rsidP="00817952">
            <w:pPr>
              <w:pStyle w:val="TableHeading1"/>
            </w:pPr>
            <w:r>
              <w:t>Class 7b</w:t>
            </w:r>
          </w:p>
        </w:tc>
        <w:tc>
          <w:tcPr>
            <w:tcW w:w="1985"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E75AC2" w:rsidRPr="007600EC" w:rsidRDefault="00E75AC2" w:rsidP="00817952">
            <w:pPr>
              <w:pStyle w:val="TableHeading1"/>
            </w:pPr>
          </w:p>
        </w:tc>
        <w:tc>
          <w:tcPr>
            <w:tcW w:w="359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E75AC2" w:rsidRDefault="00E75AC2" w:rsidP="00817952">
            <w:pPr>
              <w:pStyle w:val="TableHeading1"/>
            </w:pPr>
          </w:p>
        </w:tc>
      </w:tr>
      <w:tr w:rsidR="00612FD3" w:rsidTr="00301B6D">
        <w:trPr>
          <w:trHeight w:val="1266"/>
        </w:trPr>
        <w:tc>
          <w:tcPr>
            <w:tcW w:w="241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Pr="007600EC" w:rsidRDefault="00612FD3" w:rsidP="00301B6D">
            <w:pPr>
              <w:pStyle w:val="TableTextEntries"/>
            </w:pPr>
            <w:r>
              <w:t>Ty</w:t>
            </w:r>
            <w:r w:rsidRPr="006E270D">
              <w:t>pically warehouses, storage buildings or buildings for the display of goods (or produce) that is for wholesale</w:t>
            </w:r>
          </w:p>
        </w:tc>
        <w:tc>
          <w:tcPr>
            <w:tcW w:w="198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TextEntries"/>
            </w:pPr>
            <w:r>
              <w:t>Not included</w:t>
            </w:r>
          </w:p>
        </w:tc>
        <w:tc>
          <w:tcPr>
            <w:tcW w:w="359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Pr="001B58BD" w:rsidRDefault="00612FD3" w:rsidP="00301B6D">
            <w:pPr>
              <w:pStyle w:val="TableTextEntries"/>
            </w:pPr>
            <w:r>
              <w:t>CIE estimates: base year reflects Australian National Accounts value of Australian production across storage and warehousing categories (of $6.98 billion in 2013-14, scaled by the rate of economic growth to $7.70 billion in 2016-7), divided by the estimated revenue per $m for each State/Territory (ranging from $61 per m</w:t>
            </w:r>
            <w:r w:rsidRPr="002B3EF2">
              <w:rPr>
                <w:vertAlign w:val="superscript"/>
              </w:rPr>
              <w:t>2</w:t>
            </w:r>
            <w:r>
              <w:t xml:space="preserve"> to $130 per m</w:t>
            </w:r>
            <w:r w:rsidRPr="002B3EF2">
              <w:rPr>
                <w:vertAlign w:val="superscript"/>
              </w:rPr>
              <w:t>2</w:t>
            </w:r>
            <w:r>
              <w:t>)</w:t>
            </w:r>
          </w:p>
        </w:tc>
      </w:tr>
      <w:tr w:rsidR="00E75AC2" w:rsidTr="00817952">
        <w:tc>
          <w:tcPr>
            <w:tcW w:w="2410"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E75AC2" w:rsidRPr="006E270D" w:rsidRDefault="00E75AC2" w:rsidP="00817952">
            <w:pPr>
              <w:pStyle w:val="TableHeading1"/>
            </w:pPr>
            <w:r>
              <w:t>Class 8</w:t>
            </w:r>
          </w:p>
        </w:tc>
        <w:tc>
          <w:tcPr>
            <w:tcW w:w="1985"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E75AC2" w:rsidRPr="007600EC" w:rsidRDefault="00E75AC2" w:rsidP="00817952">
            <w:pPr>
              <w:pStyle w:val="TableHeading1"/>
            </w:pPr>
          </w:p>
        </w:tc>
        <w:tc>
          <w:tcPr>
            <w:tcW w:w="359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E75AC2" w:rsidRDefault="00E75AC2" w:rsidP="00817952">
            <w:pPr>
              <w:pStyle w:val="TableHeading1"/>
            </w:pPr>
          </w:p>
        </w:tc>
      </w:tr>
      <w:tr w:rsidR="00612FD3" w:rsidTr="00301B6D">
        <w:tc>
          <w:tcPr>
            <w:tcW w:w="241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Pr="006E270D" w:rsidRDefault="00612FD3" w:rsidP="00301B6D">
            <w:pPr>
              <w:pStyle w:val="Note"/>
              <w:rPr>
                <w:b/>
              </w:rPr>
            </w:pPr>
            <w:r>
              <w:t>F</w:t>
            </w:r>
            <w:r w:rsidRPr="006E270D">
              <w:t>actory</w:t>
            </w:r>
          </w:p>
        </w:tc>
        <w:tc>
          <w:tcPr>
            <w:tcW w:w="198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TextEntries"/>
            </w:pPr>
            <w:r>
              <w:t>Not included</w:t>
            </w:r>
          </w:p>
        </w:tc>
        <w:tc>
          <w:tcPr>
            <w:tcW w:w="359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TextEntries"/>
            </w:pPr>
            <w:r>
              <w:t>CIE (2009) of 25 million m</w:t>
            </w:r>
            <w:r w:rsidRPr="006F0F4C">
              <w:rPr>
                <w:vertAlign w:val="superscript"/>
              </w:rPr>
              <w:t>2</w:t>
            </w:r>
            <w:r>
              <w:t xml:space="preserve"> (assuming a 2 per cent rate of stock replacement) scaled to 2017 by the change in Gross Value Added of mining and manufacturing sectors. </w:t>
            </w:r>
          </w:p>
        </w:tc>
      </w:tr>
      <w:tr w:rsidR="00E75AC2" w:rsidTr="00817952">
        <w:tc>
          <w:tcPr>
            <w:tcW w:w="2410"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E75AC2" w:rsidRPr="006E270D" w:rsidRDefault="00E75AC2" w:rsidP="00817952">
            <w:pPr>
              <w:pStyle w:val="TableHeading1"/>
            </w:pPr>
            <w:r>
              <w:t>Class 9a</w:t>
            </w:r>
          </w:p>
        </w:tc>
        <w:tc>
          <w:tcPr>
            <w:tcW w:w="1985"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E75AC2" w:rsidRPr="007600EC" w:rsidRDefault="00E75AC2" w:rsidP="00817952">
            <w:pPr>
              <w:pStyle w:val="TableHeading1"/>
            </w:pPr>
          </w:p>
        </w:tc>
        <w:tc>
          <w:tcPr>
            <w:tcW w:w="359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E75AC2" w:rsidRDefault="00E75AC2" w:rsidP="00817952">
            <w:pPr>
              <w:pStyle w:val="TableHeading1"/>
            </w:pPr>
          </w:p>
        </w:tc>
      </w:tr>
      <w:tr w:rsidR="00612FD3" w:rsidTr="00301B6D">
        <w:tc>
          <w:tcPr>
            <w:tcW w:w="241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Pr="006E270D" w:rsidRDefault="00612FD3" w:rsidP="00301B6D">
            <w:pPr>
              <w:pStyle w:val="TableTextEntries"/>
              <w:rPr>
                <w:b/>
              </w:rPr>
            </w:pPr>
            <w:r>
              <w:t>G</w:t>
            </w:r>
            <w:r w:rsidRPr="006E270D">
              <w:t>enerally hospital</w:t>
            </w:r>
            <w:r>
              <w:t xml:space="preserve"> buildings</w:t>
            </w:r>
          </w:p>
        </w:tc>
        <w:tc>
          <w:tcPr>
            <w:tcW w:w="198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TextEntries"/>
            </w:pPr>
            <w:r>
              <w:t>Hospitals</w:t>
            </w:r>
          </w:p>
        </w:tc>
        <w:tc>
          <w:tcPr>
            <w:tcW w:w="359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TextEntries"/>
            </w:pPr>
            <w:r>
              <w:t xml:space="preserve">pitt&amp;sherry </w:t>
            </w:r>
          </w:p>
        </w:tc>
      </w:tr>
      <w:tr w:rsidR="00E75AC2" w:rsidTr="00817952">
        <w:tc>
          <w:tcPr>
            <w:tcW w:w="2410"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E75AC2" w:rsidRPr="006E270D" w:rsidRDefault="00E75AC2" w:rsidP="00817952">
            <w:pPr>
              <w:pStyle w:val="TableHeading1"/>
            </w:pPr>
            <w:r>
              <w:t>Class 9b</w:t>
            </w:r>
          </w:p>
        </w:tc>
        <w:tc>
          <w:tcPr>
            <w:tcW w:w="1985"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E75AC2" w:rsidRPr="007600EC" w:rsidRDefault="00E75AC2" w:rsidP="00817952">
            <w:pPr>
              <w:pStyle w:val="TableHeading1"/>
            </w:pPr>
          </w:p>
        </w:tc>
        <w:tc>
          <w:tcPr>
            <w:tcW w:w="359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E75AC2" w:rsidRDefault="00E75AC2" w:rsidP="00817952">
            <w:pPr>
              <w:pStyle w:val="TableHeading1"/>
            </w:pPr>
          </w:p>
        </w:tc>
      </w:tr>
      <w:tr w:rsidR="00612FD3" w:rsidTr="00301B6D">
        <w:tc>
          <w:tcPr>
            <w:tcW w:w="241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TextEntries"/>
            </w:pPr>
            <w:r>
              <w:t>B</w:t>
            </w:r>
            <w:r w:rsidRPr="006E270D">
              <w:t>uildings in which people gather for social, theatrical, political, religious or civil purposes</w:t>
            </w:r>
            <w:r>
              <w:t xml:space="preserve"> </w:t>
            </w:r>
          </w:p>
          <w:p w:rsidR="00612FD3" w:rsidRPr="002B3EF2" w:rsidRDefault="00612FD3" w:rsidP="00301B6D">
            <w:pPr>
              <w:pStyle w:val="TableTextEntries"/>
              <w:rPr>
                <w:b/>
              </w:rPr>
            </w:pPr>
            <w:r>
              <w:t>Incorporates schools, universities, VET buildings and public buildings/law courts, as well as aged care</w:t>
            </w:r>
          </w:p>
        </w:tc>
        <w:tc>
          <w:tcPr>
            <w:tcW w:w="198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TextEntries"/>
            </w:pPr>
            <w:r>
              <w:t xml:space="preserve">Schools </w:t>
            </w:r>
          </w:p>
          <w:p w:rsidR="00612FD3" w:rsidRDefault="00612FD3" w:rsidP="00301B6D">
            <w:pPr>
              <w:pStyle w:val="TableTextEntries"/>
            </w:pPr>
            <w:r>
              <w:t xml:space="preserve">Universities </w:t>
            </w:r>
          </w:p>
          <w:p w:rsidR="00612FD3" w:rsidRDefault="00612FD3" w:rsidP="00301B6D">
            <w:pPr>
              <w:pStyle w:val="TableTextEntries"/>
            </w:pPr>
            <w:r>
              <w:t>VET buildings</w:t>
            </w:r>
          </w:p>
          <w:p w:rsidR="00612FD3" w:rsidRDefault="00612FD3" w:rsidP="00301B6D">
            <w:pPr>
              <w:pStyle w:val="TableTextEntries"/>
            </w:pPr>
            <w:r>
              <w:t xml:space="preserve"> Public buildings</w:t>
            </w:r>
          </w:p>
          <w:p w:rsidR="00612FD3" w:rsidRDefault="00612FD3" w:rsidP="00301B6D">
            <w:pPr>
              <w:pStyle w:val="TableTextEntries"/>
            </w:pPr>
            <w:r>
              <w:t>Law courts</w:t>
            </w:r>
          </w:p>
          <w:p w:rsidR="00612FD3" w:rsidRDefault="00612FD3" w:rsidP="00301B6D">
            <w:pPr>
              <w:pStyle w:val="TableTextEntries"/>
            </w:pPr>
          </w:p>
        </w:tc>
        <w:tc>
          <w:tcPr>
            <w:tcW w:w="359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TextEntries"/>
            </w:pPr>
            <w:r>
              <w:t>pitt&amp;sherry</w:t>
            </w:r>
          </w:p>
        </w:tc>
      </w:tr>
      <w:tr w:rsidR="00E75AC2" w:rsidTr="00817952">
        <w:tc>
          <w:tcPr>
            <w:tcW w:w="2410"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E75AC2" w:rsidRPr="006E270D" w:rsidRDefault="00E75AC2" w:rsidP="00817952">
            <w:pPr>
              <w:pStyle w:val="TableHeading1"/>
            </w:pPr>
            <w:r>
              <w:t>Class 9c</w:t>
            </w:r>
          </w:p>
        </w:tc>
        <w:tc>
          <w:tcPr>
            <w:tcW w:w="1985"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E75AC2" w:rsidRPr="007600EC" w:rsidRDefault="00E75AC2" w:rsidP="00817952">
            <w:pPr>
              <w:pStyle w:val="TableHeading1"/>
            </w:pPr>
          </w:p>
        </w:tc>
        <w:tc>
          <w:tcPr>
            <w:tcW w:w="359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E75AC2" w:rsidRDefault="00E75AC2" w:rsidP="00817952">
            <w:pPr>
              <w:pStyle w:val="TableHeading1"/>
            </w:pPr>
          </w:p>
        </w:tc>
      </w:tr>
      <w:tr w:rsidR="00612FD3" w:rsidTr="00301B6D">
        <w:tc>
          <w:tcPr>
            <w:tcW w:w="2410" w:type="dxa"/>
            <w:tcBorders>
              <w:top w:val="single" w:sz="8" w:space="0" w:color="FFFFFF" w:themeColor="background1"/>
              <w:bottom w:val="single" w:sz="6" w:space="0" w:color="6F6652"/>
            </w:tcBorders>
            <w:shd w:val="clear" w:color="auto" w:fill="E9E8E5" w:themeFill="background2"/>
            <w:tcMar>
              <w:left w:w="57" w:type="dxa"/>
              <w:right w:w="57" w:type="dxa"/>
            </w:tcMar>
          </w:tcPr>
          <w:p w:rsidR="00612FD3" w:rsidRPr="00286745" w:rsidRDefault="00612FD3" w:rsidP="00301B6D">
            <w:pPr>
              <w:pStyle w:val="TableTextEntries"/>
            </w:pPr>
            <w:r w:rsidRPr="009A6D6E">
              <w:t>Buildings</w:t>
            </w:r>
            <w:r>
              <w:t xml:space="preserve"> used as residential accommodation for elderly people who, due to varying degrees of incapacity associated with the ageing process, are provided with personal care services and 24 hour staff assistance to evacuate the building in an emergency.</w:t>
            </w:r>
          </w:p>
        </w:tc>
        <w:tc>
          <w:tcPr>
            <w:tcW w:w="1985" w:type="dxa"/>
            <w:tcBorders>
              <w:top w:val="single" w:sz="8" w:space="0" w:color="FFFFFF" w:themeColor="background1"/>
              <w:bottom w:val="single" w:sz="6" w:space="0" w:color="6F6652"/>
            </w:tcBorders>
            <w:shd w:val="clear" w:color="auto" w:fill="E9E8E5" w:themeFill="background2"/>
            <w:tcMar>
              <w:left w:w="57" w:type="dxa"/>
              <w:right w:w="57" w:type="dxa"/>
            </w:tcMar>
          </w:tcPr>
          <w:p w:rsidR="00612FD3" w:rsidRDefault="00612FD3" w:rsidP="00301B6D">
            <w:pPr>
              <w:pStyle w:val="TableTextEntries"/>
            </w:pPr>
            <w:r>
              <w:t>Aged care</w:t>
            </w:r>
          </w:p>
        </w:tc>
        <w:tc>
          <w:tcPr>
            <w:tcW w:w="3599" w:type="dxa"/>
            <w:tcBorders>
              <w:top w:val="single" w:sz="8" w:space="0" w:color="FFFFFF" w:themeColor="background1"/>
              <w:bottom w:val="single" w:sz="6" w:space="0" w:color="6F6652"/>
            </w:tcBorders>
            <w:shd w:val="clear" w:color="auto" w:fill="E9E8E5" w:themeFill="background2"/>
            <w:tcMar>
              <w:left w:w="57" w:type="dxa"/>
              <w:right w:w="57" w:type="dxa"/>
            </w:tcMar>
          </w:tcPr>
          <w:p w:rsidR="00612FD3" w:rsidRDefault="00612FD3" w:rsidP="00301B6D">
            <w:pPr>
              <w:pStyle w:val="TableTextEntries"/>
            </w:pPr>
            <w:r>
              <w:t>Aged care: Estimated by the number of residential aged care places by the average floor area per resident</w:t>
            </w:r>
          </w:p>
        </w:tc>
      </w:tr>
    </w:tbl>
    <w:p w:rsidR="00612FD3" w:rsidRPr="00E4232C" w:rsidRDefault="00612FD3" w:rsidP="00612FD3">
      <w:pPr>
        <w:pStyle w:val="Source"/>
      </w:pPr>
      <w:r w:rsidRPr="00E4232C">
        <w:rPr>
          <w:rStyle w:val="NoteLabel"/>
        </w:rPr>
        <w:t>a</w:t>
      </w:r>
      <w:r>
        <w:t xml:space="preserve"> </w:t>
      </w:r>
      <w:r w:rsidRPr="007136A3">
        <w:t xml:space="preserve">Note that the CIE excludes non-standalone offices for which the pitt&amp;sherry work provided stock but no energy intensity per floor area estimates. These are expected to be comprised (at least in part) of residential based offices. </w:t>
      </w:r>
      <w:r>
        <w:rPr>
          <w:rStyle w:val="NoteLabel"/>
        </w:rPr>
        <w:t>b</w:t>
      </w:r>
      <w:r w:rsidRPr="007136A3">
        <w:t xml:space="preserve"> </w:t>
      </w:r>
      <w:r>
        <w:t xml:space="preserve">Available at Colliers International  2015, </w:t>
      </w:r>
      <w:r w:rsidRPr="006F0F4C">
        <w:rPr>
          <w:i/>
        </w:rPr>
        <w:t>The evolution of car parking – technology creating risk and opportunity</w:t>
      </w:r>
      <w:r>
        <w:t xml:space="preserve">. </w:t>
      </w:r>
      <w:hyperlink r:id="rId61" w:history="1">
        <w:r w:rsidRPr="00973D35">
          <w:rPr>
            <w:rStyle w:val="Hyperlink"/>
          </w:rPr>
          <w:t>https://www.commercialrealestate.com.au/news/wp-content/uploads/2015/07/Car-Parking-White-Paper-2015-1.pdf</w:t>
        </w:r>
      </w:hyperlink>
      <w:r>
        <w:t xml:space="preserve"> </w:t>
      </w:r>
      <w:r w:rsidRPr="00A907F0">
        <w:rPr>
          <w:rStyle w:val="NoteLabel"/>
        </w:rPr>
        <w:t>c</w:t>
      </w:r>
      <w:r>
        <w:rPr>
          <w:rStyle w:val="NoteLabel"/>
        </w:rPr>
        <w:t xml:space="preserve"> </w:t>
      </w:r>
      <w:r>
        <w:t xml:space="preserve">The CIE understands that the data reflects both undercover and open car parks. While the rate of car parks per worker is as high as 20 per 100 workers in locations such as Canberra, to be conservative we assume that this relates to open car parks which are not present (as a standalone commercial use) of land in the Sydney CBD.  </w:t>
      </w:r>
    </w:p>
    <w:p w:rsidR="00612FD3" w:rsidRDefault="00612FD3" w:rsidP="00612FD3">
      <w:pPr>
        <w:pStyle w:val="Source"/>
      </w:pPr>
      <w:r>
        <w:rPr>
          <w:i/>
        </w:rPr>
        <w:t>Source</w:t>
      </w:r>
      <w:r w:rsidRPr="00E4232C">
        <w:rPr>
          <w:i/>
        </w:rPr>
        <w:t>:</w:t>
      </w:r>
      <w:r>
        <w:t xml:space="preserve"> CIE (2009), pitt&amp;sherry (2012), ABCB (2017). Colliers International (2015). </w:t>
      </w:r>
    </w:p>
    <w:p w:rsidR="00612FD3" w:rsidRDefault="00612FD3" w:rsidP="00612FD3">
      <w:pPr>
        <w:pStyle w:val="Heading3"/>
        <w:numPr>
          <w:ilvl w:val="2"/>
          <w:numId w:val="5"/>
        </w:numPr>
      </w:pPr>
      <w:r>
        <w:t>Estimates of the</w:t>
      </w:r>
      <w:r w:rsidRPr="00453510">
        <w:t xml:space="preserve"> existing stock</w:t>
      </w:r>
    </w:p>
    <w:p w:rsidR="00612FD3" w:rsidRDefault="00612FD3" w:rsidP="00612FD3">
      <w:pPr>
        <w:pStyle w:val="BodyText"/>
      </w:pPr>
      <w:r>
        <w:t xml:space="preserve">The estimated floor space of Australia’s commercial building stock in 2017, by type, is shown in table E.2. In total, we estimate that there is approximately 360.2 million square metres of floor space across commercial buildings in Australia. </w:t>
      </w:r>
      <w:r w:rsidRPr="004D40A2">
        <w:t>This is equivalent to an increase of approximately 9 per cent above the level in 2012.</w:t>
      </w:r>
      <w:r>
        <w:t xml:space="preserve"> </w:t>
      </w:r>
    </w:p>
    <w:p w:rsidR="00612FD3" w:rsidRDefault="00612FD3" w:rsidP="00612FD3">
      <w:pPr>
        <w:pStyle w:val="BodyText"/>
      </w:pPr>
      <w:r>
        <w:t xml:space="preserve">The floor area associated with warehousing and storage has the potential to be around 92.7 million square metres, or twice the size of standalone offices. Acknowledging the uncertainty surrounding the precise floor area for this building class, even if the CIE’s estimate were too high by 20 per cent with respect to warehouse and storage area, it would remain at least as large as Australia’s retail area. Furthermore, the CIE’s estimates are in line with (lower than) those of Savills Research who estimates there is ‘some 100 million square metres of industrial </w:t>
      </w:r>
      <w:r w:rsidR="00537C50">
        <w:t>floor space</w:t>
      </w:r>
      <w:r>
        <w:t xml:space="preserve"> in Australia’.</w:t>
      </w:r>
      <w:r>
        <w:rPr>
          <w:rStyle w:val="FootnoteReference"/>
        </w:rPr>
        <w:footnoteReference w:id="123"/>
      </w:r>
      <w:r>
        <w:t xml:space="preserve"> </w:t>
      </w:r>
    </w:p>
    <w:p w:rsidR="00612FD3" w:rsidRDefault="00612FD3" w:rsidP="00612FD3">
      <w:pPr>
        <w:pStyle w:val="BodyText"/>
      </w:pPr>
      <w:r>
        <w:t>The second largest category of commercial building floor space is retail, incorporating supermarkets, shopping centres and retail strips, with an estimated 72.6 million square metres. Approximately 41.3 million square metres is estimated to be comprised by retail strips, followed by 22.6 million square metres in shopping centres. Note that the estimated area of shopping centres is consistent with those published by the Australian Shopping Centre Industry in 2015 (at 22.9 million).</w:t>
      </w:r>
      <w:r>
        <w:rPr>
          <w:rStyle w:val="FootnoteReference"/>
        </w:rPr>
        <w:footnoteReference w:id="124"/>
      </w:r>
    </w:p>
    <w:p w:rsidR="00612FD3" w:rsidRDefault="00612FD3" w:rsidP="00612FD3">
      <w:pPr>
        <w:pStyle w:val="BodyText"/>
      </w:pPr>
      <w:r>
        <w:t>The third largest category is education buildings (at 62.6 million square metres), comprising of schools, VET buildings and universities. Schools are expected to account for approximately 70 per cent of this category.</w:t>
      </w:r>
    </w:p>
    <w:p w:rsidR="00612FD3" w:rsidRDefault="00612FD3" w:rsidP="00612FD3">
      <w:pPr>
        <w:pStyle w:val="Caption"/>
        <w:numPr>
          <w:ilvl w:val="0"/>
          <w:numId w:val="7"/>
        </w:numPr>
      </w:pPr>
      <w:r w:rsidRPr="00695C93">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sidR="00B833F1">
        <w:rPr>
          <w:noProof/>
        </w:rPr>
        <w:instrText>E</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1</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Pr>
          <w:noProof/>
        </w:rPr>
        <w:instrText>1</w:instrText>
      </w:r>
      <w:r>
        <w:rPr>
          <w:noProof/>
        </w:rPr>
        <w:fldChar w:fldCharType="end"/>
      </w:r>
      <w:r w:rsidRPr="00695C93">
        <w:instrText xml:space="preserve">." </w:instrText>
      </w:r>
      <w:r w:rsidRPr="00695C93">
        <w:fldChar w:fldCharType="separate"/>
      </w:r>
      <w:r>
        <w:rPr>
          <w:noProof/>
        </w:rPr>
        <w:instrText>1</w:instrText>
      </w:r>
      <w:r w:rsidRPr="00695C93">
        <w:rPr>
          <w:noProof/>
        </w:rPr>
        <w:instrText>.</w:instrText>
      </w:r>
      <w:r w:rsidRPr="00695C93">
        <w:fldChar w:fldCharType="end"/>
      </w:r>
      <w:r w:rsidRPr="00695C93">
        <w:instrText>" "</w:instrText>
      </w:r>
      <w:r>
        <w:rPr>
          <w:noProof/>
        </w:rPr>
        <w:fldChar w:fldCharType="begin"/>
      </w:r>
      <w:r>
        <w:rPr>
          <w:noProof/>
        </w:rPr>
        <w:instrText xml:space="preserve"> STYLEREF "Heading 6" \l \n </w:instrText>
      </w:r>
      <w:r>
        <w:rPr>
          <w:noProof/>
        </w:rPr>
        <w:fldChar w:fldCharType="separate"/>
      </w:r>
      <w:r w:rsidR="00B833F1">
        <w:rPr>
          <w:noProof/>
        </w:rPr>
        <w:instrText>E</w:instrText>
      </w:r>
      <w:r>
        <w:rPr>
          <w:noProof/>
        </w:rPr>
        <w:fldChar w:fldCharType="end"/>
      </w:r>
      <w:r w:rsidRPr="00695C93">
        <w:instrText xml:space="preserve">." </w:instrText>
      </w:r>
      <w:r w:rsidRPr="00695C93">
        <w:fldChar w:fldCharType="separate"/>
      </w:r>
      <w:r w:rsidR="00B833F1">
        <w:rPr>
          <w:noProof/>
        </w:rPr>
        <w:instrText>E</w:instrText>
      </w:r>
      <w:r w:rsidR="00B833F1" w:rsidRPr="00695C93">
        <w:rPr>
          <w:noProof/>
        </w:rPr>
        <w:instrText>.</w:instrText>
      </w:r>
      <w:r w:rsidRPr="00695C93">
        <w:fldChar w:fldCharType="end"/>
      </w:r>
      <w:r>
        <w:instrText>2</w:instrText>
      </w:r>
      <w:r w:rsidRPr="00695C93">
        <w:instrText xml:space="preserve">" "" </w:instrText>
      </w:r>
      <w:r w:rsidRPr="00695C93">
        <w:fldChar w:fldCharType="separate"/>
      </w:r>
      <w:bookmarkStart w:id="5834" w:name="_Caption8677"/>
      <w:bookmarkStart w:id="5835" w:name="_Caption8093"/>
      <w:bookmarkStart w:id="5836" w:name="_Caption9794"/>
      <w:bookmarkStart w:id="5837" w:name="_Caption8800"/>
      <w:bookmarkStart w:id="5838" w:name="_Caption5899"/>
      <w:bookmarkStart w:id="5839" w:name="_Caption8839"/>
      <w:bookmarkStart w:id="5840" w:name="_Caption9282"/>
      <w:bookmarkStart w:id="5841" w:name="_Caption0430"/>
      <w:bookmarkStart w:id="5842" w:name="_Caption8258"/>
      <w:bookmarkStart w:id="5843" w:name="_Caption9699"/>
      <w:bookmarkStart w:id="5844" w:name="_Caption1096"/>
      <w:bookmarkStart w:id="5845" w:name="_Caption3223"/>
      <w:bookmarkStart w:id="5846" w:name="_Caption6815"/>
      <w:bookmarkStart w:id="5847" w:name="_Caption4799"/>
      <w:bookmarkStart w:id="5848" w:name="_Caption0202"/>
      <w:bookmarkStart w:id="5849" w:name="_Caption0737"/>
      <w:bookmarkStart w:id="5850" w:name="_Caption1499"/>
      <w:bookmarkStart w:id="5851" w:name="_Caption4130"/>
      <w:bookmarkStart w:id="5852" w:name="_Caption0531"/>
      <w:bookmarkStart w:id="5853" w:name="_Caption3038"/>
      <w:bookmarkStart w:id="5854" w:name="_Caption1515"/>
      <w:bookmarkStart w:id="5855" w:name="_Caption8765"/>
      <w:bookmarkStart w:id="5856" w:name="_Caption4794"/>
      <w:bookmarkStart w:id="5857" w:name="_Caption1042"/>
      <w:bookmarkStart w:id="5858" w:name="_Caption7456"/>
      <w:bookmarkStart w:id="5859" w:name="_Caption0732"/>
      <w:bookmarkStart w:id="5860" w:name="_Caption7252"/>
      <w:bookmarkStart w:id="5861" w:name="_Caption8174"/>
      <w:bookmarkStart w:id="5862" w:name="_Caption6481"/>
      <w:bookmarkStart w:id="5863" w:name="_Caption9534"/>
      <w:bookmarkStart w:id="5864" w:name="_Caption8568"/>
      <w:bookmarkStart w:id="5865" w:name="_Caption3632"/>
      <w:bookmarkStart w:id="5866" w:name="_Caption1749"/>
      <w:bookmarkStart w:id="5867" w:name="_Caption1732"/>
      <w:bookmarkStart w:id="5868" w:name="_Caption1039"/>
      <w:bookmarkStart w:id="5869" w:name="_Caption0003"/>
      <w:bookmarkStart w:id="5870" w:name="_Caption5715"/>
      <w:bookmarkStart w:id="5871" w:name="_Caption0506"/>
      <w:bookmarkStart w:id="5872" w:name="_Caption6601"/>
      <w:bookmarkStart w:id="5873" w:name="_Caption2000"/>
      <w:bookmarkStart w:id="5874" w:name="_Caption8714"/>
      <w:bookmarkStart w:id="5875" w:name="_Caption9713"/>
      <w:bookmarkStart w:id="5876" w:name="_Caption5091"/>
      <w:bookmarkStart w:id="5877" w:name="_Caption8789"/>
      <w:bookmarkStart w:id="5878" w:name="_Caption4214"/>
      <w:bookmarkStart w:id="5879" w:name="_Caption6182"/>
      <w:bookmarkStart w:id="5880" w:name="_Caption7699"/>
      <w:bookmarkStart w:id="5881" w:name="_Caption3272"/>
      <w:bookmarkStart w:id="5882" w:name="_Caption4117"/>
      <w:bookmarkStart w:id="5883" w:name="_Caption4766"/>
      <w:bookmarkStart w:id="5884" w:name="_Caption6202"/>
      <w:bookmarkStart w:id="5885" w:name="_Caption2774"/>
      <w:bookmarkStart w:id="5886" w:name="_Caption8986"/>
      <w:bookmarkStart w:id="5887" w:name="_Caption8024"/>
      <w:bookmarkStart w:id="5888" w:name="_Caption9934"/>
      <w:bookmarkStart w:id="5889" w:name="_Caption4332"/>
      <w:bookmarkStart w:id="5890" w:name="_Caption2253"/>
      <w:bookmarkStart w:id="5891" w:name="_Caption2091"/>
      <w:bookmarkStart w:id="5892" w:name="_Caption2876"/>
      <w:bookmarkStart w:id="5893" w:name="_Caption0350"/>
      <w:bookmarkStart w:id="5894" w:name="_Caption1919"/>
      <w:bookmarkStart w:id="5895" w:name="_Caption0497"/>
      <w:bookmarkStart w:id="5896" w:name="_Caption6747"/>
      <w:bookmarkStart w:id="5897" w:name="_Caption1748"/>
      <w:bookmarkStart w:id="5898" w:name="_Caption2107"/>
      <w:bookmarkStart w:id="5899" w:name="_Caption4924"/>
      <w:bookmarkStart w:id="5900" w:name="_Caption1598"/>
      <w:bookmarkStart w:id="5901" w:name="_Caption2108"/>
      <w:bookmarkStart w:id="5902" w:name="_Caption0534"/>
      <w:bookmarkStart w:id="5903" w:name="_Caption6287"/>
      <w:bookmarkStart w:id="5904" w:name="_Caption4740"/>
      <w:bookmarkStart w:id="5905" w:name="_Caption1869"/>
      <w:bookmarkStart w:id="5906" w:name="_Caption7147"/>
      <w:bookmarkStart w:id="5907" w:name="_Caption0393"/>
      <w:bookmarkStart w:id="5908" w:name="_Caption5105"/>
      <w:bookmarkStart w:id="5909" w:name="_Caption6966"/>
      <w:bookmarkStart w:id="5910" w:name="_Caption3142"/>
      <w:bookmarkStart w:id="5911" w:name="_Caption1134"/>
      <w:bookmarkStart w:id="5912" w:name="_Caption9064"/>
      <w:bookmarkStart w:id="5913" w:name="_Caption3775"/>
      <w:bookmarkStart w:id="5914" w:name="_Caption6508"/>
      <w:bookmarkStart w:id="5915" w:name="_Caption1857"/>
      <w:bookmarkStart w:id="5916" w:name="_Caption3261"/>
      <w:bookmarkStart w:id="5917" w:name="_Caption6498"/>
      <w:bookmarkStart w:id="5918" w:name="_Caption6122"/>
      <w:bookmarkStart w:id="5919" w:name="_Caption1907"/>
      <w:bookmarkStart w:id="5920" w:name="_Caption3692"/>
      <w:bookmarkStart w:id="5921" w:name="_Caption5736"/>
      <w:bookmarkStart w:id="5922" w:name="_Caption6563"/>
      <w:bookmarkStart w:id="5923" w:name="_Caption9219"/>
      <w:bookmarkStart w:id="5924" w:name="_Caption0166"/>
      <w:bookmarkStart w:id="5925" w:name="_Caption1284"/>
      <w:bookmarkStart w:id="5926" w:name="_Caption8873"/>
      <w:bookmarkStart w:id="5927" w:name="_Caption7790"/>
      <w:bookmarkStart w:id="5928" w:name="_Caption7119"/>
      <w:bookmarkStart w:id="5929" w:name="_Caption2450"/>
      <w:bookmarkStart w:id="5930" w:name="_Caption8356"/>
      <w:bookmarkStart w:id="5931" w:name="_Caption3524"/>
      <w:bookmarkStart w:id="5932" w:name="_Caption4990"/>
      <w:bookmarkStart w:id="5933" w:name="_Caption3497"/>
      <w:bookmarkStart w:id="5934" w:name="_Caption1546"/>
      <w:bookmarkStart w:id="5935" w:name="_Caption7635"/>
      <w:bookmarkStart w:id="5936" w:name="_Caption7501"/>
      <w:bookmarkStart w:id="5937" w:name="_Caption9653"/>
      <w:bookmarkStart w:id="5938" w:name="_Caption1450"/>
      <w:bookmarkStart w:id="5939" w:name="_Caption9430"/>
      <w:bookmarkStart w:id="5940" w:name="_Caption3872"/>
      <w:bookmarkStart w:id="5941" w:name="_Caption1790"/>
      <w:bookmarkStart w:id="5942" w:name="_Toc499545264"/>
      <w:bookmarkStart w:id="5943" w:name="_Toc499847067"/>
      <w:bookmarkStart w:id="5944" w:name="_Toc505120677"/>
      <w:bookmarkStart w:id="5945" w:name="_Toc509220879"/>
      <w:bookmarkStart w:id="5946" w:name="_Toc529869981"/>
      <w:bookmarkStart w:id="5947" w:name="_Toc530748477"/>
      <w:r w:rsidR="00EA42ED">
        <w:rPr>
          <w:noProof/>
        </w:rPr>
        <w:t>E</w:t>
      </w:r>
      <w:r w:rsidR="00EA42ED" w:rsidRPr="00695C93">
        <w:rPr>
          <w:noProof/>
        </w:rPr>
        <w:t>.</w:t>
      </w:r>
      <w:r w:rsidR="00EA42ED">
        <w:rPr>
          <w:noProof/>
        </w:rPr>
        <w:t>2</w:t>
      </w:r>
      <w:bookmarkStart w:id="5948" w:name="_Toc507523830"/>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r w:rsidRPr="00695C93">
        <w:fldChar w:fldCharType="end"/>
      </w:r>
      <w:r w:rsidRPr="00695C93">
        <w:tab/>
      </w:r>
      <w:r>
        <w:t>Estimated commercial building floor space in 2017</w:t>
      </w:r>
      <w:bookmarkEnd w:id="5942"/>
      <w:bookmarkEnd w:id="5943"/>
      <w:bookmarkEnd w:id="5944"/>
      <w:bookmarkEnd w:id="5945"/>
      <w:bookmarkEnd w:id="5946"/>
      <w:bookmarkEnd w:id="5947"/>
      <w:bookmarkEnd w:id="5948"/>
    </w:p>
    <w:tbl>
      <w:tblPr>
        <w:tblW w:w="7937" w:type="dxa"/>
        <w:tblBorders>
          <w:top w:val="single" w:sz="4" w:space="0" w:color="auto"/>
          <w:bottom w:val="single" w:sz="4" w:space="0" w:color="auto"/>
        </w:tblBorders>
        <w:tblLayout w:type="fixed"/>
        <w:tblLook w:val="0000" w:firstRow="0" w:lastRow="0" w:firstColumn="0" w:lastColumn="0" w:noHBand="0" w:noVBand="0"/>
        <w:tblCaption w:val="Table E.2: Estimated commercial building floor space in 2017"/>
        <w:tblDescription w:val="This table shows the estimated number of commerical floor space in 2017. The estimated aamount of floor space in 2017 is 360,000,000 square metres. "/>
      </w:tblPr>
      <w:tblGrid>
        <w:gridCol w:w="2645"/>
        <w:gridCol w:w="2646"/>
        <w:gridCol w:w="2646"/>
      </w:tblGrid>
      <w:tr w:rsidR="00612FD3" w:rsidTr="00301B6D">
        <w:tc>
          <w:tcPr>
            <w:tcW w:w="2645" w:type="dxa"/>
            <w:tcBorders>
              <w:top w:val="nil"/>
              <w:bottom w:val="nil"/>
            </w:tcBorders>
            <w:shd w:val="clear" w:color="auto" w:fill="6F6652"/>
            <w:tcMar>
              <w:left w:w="57" w:type="dxa"/>
              <w:right w:w="57" w:type="dxa"/>
            </w:tcMar>
          </w:tcPr>
          <w:p w:rsidR="00612FD3" w:rsidRDefault="00612FD3" w:rsidP="00301B6D">
            <w:pPr>
              <w:pStyle w:val="TableDataColumnHeading"/>
              <w:jc w:val="left"/>
            </w:pPr>
          </w:p>
        </w:tc>
        <w:tc>
          <w:tcPr>
            <w:tcW w:w="2646" w:type="dxa"/>
            <w:tcBorders>
              <w:top w:val="nil"/>
              <w:bottom w:val="nil"/>
            </w:tcBorders>
            <w:shd w:val="clear" w:color="auto" w:fill="6F6652"/>
            <w:tcMar>
              <w:left w:w="57" w:type="dxa"/>
              <w:right w:w="57" w:type="dxa"/>
            </w:tcMar>
          </w:tcPr>
          <w:p w:rsidR="00612FD3" w:rsidRDefault="00612FD3" w:rsidP="00301B6D">
            <w:pPr>
              <w:pStyle w:val="TableDataColumnHeading"/>
            </w:pPr>
            <w:r>
              <w:t>Estimated floor space</w:t>
            </w:r>
          </w:p>
        </w:tc>
        <w:tc>
          <w:tcPr>
            <w:tcW w:w="2646" w:type="dxa"/>
            <w:tcBorders>
              <w:top w:val="nil"/>
              <w:bottom w:val="nil"/>
            </w:tcBorders>
            <w:shd w:val="clear" w:color="auto" w:fill="6F6652"/>
            <w:tcMar>
              <w:left w:w="57" w:type="dxa"/>
              <w:right w:w="57" w:type="dxa"/>
            </w:tcMar>
          </w:tcPr>
          <w:p w:rsidR="00612FD3" w:rsidRDefault="00612FD3" w:rsidP="00301B6D">
            <w:pPr>
              <w:pStyle w:val="TableDataColumnHeading"/>
            </w:pPr>
            <w:r>
              <w:t>Share of the building stock</w:t>
            </w:r>
          </w:p>
        </w:tc>
      </w:tr>
      <w:tr w:rsidR="00612FD3" w:rsidTr="00301B6D">
        <w:tc>
          <w:tcPr>
            <w:tcW w:w="2645" w:type="dxa"/>
            <w:tcBorders>
              <w:top w:val="nil"/>
              <w:bottom w:val="nil"/>
            </w:tcBorders>
            <w:shd w:val="clear" w:color="auto" w:fill="auto"/>
            <w:tcMar>
              <w:left w:w="57" w:type="dxa"/>
              <w:right w:w="57" w:type="dxa"/>
            </w:tcMar>
          </w:tcPr>
          <w:p w:rsidR="00612FD3" w:rsidRDefault="00612FD3" w:rsidP="00301B6D">
            <w:pPr>
              <w:pStyle w:val="TableUnit"/>
              <w:jc w:val="left"/>
            </w:pPr>
          </w:p>
        </w:tc>
        <w:tc>
          <w:tcPr>
            <w:tcW w:w="2646" w:type="dxa"/>
            <w:tcBorders>
              <w:top w:val="nil"/>
              <w:bottom w:val="nil"/>
            </w:tcBorders>
            <w:shd w:val="clear" w:color="auto" w:fill="auto"/>
            <w:tcMar>
              <w:left w:w="57" w:type="dxa"/>
              <w:right w:w="57" w:type="dxa"/>
            </w:tcMar>
          </w:tcPr>
          <w:p w:rsidR="00612FD3" w:rsidRDefault="00612FD3" w:rsidP="00301B6D">
            <w:pPr>
              <w:pStyle w:val="TableUnit"/>
            </w:pPr>
            <w:r>
              <w:t>000 m</w:t>
            </w:r>
            <w:r w:rsidRPr="00A96790">
              <w:rPr>
                <w:vertAlign w:val="superscript"/>
              </w:rPr>
              <w:t>2</w:t>
            </w:r>
          </w:p>
        </w:tc>
        <w:tc>
          <w:tcPr>
            <w:tcW w:w="2646" w:type="dxa"/>
            <w:tcBorders>
              <w:top w:val="nil"/>
              <w:bottom w:val="nil"/>
            </w:tcBorders>
            <w:shd w:val="clear" w:color="auto" w:fill="auto"/>
            <w:tcMar>
              <w:left w:w="57" w:type="dxa"/>
              <w:right w:w="57" w:type="dxa"/>
            </w:tcMar>
          </w:tcPr>
          <w:p w:rsidR="00612FD3" w:rsidRDefault="00612FD3" w:rsidP="00301B6D">
            <w:pPr>
              <w:pStyle w:val="TableUnit"/>
            </w:pPr>
            <w:r>
              <w:t>%</w:t>
            </w:r>
          </w:p>
        </w:tc>
      </w:tr>
      <w:tr w:rsidR="00612FD3" w:rsidTr="00301B6D">
        <w:tc>
          <w:tcPr>
            <w:tcW w:w="2645" w:type="dxa"/>
            <w:tcBorders>
              <w:top w:val="nil"/>
              <w:bottom w:val="single" w:sz="8" w:space="0" w:color="FFFFFF" w:themeColor="background1"/>
            </w:tcBorders>
            <w:shd w:val="clear" w:color="auto" w:fill="E9E8E5" w:themeFill="background2"/>
            <w:tcMar>
              <w:left w:w="57" w:type="dxa"/>
              <w:right w:w="57" w:type="dxa"/>
            </w:tcMar>
          </w:tcPr>
          <w:p w:rsidR="00612FD3" w:rsidRDefault="00612FD3" w:rsidP="00301B6D">
            <w:pPr>
              <w:pStyle w:val="TableUnit"/>
              <w:jc w:val="left"/>
            </w:pPr>
            <w:r>
              <w:t>Warehouse and storage</w:t>
            </w:r>
          </w:p>
        </w:tc>
        <w:tc>
          <w:tcPr>
            <w:tcW w:w="2646" w:type="dxa"/>
            <w:tcBorders>
              <w:top w:val="nil"/>
              <w:bottom w:val="single" w:sz="8" w:space="0" w:color="FFFFFF" w:themeColor="background1"/>
            </w:tcBorders>
            <w:shd w:val="clear" w:color="auto" w:fill="E9E8E5" w:themeFill="background2"/>
            <w:tcMar>
              <w:left w:w="57" w:type="dxa"/>
              <w:right w:w="57" w:type="dxa"/>
            </w:tcMar>
          </w:tcPr>
          <w:p w:rsidR="00612FD3" w:rsidRDefault="00612FD3" w:rsidP="00301B6D">
            <w:pPr>
              <w:pStyle w:val="TableUnit"/>
            </w:pPr>
            <w:r>
              <w:t>92 718</w:t>
            </w:r>
          </w:p>
        </w:tc>
        <w:tc>
          <w:tcPr>
            <w:tcW w:w="2646" w:type="dxa"/>
            <w:tcBorders>
              <w:top w:val="nil"/>
              <w:bottom w:val="single" w:sz="8" w:space="0" w:color="FFFFFF" w:themeColor="background1"/>
            </w:tcBorders>
            <w:shd w:val="clear" w:color="auto" w:fill="E9E8E5" w:themeFill="background2"/>
            <w:tcMar>
              <w:left w:w="57" w:type="dxa"/>
              <w:right w:w="57" w:type="dxa"/>
            </w:tcMar>
          </w:tcPr>
          <w:p w:rsidR="00612FD3" w:rsidRDefault="00612FD3" w:rsidP="00301B6D">
            <w:pPr>
              <w:pStyle w:val="TableUnit"/>
            </w:pPr>
            <w:r>
              <w:t>25.7</w:t>
            </w:r>
          </w:p>
        </w:tc>
      </w:tr>
      <w:tr w:rsidR="00612FD3" w:rsidTr="00301B6D">
        <w:tc>
          <w:tcPr>
            <w:tcW w:w="264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jc w:val="left"/>
            </w:pPr>
            <w:r>
              <w:t>Retail</w:t>
            </w: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pPr>
            <w:r>
              <w:t>72 609</w:t>
            </w: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pPr>
            <w:r>
              <w:t>20.2</w:t>
            </w:r>
          </w:p>
        </w:tc>
      </w:tr>
      <w:tr w:rsidR="00612FD3" w:rsidTr="00301B6D">
        <w:tc>
          <w:tcPr>
            <w:tcW w:w="264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jc w:val="left"/>
            </w:pPr>
            <w:r>
              <w:t>Education</w:t>
            </w: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pPr>
            <w:r>
              <w:t>62 593</w:t>
            </w: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pPr>
            <w:r>
              <w:t>17.4</w:t>
            </w:r>
          </w:p>
        </w:tc>
      </w:tr>
      <w:tr w:rsidR="00612FD3" w:rsidTr="00301B6D">
        <w:tc>
          <w:tcPr>
            <w:tcW w:w="264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jc w:val="left"/>
            </w:pPr>
            <w:r>
              <w:t>Standalone offices</w:t>
            </w: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pPr>
            <w:r>
              <w:t>42 848</w:t>
            </w: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pPr>
            <w:r>
              <w:t>11.9</w:t>
            </w:r>
          </w:p>
        </w:tc>
      </w:tr>
      <w:tr w:rsidR="00612FD3" w:rsidTr="00301B6D">
        <w:trPr>
          <w:trHeight w:val="319"/>
        </w:trPr>
        <w:tc>
          <w:tcPr>
            <w:tcW w:w="264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jc w:val="left"/>
            </w:pPr>
            <w:r>
              <w:t>Factories</w:t>
            </w: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jc w:val="right"/>
            </w:pPr>
            <w:r>
              <w:rPr>
                <w:rFonts w:ascii="Franklin Gothic Book" w:hAnsi="Franklin Gothic Book" w:cs="Calibri"/>
                <w:color w:val="000000"/>
                <w:sz w:val="16"/>
                <w:szCs w:val="16"/>
              </w:rPr>
              <w:t>29 330</w:t>
            </w: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pPr>
            <w:r>
              <w:t>8.2</w:t>
            </w:r>
          </w:p>
        </w:tc>
      </w:tr>
      <w:tr w:rsidR="00612FD3" w:rsidTr="00301B6D">
        <w:tc>
          <w:tcPr>
            <w:tcW w:w="264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jc w:val="left"/>
            </w:pPr>
            <w:r>
              <w:t>Car parks</w:t>
            </w: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pPr>
            <w:r>
              <w:t>28 515</w:t>
            </w: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pPr>
            <w:r>
              <w:t>7.9</w:t>
            </w:r>
          </w:p>
        </w:tc>
      </w:tr>
      <w:tr w:rsidR="00612FD3" w:rsidTr="00301B6D">
        <w:tc>
          <w:tcPr>
            <w:tcW w:w="264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jc w:val="left"/>
            </w:pPr>
            <w:r>
              <w:t>Hospital</w:t>
            </w: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pPr>
            <w:r>
              <w:t>13 984</w:t>
            </w: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pPr>
            <w:r>
              <w:t>3.9</w:t>
            </w:r>
          </w:p>
        </w:tc>
      </w:tr>
      <w:tr w:rsidR="00612FD3" w:rsidTr="00301B6D">
        <w:tc>
          <w:tcPr>
            <w:tcW w:w="264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jc w:val="left"/>
            </w:pPr>
            <w:r>
              <w:t>Hotel</w:t>
            </w: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pPr>
            <w:r>
              <w:t>11 787</w:t>
            </w: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pPr>
            <w:r>
              <w:t>3.3</w:t>
            </w:r>
          </w:p>
        </w:tc>
      </w:tr>
      <w:tr w:rsidR="00612FD3" w:rsidTr="00301B6D">
        <w:tc>
          <w:tcPr>
            <w:tcW w:w="264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jc w:val="left"/>
            </w:pPr>
            <w:r>
              <w:t>Aged care</w:t>
            </w: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pPr>
            <w:r>
              <w:t>5 734</w:t>
            </w: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pPr>
            <w:r>
              <w:t>1.6</w:t>
            </w:r>
          </w:p>
        </w:tc>
      </w:tr>
      <w:tr w:rsidR="00612FD3" w:rsidTr="00301B6D">
        <w:tc>
          <w:tcPr>
            <w:tcW w:w="2645" w:type="dxa"/>
            <w:tcBorders>
              <w:top w:val="single" w:sz="8" w:space="0" w:color="FFFFFF" w:themeColor="background1"/>
            </w:tcBorders>
            <w:shd w:val="clear" w:color="auto" w:fill="D6E6E7" w:themeFill="accent6" w:themeFillTint="66"/>
            <w:tcMar>
              <w:left w:w="57" w:type="dxa"/>
              <w:right w:w="57" w:type="dxa"/>
            </w:tcMar>
          </w:tcPr>
          <w:p w:rsidR="00612FD3" w:rsidRPr="00C675E2" w:rsidRDefault="00612FD3" w:rsidP="00301B6D">
            <w:pPr>
              <w:pStyle w:val="TableDataEntries"/>
              <w:jc w:val="left"/>
              <w:rPr>
                <w:rFonts w:ascii="Franklin Gothic Demi" w:hAnsi="Franklin Gothic Demi"/>
              </w:rPr>
            </w:pPr>
            <w:r w:rsidRPr="00C675E2">
              <w:rPr>
                <w:rFonts w:ascii="Franklin Gothic Demi" w:hAnsi="Franklin Gothic Demi"/>
              </w:rPr>
              <w:t>Total</w:t>
            </w:r>
          </w:p>
        </w:tc>
        <w:tc>
          <w:tcPr>
            <w:tcW w:w="2646" w:type="dxa"/>
            <w:tcBorders>
              <w:top w:val="single" w:sz="8" w:space="0" w:color="FFFFFF" w:themeColor="background1"/>
            </w:tcBorders>
            <w:shd w:val="clear" w:color="auto" w:fill="D6E6E7" w:themeFill="accent6" w:themeFillTint="66"/>
            <w:tcMar>
              <w:left w:w="57" w:type="dxa"/>
              <w:right w:w="57" w:type="dxa"/>
            </w:tcMar>
          </w:tcPr>
          <w:p w:rsidR="00612FD3" w:rsidRPr="00C675E2" w:rsidRDefault="00612FD3" w:rsidP="00301B6D">
            <w:pPr>
              <w:pStyle w:val="TableDataEntries"/>
              <w:rPr>
                <w:rFonts w:ascii="Franklin Gothic Demi" w:hAnsi="Franklin Gothic Demi"/>
              </w:rPr>
            </w:pPr>
            <w:r>
              <w:rPr>
                <w:rFonts w:ascii="Franklin Gothic Demi" w:hAnsi="Franklin Gothic Demi"/>
              </w:rPr>
              <w:t>360 118</w:t>
            </w:r>
          </w:p>
        </w:tc>
        <w:tc>
          <w:tcPr>
            <w:tcW w:w="2646" w:type="dxa"/>
            <w:tcBorders>
              <w:top w:val="single" w:sz="8" w:space="0" w:color="FFFFFF" w:themeColor="background1"/>
            </w:tcBorders>
            <w:shd w:val="clear" w:color="auto" w:fill="D6E6E7" w:themeFill="accent6" w:themeFillTint="66"/>
            <w:tcMar>
              <w:left w:w="57" w:type="dxa"/>
              <w:right w:w="57" w:type="dxa"/>
            </w:tcMar>
          </w:tcPr>
          <w:p w:rsidR="00612FD3" w:rsidRPr="00C675E2" w:rsidRDefault="00612FD3" w:rsidP="00301B6D">
            <w:pPr>
              <w:pStyle w:val="TableDataEntries"/>
              <w:rPr>
                <w:rFonts w:ascii="Franklin Gothic Demi" w:hAnsi="Franklin Gothic Demi"/>
              </w:rPr>
            </w:pPr>
            <w:r>
              <w:rPr>
                <w:rFonts w:ascii="Franklin Gothic Demi" w:hAnsi="Franklin Gothic Demi"/>
              </w:rPr>
              <w:t>100.0</w:t>
            </w:r>
          </w:p>
        </w:tc>
      </w:tr>
    </w:tbl>
    <w:p w:rsidR="00612FD3" w:rsidRDefault="00612FD3" w:rsidP="00612FD3">
      <w:pPr>
        <w:pStyle w:val="Source"/>
      </w:pPr>
      <w:r>
        <w:rPr>
          <w:i/>
        </w:rPr>
        <w:t>Source</w:t>
      </w:r>
      <w:r w:rsidRPr="00E4232C">
        <w:rPr>
          <w:i/>
        </w:rPr>
        <w:t>:</w:t>
      </w:r>
      <w:r>
        <w:t xml:space="preserve"> CIE.</w:t>
      </w:r>
    </w:p>
    <w:p w:rsidR="00612FD3" w:rsidRDefault="00612FD3" w:rsidP="00612FD3">
      <w:pPr>
        <w:pStyle w:val="Heading3"/>
        <w:numPr>
          <w:ilvl w:val="2"/>
          <w:numId w:val="5"/>
        </w:numPr>
      </w:pPr>
      <w:r>
        <w:t>Projections</w:t>
      </w:r>
    </w:p>
    <w:p w:rsidR="00612FD3" w:rsidRPr="00C675E2" w:rsidRDefault="00612FD3" w:rsidP="00612FD3">
      <w:pPr>
        <w:pStyle w:val="BodyText"/>
        <w:rPr>
          <w:rStyle w:val="DraftingNote"/>
          <w:b w:val="0"/>
          <w:color w:val="auto"/>
          <w:u w:val="none"/>
        </w:rPr>
      </w:pPr>
      <w:r>
        <w:t xml:space="preserve">The commercial building stock, as well as other growth factors with respect to the economy and international demand, account for the change in stock over time. It should be noted that the available data was not sufficiently comprehensive to provide for regression analysis to establish empirical relationships. As such, this task was instead guided by the expectations of drivers of the change over time and verified (where possible) by supporting information. </w:t>
      </w:r>
    </w:p>
    <w:p w:rsidR="00612FD3" w:rsidRDefault="00612FD3" w:rsidP="00612FD3">
      <w:pPr>
        <w:pStyle w:val="BodyText"/>
      </w:pPr>
      <w:r>
        <w:t xml:space="preserve">The projected net additions (additions net of retirements) are based on the pitt&amp;sherry estimates to 2020, supplemented by the CIE’s projections for additional categories of buildings including industrial/factory, warehouses, undercover car parks and aged care. </w:t>
      </w:r>
    </w:p>
    <w:p w:rsidR="00612FD3" w:rsidRDefault="00612FD3" w:rsidP="00612FD3">
      <w:pPr>
        <w:pStyle w:val="BodyText"/>
      </w:pPr>
      <w:r>
        <w:t>The estimates for Class 8 buildings (industrial buildings/factories) reflect the</w:t>
      </w:r>
      <w:r w:rsidRPr="00920A3A">
        <w:t xml:space="preserve"> rate of growth in the Gross Value Added of mining and manufacturing in chain volume terms</w:t>
      </w:r>
      <w:r>
        <w:t xml:space="preserve"> from the base year estimates in 2009</w:t>
      </w:r>
      <w:r w:rsidRPr="00920A3A">
        <w:t>. Overall</w:t>
      </w:r>
      <w:r>
        <w:t>,</w:t>
      </w:r>
      <w:r w:rsidRPr="00920A3A">
        <w:t xml:space="preserve"> over this period the growth in mining and manufacturing GVA has been 1.6 per cent, but with negative growth in 2017, at -0.4</w:t>
      </w:r>
      <w:r>
        <w:t> </w:t>
      </w:r>
      <w:r w:rsidRPr="00920A3A">
        <w:t>per</w:t>
      </w:r>
      <w:r>
        <w:t> </w:t>
      </w:r>
      <w:r w:rsidRPr="00920A3A">
        <w:t>cent</w:t>
      </w:r>
      <w:r>
        <w:t xml:space="preserve">. This is used to estimate the net additions, suggesting retirements greater than additions in that year. </w:t>
      </w:r>
      <w:r w:rsidRPr="00920A3A">
        <w:t>The projections</w:t>
      </w:r>
      <w:r>
        <w:t xml:space="preserve"> beyond 2017</w:t>
      </w:r>
      <w:r w:rsidRPr="00920A3A">
        <w:t xml:space="preserve"> are based on the expected GVA growth of mining and manufacturing, at 1.9 per cent</w:t>
      </w:r>
      <w:r>
        <w:t xml:space="preserve"> per annum,</w:t>
      </w:r>
      <w:r w:rsidRPr="00920A3A">
        <w:t xml:space="preserve"> </w:t>
      </w:r>
      <w:r>
        <w:t>slightly lower</w:t>
      </w:r>
      <w:r w:rsidRPr="00920A3A">
        <w:t xml:space="preserve"> than the rest of the economy.</w:t>
      </w:r>
    </w:p>
    <w:p w:rsidR="00612FD3" w:rsidRPr="00BE740C" w:rsidRDefault="00612FD3" w:rsidP="00612FD3">
      <w:pPr>
        <w:pStyle w:val="BodyText"/>
      </w:pPr>
      <w:r>
        <w:t xml:space="preserve">The underlying assumptions driving the pattern of growth across each class of building is shown in table E.3. </w:t>
      </w:r>
    </w:p>
    <w:bookmarkStart w:id="5949" w:name="_Toc499545265"/>
    <w:p w:rsidR="00612FD3" w:rsidRDefault="00612FD3" w:rsidP="00612FD3">
      <w:pPr>
        <w:pStyle w:val="Caption"/>
        <w:numPr>
          <w:ilvl w:val="0"/>
          <w:numId w:val="7"/>
        </w:numPr>
        <w:ind w:left="568" w:hanging="568"/>
      </w:pPr>
      <w:r w:rsidRPr="00695C93">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sidR="00B833F1">
        <w:rPr>
          <w:noProof/>
        </w:rPr>
        <w:instrText>E</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1</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Pr>
          <w:noProof/>
        </w:rPr>
        <w:instrText>1</w:instrText>
      </w:r>
      <w:r>
        <w:rPr>
          <w:noProof/>
        </w:rPr>
        <w:fldChar w:fldCharType="end"/>
      </w:r>
      <w:r w:rsidRPr="00695C93">
        <w:instrText xml:space="preserve">." </w:instrText>
      </w:r>
      <w:r w:rsidRPr="00695C93">
        <w:fldChar w:fldCharType="separate"/>
      </w:r>
      <w:r>
        <w:rPr>
          <w:noProof/>
        </w:rPr>
        <w:instrText>1</w:instrText>
      </w:r>
      <w:r w:rsidRPr="00695C93">
        <w:rPr>
          <w:noProof/>
        </w:rPr>
        <w:instrText>.</w:instrText>
      </w:r>
      <w:r w:rsidRPr="00695C93">
        <w:fldChar w:fldCharType="end"/>
      </w:r>
      <w:r w:rsidRPr="00695C93">
        <w:instrText>" "</w:instrText>
      </w:r>
      <w:r>
        <w:rPr>
          <w:noProof/>
        </w:rPr>
        <w:fldChar w:fldCharType="begin"/>
      </w:r>
      <w:r>
        <w:rPr>
          <w:noProof/>
        </w:rPr>
        <w:instrText xml:space="preserve"> STYLEREF "Heading 6" \l \n </w:instrText>
      </w:r>
      <w:r>
        <w:rPr>
          <w:noProof/>
        </w:rPr>
        <w:fldChar w:fldCharType="separate"/>
      </w:r>
      <w:r w:rsidR="00B833F1">
        <w:rPr>
          <w:noProof/>
        </w:rPr>
        <w:instrText>E</w:instrText>
      </w:r>
      <w:r>
        <w:rPr>
          <w:noProof/>
        </w:rPr>
        <w:fldChar w:fldCharType="end"/>
      </w:r>
      <w:r w:rsidRPr="00695C93">
        <w:instrText xml:space="preserve">." </w:instrText>
      </w:r>
      <w:r w:rsidRPr="00695C93">
        <w:fldChar w:fldCharType="separate"/>
      </w:r>
      <w:r w:rsidR="00B833F1">
        <w:rPr>
          <w:noProof/>
        </w:rPr>
        <w:instrText>E</w:instrText>
      </w:r>
      <w:r w:rsidR="00B833F1" w:rsidRPr="00695C93">
        <w:rPr>
          <w:noProof/>
        </w:rPr>
        <w:instrText>.</w:instrText>
      </w:r>
      <w:r w:rsidRPr="00695C93">
        <w:fldChar w:fldCharType="end"/>
      </w:r>
      <w:r>
        <w:instrText>3</w:instrText>
      </w:r>
      <w:r w:rsidRPr="00695C93">
        <w:instrText xml:space="preserve">" "" </w:instrText>
      </w:r>
      <w:r w:rsidRPr="00695C93">
        <w:fldChar w:fldCharType="separate"/>
      </w:r>
      <w:bookmarkStart w:id="5950" w:name="_Caption4003"/>
      <w:bookmarkStart w:id="5951" w:name="_Caption3511"/>
      <w:bookmarkStart w:id="5952" w:name="_Caption7673"/>
      <w:bookmarkStart w:id="5953" w:name="_Caption3765"/>
      <w:bookmarkStart w:id="5954" w:name="_Caption5914"/>
      <w:bookmarkStart w:id="5955" w:name="_Caption9319"/>
      <w:bookmarkStart w:id="5956" w:name="_Caption9632"/>
      <w:bookmarkStart w:id="5957" w:name="_Caption5571"/>
      <w:bookmarkStart w:id="5958" w:name="_Caption6107"/>
      <w:bookmarkStart w:id="5959" w:name="_Caption2860"/>
      <w:bookmarkStart w:id="5960" w:name="_Caption1029"/>
      <w:bookmarkStart w:id="5961" w:name="_Caption3249"/>
      <w:bookmarkStart w:id="5962" w:name="_Caption5640"/>
      <w:bookmarkStart w:id="5963" w:name="_Caption3988"/>
      <w:bookmarkStart w:id="5964" w:name="_Caption0228"/>
      <w:bookmarkStart w:id="5965" w:name="_Caption1352"/>
      <w:bookmarkStart w:id="5966" w:name="_Caption3433"/>
      <w:bookmarkStart w:id="5967" w:name="_Caption4511"/>
      <w:bookmarkStart w:id="5968" w:name="_Caption0973"/>
      <w:bookmarkStart w:id="5969" w:name="_Caption4254"/>
      <w:bookmarkStart w:id="5970" w:name="_Caption7787"/>
      <w:bookmarkStart w:id="5971" w:name="_Caption7793"/>
      <w:bookmarkStart w:id="5972" w:name="_Caption4916"/>
      <w:bookmarkStart w:id="5973" w:name="_Caption4801"/>
      <w:bookmarkStart w:id="5974" w:name="_Caption5120"/>
      <w:bookmarkStart w:id="5975" w:name="_Caption2268"/>
      <w:bookmarkStart w:id="5976" w:name="_Caption3222"/>
      <w:bookmarkStart w:id="5977" w:name="_Caption2381"/>
      <w:bookmarkStart w:id="5978" w:name="_Caption1689"/>
      <w:bookmarkStart w:id="5979" w:name="_Caption6411"/>
      <w:bookmarkStart w:id="5980" w:name="_Caption7728"/>
      <w:bookmarkStart w:id="5981" w:name="_Caption9120"/>
      <w:bookmarkStart w:id="5982" w:name="_Caption1417"/>
      <w:bookmarkStart w:id="5983" w:name="_Caption1864"/>
      <w:bookmarkStart w:id="5984" w:name="_Caption4944"/>
      <w:bookmarkStart w:id="5985" w:name="_Caption9746"/>
      <w:bookmarkStart w:id="5986" w:name="_Caption5164"/>
      <w:bookmarkStart w:id="5987" w:name="_Caption1824"/>
      <w:bookmarkStart w:id="5988" w:name="_Caption5156"/>
      <w:bookmarkStart w:id="5989" w:name="_Caption2807"/>
      <w:bookmarkStart w:id="5990" w:name="_Caption5096"/>
      <w:bookmarkStart w:id="5991" w:name="_Caption3037"/>
      <w:bookmarkStart w:id="5992" w:name="_Caption6039"/>
      <w:bookmarkStart w:id="5993" w:name="_Caption3434"/>
      <w:bookmarkStart w:id="5994" w:name="_Caption2421"/>
      <w:bookmarkStart w:id="5995" w:name="_Caption9172"/>
      <w:bookmarkStart w:id="5996" w:name="_Caption3194"/>
      <w:bookmarkStart w:id="5997" w:name="_Caption5490"/>
      <w:bookmarkStart w:id="5998" w:name="_Caption6760"/>
      <w:bookmarkStart w:id="5999" w:name="_Caption8721"/>
      <w:bookmarkStart w:id="6000" w:name="_Caption5203"/>
      <w:bookmarkStart w:id="6001" w:name="_Caption7025"/>
      <w:bookmarkStart w:id="6002" w:name="_Caption4621"/>
      <w:bookmarkStart w:id="6003" w:name="_Caption3154"/>
      <w:bookmarkStart w:id="6004" w:name="_Caption5925"/>
      <w:bookmarkStart w:id="6005" w:name="_Caption5792"/>
      <w:bookmarkStart w:id="6006" w:name="_Caption3116"/>
      <w:bookmarkStart w:id="6007" w:name="_Caption8369"/>
      <w:bookmarkStart w:id="6008" w:name="_Caption8458"/>
      <w:bookmarkStart w:id="6009" w:name="_Caption1710"/>
      <w:bookmarkStart w:id="6010" w:name="_Caption7168"/>
      <w:bookmarkStart w:id="6011" w:name="_Caption1836"/>
      <w:bookmarkStart w:id="6012" w:name="_Caption0775"/>
      <w:bookmarkStart w:id="6013" w:name="_Caption1953"/>
      <w:bookmarkStart w:id="6014" w:name="_Caption9702"/>
      <w:bookmarkStart w:id="6015" w:name="_Caption0036"/>
      <w:bookmarkStart w:id="6016" w:name="_Caption6893"/>
      <w:bookmarkStart w:id="6017" w:name="_Caption2541"/>
      <w:bookmarkStart w:id="6018" w:name="_Caption5954"/>
      <w:bookmarkStart w:id="6019" w:name="_Caption3733"/>
      <w:bookmarkStart w:id="6020" w:name="_Caption7573"/>
      <w:bookmarkStart w:id="6021" w:name="_Caption4123"/>
      <w:bookmarkStart w:id="6022" w:name="_Caption8732"/>
      <w:bookmarkStart w:id="6023" w:name="_Caption9358"/>
      <w:bookmarkStart w:id="6024" w:name="_Caption0456"/>
      <w:bookmarkStart w:id="6025" w:name="_Caption2177"/>
      <w:bookmarkStart w:id="6026" w:name="_Caption6461"/>
      <w:bookmarkStart w:id="6027" w:name="_Caption6275"/>
      <w:bookmarkStart w:id="6028" w:name="_Caption0771"/>
      <w:bookmarkStart w:id="6029" w:name="_Caption7762"/>
      <w:bookmarkStart w:id="6030" w:name="_Caption3919"/>
      <w:bookmarkStart w:id="6031" w:name="_Caption4024"/>
      <w:bookmarkStart w:id="6032" w:name="_Caption6019"/>
      <w:bookmarkStart w:id="6033" w:name="_Caption0541"/>
      <w:bookmarkStart w:id="6034" w:name="_Caption4681"/>
      <w:bookmarkStart w:id="6035" w:name="_Caption4466"/>
      <w:bookmarkStart w:id="6036" w:name="_Caption7294"/>
      <w:bookmarkStart w:id="6037" w:name="_Caption0652"/>
      <w:bookmarkStart w:id="6038" w:name="_Caption7245"/>
      <w:bookmarkStart w:id="6039" w:name="_Caption6181"/>
      <w:bookmarkStart w:id="6040" w:name="_Caption6251"/>
      <w:bookmarkStart w:id="6041" w:name="_Caption7159"/>
      <w:bookmarkStart w:id="6042" w:name="_Caption2027"/>
      <w:bookmarkStart w:id="6043" w:name="_Caption3772"/>
      <w:bookmarkStart w:id="6044" w:name="_Caption0644"/>
      <w:bookmarkStart w:id="6045" w:name="_Caption4520"/>
      <w:bookmarkStart w:id="6046" w:name="_Caption3575"/>
      <w:bookmarkStart w:id="6047" w:name="_Caption5609"/>
      <w:bookmarkStart w:id="6048" w:name="_Caption6968"/>
      <w:bookmarkStart w:id="6049" w:name="_Caption0922"/>
      <w:bookmarkStart w:id="6050" w:name="_Caption1921"/>
      <w:bookmarkStart w:id="6051" w:name="_Caption6486"/>
      <w:bookmarkStart w:id="6052" w:name="_Caption0374"/>
      <w:bookmarkStart w:id="6053" w:name="_Caption3830"/>
      <w:bookmarkStart w:id="6054" w:name="_Caption9593"/>
      <w:bookmarkStart w:id="6055" w:name="_Caption3376"/>
      <w:bookmarkStart w:id="6056" w:name="_Caption7567"/>
      <w:bookmarkStart w:id="6057" w:name="_Caption7521"/>
      <w:bookmarkStart w:id="6058" w:name="_Toc499847068"/>
      <w:bookmarkStart w:id="6059" w:name="_Toc505120678"/>
      <w:bookmarkStart w:id="6060" w:name="_Toc509220880"/>
      <w:bookmarkStart w:id="6061" w:name="_Toc529869982"/>
      <w:bookmarkStart w:id="6062" w:name="_Toc530748478"/>
      <w:r w:rsidR="00EA42ED">
        <w:rPr>
          <w:noProof/>
        </w:rPr>
        <w:t>E</w:t>
      </w:r>
      <w:r w:rsidR="00EA42ED" w:rsidRPr="00695C93">
        <w:rPr>
          <w:noProof/>
        </w:rPr>
        <w:t>.</w:t>
      </w:r>
      <w:r w:rsidR="00EA42ED">
        <w:rPr>
          <w:noProof/>
        </w:rPr>
        <w:t>3</w:t>
      </w:r>
      <w:bookmarkStart w:id="6063" w:name="_Toc507523831"/>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r w:rsidRPr="00695C93">
        <w:fldChar w:fldCharType="end"/>
      </w:r>
      <w:r w:rsidRPr="00695C93">
        <w:tab/>
      </w:r>
      <w:r>
        <w:t>Growth assumptions by building class underpinning the projections excluding replacement</w:t>
      </w:r>
      <w:bookmarkEnd w:id="5949"/>
      <w:bookmarkEnd w:id="6058"/>
      <w:bookmarkEnd w:id="6059"/>
      <w:bookmarkEnd w:id="6060"/>
      <w:bookmarkEnd w:id="6061"/>
      <w:bookmarkEnd w:id="6062"/>
      <w:bookmarkEnd w:id="6063"/>
      <w:r>
        <w:t xml:space="preserve"> </w:t>
      </w:r>
    </w:p>
    <w:tbl>
      <w:tblPr>
        <w:tblW w:w="8222" w:type="dxa"/>
        <w:tblLayout w:type="fixed"/>
        <w:tblLook w:val="0000" w:firstRow="0" w:lastRow="0" w:firstColumn="0" w:lastColumn="0" w:noHBand="0" w:noVBand="0"/>
        <w:tblCaption w:val="Table E.3: Growth assumptions by building class underpinning the projections excluding replacement. "/>
        <w:tblDescription w:val="This table shoes the asusmptions used to inform new commerical construction activity and their sources. "/>
      </w:tblPr>
      <w:tblGrid>
        <w:gridCol w:w="2151"/>
        <w:gridCol w:w="208"/>
        <w:gridCol w:w="1185"/>
        <w:gridCol w:w="1418"/>
        <w:gridCol w:w="3260"/>
      </w:tblGrid>
      <w:tr w:rsidR="00612FD3" w:rsidTr="00301B6D">
        <w:trPr>
          <w:tblHeader/>
        </w:trPr>
        <w:tc>
          <w:tcPr>
            <w:tcW w:w="2151" w:type="dxa"/>
            <w:shd w:val="clear" w:color="auto" w:fill="6F6652"/>
            <w:tcMar>
              <w:left w:w="57" w:type="dxa"/>
              <w:right w:w="57" w:type="dxa"/>
            </w:tcMar>
          </w:tcPr>
          <w:p w:rsidR="00612FD3" w:rsidRDefault="00612FD3" w:rsidP="00301B6D">
            <w:pPr>
              <w:pStyle w:val="TableDataColumnHeading"/>
              <w:jc w:val="left"/>
            </w:pPr>
          </w:p>
        </w:tc>
        <w:tc>
          <w:tcPr>
            <w:tcW w:w="1393" w:type="dxa"/>
            <w:gridSpan w:val="2"/>
            <w:shd w:val="clear" w:color="auto" w:fill="6F6652"/>
            <w:tcMar>
              <w:left w:w="57" w:type="dxa"/>
              <w:right w:w="57" w:type="dxa"/>
            </w:tcMar>
          </w:tcPr>
          <w:p w:rsidR="00612FD3" w:rsidRDefault="00612FD3" w:rsidP="00301B6D">
            <w:pPr>
              <w:pStyle w:val="TableDataColumnHeading"/>
            </w:pPr>
            <w:r>
              <w:t>Growth rate 2018-2037</w:t>
            </w:r>
          </w:p>
        </w:tc>
        <w:tc>
          <w:tcPr>
            <w:tcW w:w="1418" w:type="dxa"/>
            <w:shd w:val="clear" w:color="auto" w:fill="6F6652"/>
            <w:tcMar>
              <w:left w:w="57" w:type="dxa"/>
              <w:right w:w="57" w:type="dxa"/>
            </w:tcMar>
          </w:tcPr>
          <w:p w:rsidR="00612FD3" w:rsidRDefault="00612FD3" w:rsidP="00301B6D">
            <w:pPr>
              <w:pStyle w:val="TableDataColumnHeading"/>
            </w:pPr>
            <w:r>
              <w:t>2038-2061</w:t>
            </w:r>
          </w:p>
        </w:tc>
        <w:tc>
          <w:tcPr>
            <w:tcW w:w="3260" w:type="dxa"/>
            <w:shd w:val="clear" w:color="auto" w:fill="6F6652"/>
          </w:tcPr>
          <w:p w:rsidR="00612FD3" w:rsidRDefault="00612FD3" w:rsidP="00143A66">
            <w:pPr>
              <w:pStyle w:val="TableDataColumnHeading"/>
              <w:ind w:left="57"/>
              <w:jc w:val="left"/>
            </w:pPr>
            <w:r>
              <w:t>Assumptions</w:t>
            </w:r>
          </w:p>
        </w:tc>
      </w:tr>
      <w:tr w:rsidR="00612FD3" w:rsidTr="00301B6D">
        <w:tc>
          <w:tcPr>
            <w:tcW w:w="2359" w:type="dxa"/>
            <w:gridSpan w:val="2"/>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Unit"/>
              <w:jc w:val="left"/>
            </w:pPr>
            <w:r>
              <w:t>Warehouse and storage</w:t>
            </w:r>
          </w:p>
        </w:tc>
        <w:tc>
          <w:tcPr>
            <w:tcW w:w="118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pPr>
            <w:r>
              <w:t>1.4</w:t>
            </w:r>
          </w:p>
        </w:tc>
        <w:tc>
          <w:tcPr>
            <w:tcW w:w="14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pPr>
            <w:r>
              <w:t>1.0</w:t>
            </w:r>
          </w:p>
        </w:tc>
        <w:tc>
          <w:tcPr>
            <w:tcW w:w="3260" w:type="dxa"/>
            <w:tcBorders>
              <w:top w:val="single" w:sz="8" w:space="0" w:color="FFFFFF" w:themeColor="background1"/>
              <w:bottom w:val="single" w:sz="8" w:space="0" w:color="FFFFFF" w:themeColor="background1"/>
            </w:tcBorders>
            <w:shd w:val="clear" w:color="auto" w:fill="E9E8E5" w:themeFill="background2"/>
          </w:tcPr>
          <w:p w:rsidR="00612FD3" w:rsidRDefault="00612FD3" w:rsidP="00143A66">
            <w:pPr>
              <w:pStyle w:val="TableDataEntries"/>
              <w:ind w:left="57"/>
              <w:jc w:val="left"/>
            </w:pPr>
            <w:r>
              <w:t>P</w:t>
            </w:r>
            <w:r w:rsidRPr="007F2F22">
              <w:t>opulation growth</w:t>
            </w:r>
            <w:r>
              <w:t xml:space="preserve"> apportioned by the share of the population. The reason to use population growth (over sectoral growth) is to be conservative.</w:t>
            </w:r>
            <w:r w:rsidRPr="007F2F22">
              <w:t xml:space="preserve"> </w:t>
            </w:r>
          </w:p>
        </w:tc>
      </w:tr>
      <w:tr w:rsidR="00612FD3" w:rsidTr="00301B6D">
        <w:tc>
          <w:tcPr>
            <w:tcW w:w="21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jc w:val="left"/>
            </w:pPr>
            <w:r>
              <w:t>Retail</w:t>
            </w:r>
          </w:p>
        </w:tc>
        <w:tc>
          <w:tcPr>
            <w:tcW w:w="1393" w:type="dxa"/>
            <w:gridSpan w:val="2"/>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Pr="004D40A2" w:rsidRDefault="00612FD3" w:rsidP="00301B6D">
            <w:pPr>
              <w:pStyle w:val="TableDataEntries"/>
            </w:pPr>
            <w:r w:rsidRPr="004D40A2">
              <w:t>1.6</w:t>
            </w:r>
          </w:p>
        </w:tc>
        <w:tc>
          <w:tcPr>
            <w:tcW w:w="14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Pr="004D40A2" w:rsidRDefault="00612FD3" w:rsidP="00301B6D">
            <w:pPr>
              <w:pStyle w:val="TableDataEntries"/>
            </w:pPr>
            <w:r w:rsidRPr="004D40A2">
              <w:t>1.3</w:t>
            </w:r>
          </w:p>
        </w:tc>
        <w:tc>
          <w:tcPr>
            <w:tcW w:w="3260" w:type="dxa"/>
            <w:tcBorders>
              <w:top w:val="single" w:sz="8" w:space="0" w:color="FFFFFF" w:themeColor="background1"/>
              <w:bottom w:val="single" w:sz="8" w:space="0" w:color="FFFFFF" w:themeColor="background1"/>
            </w:tcBorders>
            <w:shd w:val="clear" w:color="auto" w:fill="E9E8E5" w:themeFill="background2"/>
          </w:tcPr>
          <w:p w:rsidR="00612FD3" w:rsidRDefault="00612FD3" w:rsidP="00143A66">
            <w:pPr>
              <w:pStyle w:val="TableDataEntries"/>
              <w:ind w:left="57"/>
              <w:jc w:val="left"/>
            </w:pPr>
            <w:r w:rsidRPr="007F2F22">
              <w:t>Shopping centre:</w:t>
            </w:r>
            <w:r>
              <w:t xml:space="preserve"> </w:t>
            </w:r>
            <w:r>
              <w:rPr>
                <w:b/>
              </w:rPr>
              <w:t>a</w:t>
            </w:r>
            <w:r w:rsidRPr="003C073B">
              <w:rPr>
                <w:b/>
              </w:rPr>
              <w:t>bove population growth</w:t>
            </w:r>
            <w:r>
              <w:t xml:space="preserve"> (~1 </w:t>
            </w:r>
            <w:r w:rsidRPr="009F1511">
              <w:t>per</w:t>
            </w:r>
            <w:r>
              <w:t> </w:t>
            </w:r>
            <w:r w:rsidRPr="009F1511">
              <w:t>cent above)</w:t>
            </w:r>
          </w:p>
          <w:p w:rsidR="00612FD3" w:rsidRDefault="00612FD3" w:rsidP="00143A66">
            <w:pPr>
              <w:pStyle w:val="TableTextEntries"/>
              <w:ind w:left="57"/>
              <w:rPr>
                <w:rStyle w:val="NoteLabel"/>
              </w:rPr>
            </w:pPr>
            <w:r>
              <w:t>Retail strip: population growth (+/- 0.3 per cent)</w:t>
            </w:r>
            <w:r w:rsidRPr="00E4232C">
              <w:rPr>
                <w:rStyle w:val="NoteLabel"/>
              </w:rPr>
              <w:t xml:space="preserve"> </w:t>
            </w:r>
            <w:r>
              <w:rPr>
                <w:rStyle w:val="NoteLabel"/>
              </w:rPr>
              <w:t>a</w:t>
            </w:r>
          </w:p>
          <w:p w:rsidR="00612FD3" w:rsidRDefault="00612FD3" w:rsidP="00143A66">
            <w:pPr>
              <w:pStyle w:val="TableDataEntries"/>
              <w:ind w:left="57"/>
              <w:jc w:val="left"/>
            </w:pPr>
            <w:r w:rsidRPr="00BB4EBE">
              <w:t>Sup</w:t>
            </w:r>
            <w:r>
              <w:t>ermarkets: population growth</w:t>
            </w:r>
            <w:r>
              <w:rPr>
                <w:rStyle w:val="NoteLabel"/>
              </w:rPr>
              <w:t xml:space="preserve"> c</w:t>
            </w:r>
          </w:p>
        </w:tc>
      </w:tr>
      <w:tr w:rsidR="00612FD3" w:rsidTr="00301B6D">
        <w:tc>
          <w:tcPr>
            <w:tcW w:w="21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jc w:val="left"/>
            </w:pPr>
            <w:r>
              <w:t>Education</w:t>
            </w:r>
          </w:p>
        </w:tc>
        <w:tc>
          <w:tcPr>
            <w:tcW w:w="1393" w:type="dxa"/>
            <w:gridSpan w:val="2"/>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pPr>
            <w:r>
              <w:t>1.5</w:t>
            </w:r>
          </w:p>
        </w:tc>
        <w:tc>
          <w:tcPr>
            <w:tcW w:w="14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pPr>
            <w:r>
              <w:t>1.1</w:t>
            </w:r>
          </w:p>
        </w:tc>
        <w:tc>
          <w:tcPr>
            <w:tcW w:w="3260" w:type="dxa"/>
            <w:tcBorders>
              <w:top w:val="single" w:sz="8" w:space="0" w:color="FFFFFF" w:themeColor="background1"/>
              <w:bottom w:val="single" w:sz="8" w:space="0" w:color="FFFFFF" w:themeColor="background1"/>
            </w:tcBorders>
            <w:shd w:val="clear" w:color="auto" w:fill="E9E8E5" w:themeFill="background2"/>
          </w:tcPr>
          <w:p w:rsidR="00612FD3" w:rsidRDefault="00612FD3" w:rsidP="00143A66">
            <w:pPr>
              <w:pStyle w:val="TableTextEntries"/>
              <w:ind w:left="57"/>
            </w:pPr>
            <w:r>
              <w:t>Schools: population growth of school aged children in cities (age 5-17) and total population in regional areas</w:t>
            </w:r>
          </w:p>
          <w:p w:rsidR="00612FD3" w:rsidRDefault="00612FD3" w:rsidP="00143A66">
            <w:pPr>
              <w:pStyle w:val="TableTextEntries"/>
              <w:ind w:left="57"/>
            </w:pPr>
            <w:r>
              <w:t xml:space="preserve">Universities: </w:t>
            </w:r>
            <w:r w:rsidRPr="00095CC1">
              <w:rPr>
                <w:b/>
              </w:rPr>
              <w:t xml:space="preserve">above population </w:t>
            </w:r>
            <w:r>
              <w:rPr>
                <w:b/>
              </w:rPr>
              <w:t xml:space="preserve">rate of </w:t>
            </w:r>
            <w:r w:rsidRPr="00095CC1">
              <w:rPr>
                <w:b/>
              </w:rPr>
              <w:t>growth</w:t>
            </w:r>
            <w:r>
              <w:t xml:space="preserve"> for tertiary age population of 1 per cent </w:t>
            </w:r>
          </w:p>
          <w:p w:rsidR="00612FD3" w:rsidRDefault="00612FD3" w:rsidP="00143A66">
            <w:pPr>
              <w:pStyle w:val="TableDataEntries"/>
              <w:ind w:left="57"/>
              <w:jc w:val="left"/>
            </w:pPr>
            <w:r>
              <w:t>VET: population growth of tertiary age population</w:t>
            </w:r>
            <w:r>
              <w:rPr>
                <w:rStyle w:val="NoteLabel"/>
              </w:rPr>
              <w:t xml:space="preserve"> b</w:t>
            </w:r>
            <w:r>
              <w:t xml:space="preserve"> </w:t>
            </w:r>
          </w:p>
        </w:tc>
      </w:tr>
      <w:tr w:rsidR="00612FD3" w:rsidTr="00301B6D">
        <w:tc>
          <w:tcPr>
            <w:tcW w:w="21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jc w:val="left"/>
            </w:pPr>
            <w:r>
              <w:t>Standalone offices</w:t>
            </w:r>
          </w:p>
        </w:tc>
        <w:tc>
          <w:tcPr>
            <w:tcW w:w="1393" w:type="dxa"/>
            <w:gridSpan w:val="2"/>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Pr="00D00731" w:rsidRDefault="00612FD3" w:rsidP="00301B6D">
            <w:pPr>
              <w:pStyle w:val="TableDataEntries"/>
            </w:pPr>
            <w:r>
              <w:t>2.0</w:t>
            </w:r>
          </w:p>
        </w:tc>
        <w:tc>
          <w:tcPr>
            <w:tcW w:w="14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Pr="00D00731" w:rsidRDefault="00612FD3" w:rsidP="00301B6D">
            <w:pPr>
              <w:pStyle w:val="TableDataEntries"/>
            </w:pPr>
            <w:r w:rsidRPr="00D00731">
              <w:t>1.5</w:t>
            </w:r>
          </w:p>
        </w:tc>
        <w:tc>
          <w:tcPr>
            <w:tcW w:w="3260" w:type="dxa"/>
            <w:tcBorders>
              <w:top w:val="single" w:sz="8" w:space="0" w:color="FFFFFF" w:themeColor="background1"/>
              <w:bottom w:val="single" w:sz="8" w:space="0" w:color="FFFFFF" w:themeColor="background1"/>
            </w:tcBorders>
            <w:shd w:val="clear" w:color="auto" w:fill="E9E8E5" w:themeFill="background2"/>
          </w:tcPr>
          <w:p w:rsidR="00612FD3" w:rsidRPr="004D40A2" w:rsidRDefault="00612FD3" w:rsidP="00143A66">
            <w:pPr>
              <w:pStyle w:val="TableDataEntries"/>
              <w:ind w:left="57"/>
              <w:jc w:val="left"/>
            </w:pPr>
            <w:r w:rsidRPr="00095CC1">
              <w:rPr>
                <w:b/>
              </w:rPr>
              <w:t>Above population growth</w:t>
            </w:r>
            <w:r>
              <w:t xml:space="preserve"> </w:t>
            </w:r>
            <w:r w:rsidRPr="00095CC1">
              <w:rPr>
                <w:b/>
              </w:rPr>
              <w:t>of working age persons</w:t>
            </w:r>
            <w:r w:rsidRPr="009F1511">
              <w:t xml:space="preserve"> </w:t>
            </w:r>
            <w:r>
              <w:t>of 1 per cent (</w:t>
            </w:r>
            <w:r w:rsidRPr="009F1511">
              <w:t xml:space="preserve">decreasing </w:t>
            </w:r>
            <w:bookmarkStart w:id="6064" w:name="_Hlk497905103"/>
            <w:r w:rsidRPr="009F1511">
              <w:t>over</w:t>
            </w:r>
            <w:bookmarkEnd w:id="6064"/>
            <w:r w:rsidRPr="009F1511">
              <w:t xml:space="preserve"> time</w:t>
            </w:r>
            <w:r>
              <w:t xml:space="preserve"> after 20 years</w:t>
            </w:r>
            <w:r w:rsidRPr="009F1511">
              <w:t>)</w:t>
            </w:r>
            <w:r>
              <w:rPr>
                <w:rStyle w:val="NoteLabel"/>
              </w:rPr>
              <w:t xml:space="preserve"> d </w:t>
            </w:r>
            <w:r>
              <w:t xml:space="preserve">This reflects proportionately more people working in office spaces over time. </w:t>
            </w:r>
          </w:p>
        </w:tc>
      </w:tr>
      <w:tr w:rsidR="00612FD3" w:rsidTr="00301B6D">
        <w:tc>
          <w:tcPr>
            <w:tcW w:w="21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jc w:val="left"/>
            </w:pPr>
            <w:r>
              <w:t>Factories</w:t>
            </w:r>
          </w:p>
        </w:tc>
        <w:tc>
          <w:tcPr>
            <w:tcW w:w="1393" w:type="dxa"/>
            <w:gridSpan w:val="2"/>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pPr>
            <w:r>
              <w:t>1.9</w:t>
            </w:r>
          </w:p>
        </w:tc>
        <w:tc>
          <w:tcPr>
            <w:tcW w:w="14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pPr>
            <w:r>
              <w:t>1.9</w:t>
            </w:r>
          </w:p>
        </w:tc>
        <w:tc>
          <w:tcPr>
            <w:tcW w:w="3260" w:type="dxa"/>
            <w:tcBorders>
              <w:top w:val="single" w:sz="8" w:space="0" w:color="FFFFFF" w:themeColor="background1"/>
              <w:bottom w:val="single" w:sz="8" w:space="0" w:color="FFFFFF" w:themeColor="background1"/>
            </w:tcBorders>
            <w:shd w:val="clear" w:color="auto" w:fill="E9E8E5" w:themeFill="background2"/>
          </w:tcPr>
          <w:p w:rsidR="00612FD3" w:rsidRDefault="00612FD3" w:rsidP="00143A66">
            <w:pPr>
              <w:pStyle w:val="TableDataEntries"/>
              <w:ind w:left="57"/>
              <w:jc w:val="left"/>
            </w:pPr>
            <w:r>
              <w:t>Projected</w:t>
            </w:r>
            <w:r w:rsidRPr="007F2F22">
              <w:t xml:space="preserve"> </w:t>
            </w:r>
            <w:r>
              <w:t xml:space="preserve">by a share of mining and manufacturing </w:t>
            </w:r>
            <w:r w:rsidRPr="007F2F22">
              <w:t>GVA</w:t>
            </w:r>
            <w:r>
              <w:t xml:space="preserve"> of 1.9 per cent</w:t>
            </w:r>
          </w:p>
        </w:tc>
      </w:tr>
      <w:tr w:rsidR="00612FD3" w:rsidTr="00301B6D">
        <w:tc>
          <w:tcPr>
            <w:tcW w:w="21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jc w:val="left"/>
            </w:pPr>
            <w:r>
              <w:t>Undercover car parks</w:t>
            </w:r>
          </w:p>
        </w:tc>
        <w:tc>
          <w:tcPr>
            <w:tcW w:w="1393" w:type="dxa"/>
            <w:gridSpan w:val="2"/>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pPr>
            <w:r>
              <w:t>1.4</w:t>
            </w:r>
          </w:p>
        </w:tc>
        <w:tc>
          <w:tcPr>
            <w:tcW w:w="14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pPr>
            <w:r>
              <w:t>1.0</w:t>
            </w:r>
          </w:p>
        </w:tc>
        <w:tc>
          <w:tcPr>
            <w:tcW w:w="3260" w:type="dxa"/>
            <w:tcBorders>
              <w:top w:val="single" w:sz="8" w:space="0" w:color="FFFFFF" w:themeColor="background1"/>
              <w:bottom w:val="single" w:sz="8" w:space="0" w:color="FFFFFF" w:themeColor="background1"/>
            </w:tcBorders>
            <w:shd w:val="clear" w:color="auto" w:fill="E9E8E5" w:themeFill="background2"/>
          </w:tcPr>
          <w:p w:rsidR="00612FD3" w:rsidRDefault="00612FD3" w:rsidP="00143A66">
            <w:pPr>
              <w:pStyle w:val="TableDataEntries"/>
              <w:ind w:left="57"/>
              <w:jc w:val="left"/>
            </w:pPr>
            <w:r>
              <w:t xml:space="preserve">Projected at the rate of growth of the working age population for each state and territory, separately for the capital city and rest of the State/Territory (where we assume that the rate of car park additions per worker is one tenth that of the capital cities) </w:t>
            </w:r>
          </w:p>
        </w:tc>
      </w:tr>
      <w:tr w:rsidR="00612FD3" w:rsidTr="00301B6D">
        <w:tc>
          <w:tcPr>
            <w:tcW w:w="21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jc w:val="left"/>
            </w:pPr>
            <w:r>
              <w:t>Hospital</w:t>
            </w:r>
          </w:p>
        </w:tc>
        <w:tc>
          <w:tcPr>
            <w:tcW w:w="1393" w:type="dxa"/>
            <w:gridSpan w:val="2"/>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pPr>
            <w:r>
              <w:t>1.2</w:t>
            </w:r>
          </w:p>
        </w:tc>
        <w:tc>
          <w:tcPr>
            <w:tcW w:w="14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pPr>
            <w:r>
              <w:t>1.2</w:t>
            </w:r>
          </w:p>
        </w:tc>
        <w:tc>
          <w:tcPr>
            <w:tcW w:w="3260" w:type="dxa"/>
            <w:tcBorders>
              <w:top w:val="single" w:sz="8" w:space="0" w:color="FFFFFF" w:themeColor="background1"/>
              <w:bottom w:val="single" w:sz="8" w:space="0" w:color="FFFFFF" w:themeColor="background1"/>
            </w:tcBorders>
            <w:shd w:val="clear" w:color="auto" w:fill="E9E8E5" w:themeFill="background2"/>
          </w:tcPr>
          <w:p w:rsidR="00612FD3" w:rsidRDefault="00612FD3" w:rsidP="00143A66">
            <w:pPr>
              <w:pStyle w:val="TableDataEntries"/>
              <w:ind w:left="57"/>
              <w:jc w:val="left"/>
            </w:pPr>
            <w:r w:rsidRPr="007F2F22">
              <w:t>In major cities: projected by ‘trend’ (lower than population growth) and in regional areas projected by (constant floor space per person)</w:t>
            </w:r>
          </w:p>
        </w:tc>
      </w:tr>
      <w:tr w:rsidR="00612FD3" w:rsidTr="00301B6D">
        <w:tc>
          <w:tcPr>
            <w:tcW w:w="21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jc w:val="left"/>
            </w:pPr>
            <w:r>
              <w:t>Hotels</w:t>
            </w:r>
          </w:p>
        </w:tc>
        <w:tc>
          <w:tcPr>
            <w:tcW w:w="1393" w:type="dxa"/>
            <w:gridSpan w:val="2"/>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pPr>
            <w:r>
              <w:t>1.4</w:t>
            </w:r>
          </w:p>
        </w:tc>
        <w:tc>
          <w:tcPr>
            <w:tcW w:w="14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pPr>
            <w:r>
              <w:t>1.4</w:t>
            </w:r>
          </w:p>
        </w:tc>
        <w:tc>
          <w:tcPr>
            <w:tcW w:w="3260" w:type="dxa"/>
            <w:tcBorders>
              <w:top w:val="single" w:sz="8" w:space="0" w:color="FFFFFF" w:themeColor="background1"/>
              <w:bottom w:val="single" w:sz="8" w:space="0" w:color="FFFFFF" w:themeColor="background1"/>
            </w:tcBorders>
            <w:shd w:val="clear" w:color="auto" w:fill="E9E8E5" w:themeFill="background2"/>
          </w:tcPr>
          <w:p w:rsidR="00612FD3" w:rsidRDefault="00612FD3" w:rsidP="00143A66">
            <w:pPr>
              <w:pStyle w:val="TableDataEntries"/>
              <w:ind w:left="57"/>
              <w:jc w:val="left"/>
            </w:pPr>
            <w:r>
              <w:t>Trend based projections, variable by location</w:t>
            </w:r>
          </w:p>
        </w:tc>
      </w:tr>
      <w:tr w:rsidR="00612FD3" w:rsidTr="00301B6D">
        <w:tc>
          <w:tcPr>
            <w:tcW w:w="21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jc w:val="left"/>
            </w:pPr>
            <w:r>
              <w:t>Aged care</w:t>
            </w:r>
          </w:p>
        </w:tc>
        <w:tc>
          <w:tcPr>
            <w:tcW w:w="1393" w:type="dxa"/>
            <w:gridSpan w:val="2"/>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pPr>
            <w:r>
              <w:t>3.1</w:t>
            </w:r>
          </w:p>
        </w:tc>
        <w:tc>
          <w:tcPr>
            <w:tcW w:w="14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pPr>
            <w:r>
              <w:t>1.8</w:t>
            </w:r>
          </w:p>
        </w:tc>
        <w:tc>
          <w:tcPr>
            <w:tcW w:w="3260" w:type="dxa"/>
            <w:tcBorders>
              <w:top w:val="single" w:sz="8" w:space="0" w:color="FFFFFF" w:themeColor="background1"/>
              <w:bottom w:val="single" w:sz="8" w:space="0" w:color="FFFFFF" w:themeColor="background1"/>
            </w:tcBorders>
            <w:shd w:val="clear" w:color="auto" w:fill="E9E8E5" w:themeFill="background2"/>
          </w:tcPr>
          <w:p w:rsidR="00612FD3" w:rsidRDefault="00612FD3" w:rsidP="00143A66">
            <w:pPr>
              <w:pStyle w:val="TableDataEntries"/>
              <w:ind w:left="57"/>
              <w:jc w:val="left"/>
            </w:pPr>
            <w:r>
              <w:t>Population</w:t>
            </w:r>
            <w:r w:rsidRPr="00622440">
              <w:t xml:space="preserve"> growth in age 70+ population</w:t>
            </w:r>
          </w:p>
        </w:tc>
      </w:tr>
      <w:tr w:rsidR="00612FD3" w:rsidTr="00301B6D">
        <w:tc>
          <w:tcPr>
            <w:tcW w:w="2151" w:type="dxa"/>
            <w:tcBorders>
              <w:top w:val="single" w:sz="8" w:space="0" w:color="FFFFFF" w:themeColor="background1"/>
              <w:bottom w:val="single" w:sz="6" w:space="0" w:color="6F6652"/>
            </w:tcBorders>
            <w:shd w:val="clear" w:color="auto" w:fill="E9E8E5" w:themeFill="background2"/>
            <w:tcMar>
              <w:left w:w="57" w:type="dxa"/>
              <w:right w:w="57" w:type="dxa"/>
            </w:tcMar>
          </w:tcPr>
          <w:p w:rsidR="00612FD3" w:rsidRDefault="00612FD3" w:rsidP="00301B6D">
            <w:pPr>
              <w:pStyle w:val="TableDataEntries"/>
              <w:jc w:val="left"/>
            </w:pPr>
            <w:r>
              <w:t>Average growth per annum in commercial building space</w:t>
            </w:r>
          </w:p>
        </w:tc>
        <w:tc>
          <w:tcPr>
            <w:tcW w:w="1393" w:type="dxa"/>
            <w:gridSpan w:val="2"/>
            <w:tcBorders>
              <w:top w:val="single" w:sz="8" w:space="0" w:color="FFFFFF" w:themeColor="background1"/>
              <w:bottom w:val="single" w:sz="6" w:space="0" w:color="6F6652"/>
            </w:tcBorders>
            <w:shd w:val="clear" w:color="auto" w:fill="E9E8E5" w:themeFill="background2"/>
            <w:tcMar>
              <w:left w:w="57" w:type="dxa"/>
              <w:right w:w="57" w:type="dxa"/>
            </w:tcMar>
          </w:tcPr>
          <w:p w:rsidR="00612FD3" w:rsidRDefault="00612FD3" w:rsidP="00301B6D">
            <w:pPr>
              <w:pStyle w:val="TableDataEntries"/>
            </w:pPr>
            <w:r>
              <w:t>1.6</w:t>
            </w:r>
          </w:p>
        </w:tc>
        <w:tc>
          <w:tcPr>
            <w:tcW w:w="1418" w:type="dxa"/>
            <w:tcBorders>
              <w:top w:val="single" w:sz="8" w:space="0" w:color="FFFFFF" w:themeColor="background1"/>
              <w:bottom w:val="single" w:sz="6" w:space="0" w:color="6F6652"/>
            </w:tcBorders>
            <w:shd w:val="clear" w:color="auto" w:fill="E9E8E5" w:themeFill="background2"/>
            <w:tcMar>
              <w:left w:w="57" w:type="dxa"/>
              <w:right w:w="57" w:type="dxa"/>
            </w:tcMar>
          </w:tcPr>
          <w:p w:rsidR="00612FD3" w:rsidRDefault="00612FD3" w:rsidP="00301B6D">
            <w:pPr>
              <w:pStyle w:val="TableDataEntries"/>
            </w:pPr>
            <w:r>
              <w:t>1.3</w:t>
            </w:r>
          </w:p>
        </w:tc>
        <w:tc>
          <w:tcPr>
            <w:tcW w:w="3260" w:type="dxa"/>
            <w:tcBorders>
              <w:top w:val="single" w:sz="8" w:space="0" w:color="FFFFFF" w:themeColor="background1"/>
              <w:bottom w:val="single" w:sz="6" w:space="0" w:color="6F6652"/>
            </w:tcBorders>
            <w:shd w:val="clear" w:color="auto" w:fill="E9E8E5" w:themeFill="background2"/>
          </w:tcPr>
          <w:p w:rsidR="00612FD3" w:rsidRDefault="00612FD3" w:rsidP="00143A66">
            <w:pPr>
              <w:pStyle w:val="TableDataEntries"/>
              <w:ind w:left="57"/>
              <w:jc w:val="left"/>
            </w:pPr>
          </w:p>
        </w:tc>
      </w:tr>
      <w:tr w:rsidR="00612FD3" w:rsidTr="00301B6D">
        <w:tc>
          <w:tcPr>
            <w:tcW w:w="2151" w:type="dxa"/>
            <w:tcBorders>
              <w:top w:val="single" w:sz="8" w:space="0" w:color="FFFFFF" w:themeColor="background1"/>
              <w:bottom w:val="single" w:sz="6" w:space="0" w:color="6F6652"/>
            </w:tcBorders>
            <w:shd w:val="clear" w:color="auto" w:fill="E9E8E5" w:themeFill="background2"/>
            <w:tcMar>
              <w:left w:w="57" w:type="dxa"/>
              <w:right w:w="57" w:type="dxa"/>
            </w:tcMar>
          </w:tcPr>
          <w:p w:rsidR="00612FD3" w:rsidRDefault="00612FD3" w:rsidP="00301B6D">
            <w:pPr>
              <w:pStyle w:val="TableDataEntries"/>
              <w:jc w:val="left"/>
            </w:pPr>
            <w:r>
              <w:t>Average growth per annum in resident population</w:t>
            </w:r>
          </w:p>
        </w:tc>
        <w:tc>
          <w:tcPr>
            <w:tcW w:w="1393" w:type="dxa"/>
            <w:gridSpan w:val="2"/>
            <w:tcBorders>
              <w:top w:val="single" w:sz="8" w:space="0" w:color="FFFFFF" w:themeColor="background1"/>
              <w:bottom w:val="single" w:sz="6" w:space="0" w:color="6F6652"/>
            </w:tcBorders>
            <w:shd w:val="clear" w:color="auto" w:fill="E9E8E5" w:themeFill="background2"/>
            <w:tcMar>
              <w:left w:w="57" w:type="dxa"/>
              <w:right w:w="57" w:type="dxa"/>
            </w:tcMar>
          </w:tcPr>
          <w:p w:rsidR="00612FD3" w:rsidRDefault="00612FD3" w:rsidP="00301B6D">
            <w:pPr>
              <w:pStyle w:val="TableDataEntries"/>
            </w:pPr>
            <w:r>
              <w:t>1.4</w:t>
            </w:r>
          </w:p>
        </w:tc>
        <w:tc>
          <w:tcPr>
            <w:tcW w:w="1418" w:type="dxa"/>
            <w:tcBorders>
              <w:top w:val="single" w:sz="8" w:space="0" w:color="FFFFFF" w:themeColor="background1"/>
              <w:bottom w:val="single" w:sz="6" w:space="0" w:color="6F6652"/>
            </w:tcBorders>
            <w:shd w:val="clear" w:color="auto" w:fill="E9E8E5" w:themeFill="background2"/>
            <w:tcMar>
              <w:left w:w="57" w:type="dxa"/>
              <w:right w:w="57" w:type="dxa"/>
            </w:tcMar>
          </w:tcPr>
          <w:p w:rsidR="00612FD3" w:rsidRDefault="00612FD3" w:rsidP="00301B6D">
            <w:pPr>
              <w:pStyle w:val="TableDataEntries"/>
            </w:pPr>
            <w:r>
              <w:t>1.0</w:t>
            </w:r>
          </w:p>
        </w:tc>
        <w:tc>
          <w:tcPr>
            <w:tcW w:w="3260" w:type="dxa"/>
            <w:tcBorders>
              <w:top w:val="single" w:sz="8" w:space="0" w:color="FFFFFF" w:themeColor="background1"/>
              <w:bottom w:val="single" w:sz="6" w:space="0" w:color="6F6652"/>
            </w:tcBorders>
            <w:shd w:val="clear" w:color="auto" w:fill="E9E8E5" w:themeFill="background2"/>
          </w:tcPr>
          <w:p w:rsidR="00612FD3" w:rsidRDefault="00612FD3" w:rsidP="00143A66">
            <w:pPr>
              <w:pStyle w:val="TableDataEntries"/>
              <w:ind w:left="57"/>
              <w:jc w:val="left"/>
            </w:pPr>
          </w:p>
        </w:tc>
      </w:tr>
    </w:tbl>
    <w:p w:rsidR="00612FD3" w:rsidRPr="00E4232C" w:rsidRDefault="00612FD3" w:rsidP="00612FD3">
      <w:pPr>
        <w:pStyle w:val="Note"/>
      </w:pPr>
      <w:r w:rsidRPr="00E4232C">
        <w:rPr>
          <w:rStyle w:val="NoteLabel"/>
        </w:rPr>
        <w:t>a</w:t>
      </w:r>
      <w:r w:rsidRPr="006E0273">
        <w:t xml:space="preserve"> Growt</w:t>
      </w:r>
      <w:r>
        <w:t>h in shopping centres in regional areas are typically higher than cities</w:t>
      </w:r>
      <w:r w:rsidRPr="007F2F22">
        <w:rPr>
          <w:rStyle w:val="NoteLabel"/>
        </w:rPr>
        <w:t xml:space="preserve"> </w:t>
      </w:r>
      <w:r>
        <w:rPr>
          <w:rStyle w:val="NoteLabel"/>
        </w:rPr>
        <w:t>b</w:t>
      </w:r>
      <w:r>
        <w:t xml:space="preserve"> Except for ACT where trend was used. </w:t>
      </w:r>
      <w:r>
        <w:rPr>
          <w:rStyle w:val="NoteLabel"/>
        </w:rPr>
        <w:t>c</w:t>
      </w:r>
      <w:r w:rsidRPr="003C073B">
        <w:t xml:space="preserve"> </w:t>
      </w:r>
      <w:r>
        <w:t>The exception is for Sydney where the growth is assumed to be 1 per cent higher than overall population growth until 2035.</w:t>
      </w:r>
      <w:r>
        <w:rPr>
          <w:rStyle w:val="NoteLabel"/>
        </w:rPr>
        <w:t xml:space="preserve"> d </w:t>
      </w:r>
      <w:r>
        <w:t>Excluding Perth where population growth of the working age only is assumed.</w:t>
      </w:r>
    </w:p>
    <w:p w:rsidR="00612FD3" w:rsidRDefault="00612FD3" w:rsidP="00612FD3">
      <w:pPr>
        <w:pStyle w:val="Source"/>
      </w:pPr>
      <w:r>
        <w:rPr>
          <w:i/>
        </w:rPr>
        <w:t>Source</w:t>
      </w:r>
      <w:r w:rsidRPr="00E4232C">
        <w:rPr>
          <w:i/>
        </w:rPr>
        <w:t>:</w:t>
      </w:r>
      <w:r>
        <w:t xml:space="preserve"> CIE.</w:t>
      </w:r>
    </w:p>
    <w:p w:rsidR="00612FD3" w:rsidRDefault="00612FD3" w:rsidP="00612FD3">
      <w:pPr>
        <w:pStyle w:val="BodyText"/>
      </w:pPr>
      <w:r>
        <w:t xml:space="preserve">Estimates of the additions to the commercial building stock is shown in chart E.4. Each year it is estimated that around 6.3 million square metres of new floor area is added across the commercial building classes. Chart E.5 shows the significant components of this include warehousing and storage, retail, office space and education-related buildings. </w:t>
      </w:r>
    </w:p>
    <w:p w:rsidR="00612FD3" w:rsidRDefault="00612FD3" w:rsidP="00612FD3">
      <w:pPr>
        <w:pStyle w:val="BodyText"/>
      </w:pPr>
      <w:r>
        <w:t xml:space="preserve">Based on the estimates above, the expected additional floor area of commercial buildings would be 6.3 million square metres in 2019 and 6.9 million in 2028, up by 10 per cent. </w:t>
      </w:r>
    </w:p>
    <w:p w:rsidR="00612FD3" w:rsidRPr="00D00F02" w:rsidRDefault="00612FD3" w:rsidP="00612FD3">
      <w:pPr>
        <w:pStyle w:val="Caption"/>
        <w:numPr>
          <w:ilvl w:val="0"/>
          <w:numId w:val="7"/>
        </w:numPr>
      </w:pPr>
      <w:bookmarkStart w:id="6065" w:name="_Toc499545266"/>
      <w:bookmarkStart w:id="6066" w:name="_Toc499847069"/>
      <w:bookmarkStart w:id="6067" w:name="_Toc505120679"/>
      <w:bookmarkStart w:id="6068" w:name="_Toc507523832"/>
      <w:bookmarkStart w:id="6069" w:name="_Toc509220881"/>
      <w:bookmarkStart w:id="6070" w:name="_Toc529869983"/>
      <w:bookmarkStart w:id="6071" w:name="_Toc530748479"/>
      <w:r w:rsidRPr="00D00F02">
        <w:t>E.4</w:t>
      </w:r>
      <w:r w:rsidRPr="00D00F02">
        <w:tab/>
        <w:t>Projected net additions to the building stock by building class</w:t>
      </w:r>
      <w:bookmarkEnd w:id="6065"/>
      <w:bookmarkEnd w:id="6066"/>
      <w:bookmarkEnd w:id="6067"/>
      <w:bookmarkEnd w:id="6068"/>
      <w:bookmarkEnd w:id="6069"/>
      <w:bookmarkEnd w:id="6070"/>
      <w:bookmarkEnd w:id="6071"/>
    </w:p>
    <w:p w:rsidR="00612FD3" w:rsidRDefault="00612FD3" w:rsidP="00612FD3">
      <w:pPr>
        <w:pStyle w:val="Source"/>
        <w:rPr>
          <w:i/>
        </w:rPr>
      </w:pPr>
      <w:r w:rsidRPr="0076092D">
        <w:rPr>
          <w:noProof/>
          <w:lang w:eastAsia="en-AU"/>
        </w:rPr>
        <w:drawing>
          <wp:inline distT="0" distB="0" distL="0" distR="0" wp14:anchorId="0ED5D564" wp14:editId="3C680E08">
            <wp:extent cx="4987637" cy="2481558"/>
            <wp:effectExtent l="0" t="0" r="3810" b="0"/>
            <wp:docPr id="48" name="Picture 48" descr="This chart shows net additions to the commercial building stock by building class up to 2029. Offices, retail buildings and warehouse are the top classes in total net additions." title="Projected net additions to the building stock by building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27376" cy="2501330"/>
                    </a:xfrm>
                    <a:prstGeom prst="rect">
                      <a:avLst/>
                    </a:prstGeom>
                    <a:solidFill>
                      <a:schemeClr val="bg2"/>
                    </a:solidFill>
                    <a:ln>
                      <a:noFill/>
                    </a:ln>
                  </pic:spPr>
                </pic:pic>
              </a:graphicData>
            </a:graphic>
          </wp:inline>
        </w:drawing>
      </w:r>
      <w:r>
        <w:rPr>
          <w:i/>
        </w:rPr>
        <w:t>Note: Estimates of additional floor space of office buildings taken from pitt&amp;sherry (2012) have been revised by the current working age population estimates and trend growth in floor space, for Sydney and Perth. Additions to the industrial/factory floor space are estimated to be positive 1.9 per cent, on average. The chart excludes retirements and refurbishments.</w:t>
      </w:r>
    </w:p>
    <w:p w:rsidR="00612FD3" w:rsidRDefault="00612FD3" w:rsidP="00612FD3">
      <w:pPr>
        <w:pStyle w:val="Source"/>
      </w:pPr>
      <w:r>
        <w:rPr>
          <w:i/>
        </w:rPr>
        <w:t>Data source</w:t>
      </w:r>
      <w:r w:rsidRPr="00A67576">
        <w:rPr>
          <w:i/>
        </w:rPr>
        <w:t>:</w:t>
      </w:r>
      <w:r>
        <w:t xml:space="preserve"> CIE.</w:t>
      </w:r>
      <w:r w:rsidRPr="00E75D17">
        <w:rPr>
          <w:noProof/>
          <w:lang w:eastAsia="en-AU"/>
        </w:rPr>
        <w:t xml:space="preserve"> </w:t>
      </w:r>
    </w:p>
    <w:p w:rsidR="00612FD3" w:rsidRPr="00A24808" w:rsidRDefault="00612FD3" w:rsidP="00612FD3">
      <w:pPr>
        <w:pStyle w:val="BodyText"/>
      </w:pPr>
      <w:r w:rsidRPr="00290563">
        <w:t xml:space="preserve">Chart </w:t>
      </w:r>
      <w:r>
        <w:t>E.5 shows that in 2019, approximately 25</w:t>
      </w:r>
      <w:r w:rsidRPr="00290563">
        <w:t xml:space="preserve"> per cent of </w:t>
      </w:r>
      <w:r>
        <w:t xml:space="preserve">net </w:t>
      </w:r>
      <w:r w:rsidRPr="00290563">
        <w:t xml:space="preserve">additions </w:t>
      </w:r>
      <w:r>
        <w:t>are expected to relate</w:t>
      </w:r>
      <w:r w:rsidRPr="00290563">
        <w:t xml:space="preserve"> to warehousin</w:t>
      </w:r>
      <w:r>
        <w:t>g and storage, 21 per cent for retail space, 16 per cent related to education, 13 per </w:t>
      </w:r>
      <w:r w:rsidRPr="00290563">
        <w:t>cent</w:t>
      </w:r>
      <w:r>
        <w:t xml:space="preserve"> related to office space, and 9 per cent related to industrial/factory space</w:t>
      </w:r>
      <w:r w:rsidRPr="00290563">
        <w:t xml:space="preserve">. </w:t>
      </w:r>
      <w:r>
        <w:t>Growth rates across different building classes are similar in 2028, except with a greater share of office space (15 per cent), and warehouses slightly less (22 per cent).</w:t>
      </w:r>
    </w:p>
    <w:p w:rsidR="00612FD3" w:rsidRDefault="00612FD3" w:rsidP="00612FD3">
      <w:pPr>
        <w:pStyle w:val="BodyText"/>
      </w:pPr>
      <w:r>
        <w:t xml:space="preserve">We note that growth rates temper beyond the evaluation period (from the 2030s). This reflects the slowing of the rate of population growth across some age groups, including the over 70 years age cohort and school age children (5 to 17 years). </w:t>
      </w:r>
    </w:p>
    <w:p w:rsidR="00612FD3" w:rsidRPr="00D00F02" w:rsidRDefault="00612FD3" w:rsidP="00612FD3">
      <w:pPr>
        <w:pStyle w:val="Caption"/>
        <w:numPr>
          <w:ilvl w:val="0"/>
          <w:numId w:val="7"/>
        </w:numPr>
      </w:pPr>
      <w:bookmarkStart w:id="6072" w:name="_Toc499545267"/>
      <w:bookmarkStart w:id="6073" w:name="_Toc499847070"/>
      <w:bookmarkStart w:id="6074" w:name="_Toc505120680"/>
      <w:bookmarkStart w:id="6075" w:name="_Toc507523833"/>
      <w:bookmarkStart w:id="6076" w:name="_Toc509220882"/>
      <w:bookmarkStart w:id="6077" w:name="_Toc529869984"/>
      <w:bookmarkStart w:id="6078" w:name="_Toc530748480"/>
      <w:r w:rsidRPr="00D00F02">
        <w:t>E.5</w:t>
      </w:r>
      <w:r w:rsidRPr="00D00F02">
        <w:tab/>
        <w:t>Components of net additions to building stock</w:t>
      </w:r>
      <w:bookmarkEnd w:id="6072"/>
      <w:bookmarkEnd w:id="6073"/>
      <w:bookmarkEnd w:id="6074"/>
      <w:bookmarkEnd w:id="6075"/>
      <w:bookmarkEnd w:id="6076"/>
      <w:bookmarkEnd w:id="6077"/>
      <w:bookmarkEnd w:id="6078"/>
    </w:p>
    <w:p w:rsidR="00612FD3" w:rsidRDefault="00612FD3" w:rsidP="00612FD3">
      <w:pPr>
        <w:pStyle w:val="Source"/>
        <w:rPr>
          <w:i/>
        </w:rPr>
      </w:pPr>
      <w:r w:rsidRPr="0076092D">
        <w:rPr>
          <w:noProof/>
          <w:lang w:eastAsia="en-AU"/>
        </w:rPr>
        <w:drawing>
          <wp:inline distT="0" distB="0" distL="0" distR="0" wp14:anchorId="7EEF254A" wp14:editId="00950397">
            <wp:extent cx="5037455" cy="2438400"/>
            <wp:effectExtent l="0" t="0" r="0" b="0"/>
            <wp:docPr id="49" name="Picture 49" descr="The chart compares compoents of net additions to commercial buildiong stock in 2019 and 2028. It shows that in 2019, approximately 25 per cent of net additions are expected to relate to warehousing and storage, 21 per cent for retail space, 16 per cent related to education, 13 per cent related to office space, and 9 per cent related to industrial/factory space. Shares across different building classes are similar in 2028, except with a greater share of office space (15 per cent), and warehouses slightly less (22 per cent)." title="Components of net additions to building stocj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37455" cy="2438400"/>
                    </a:xfrm>
                    <a:prstGeom prst="rect">
                      <a:avLst/>
                    </a:prstGeom>
                    <a:solidFill>
                      <a:schemeClr val="bg2"/>
                    </a:solidFill>
                    <a:ln>
                      <a:noFill/>
                    </a:ln>
                  </pic:spPr>
                </pic:pic>
              </a:graphicData>
            </a:graphic>
          </wp:inline>
        </w:drawing>
      </w:r>
      <w:r>
        <w:rPr>
          <w:i/>
        </w:rPr>
        <w:t>Note: Estimates of additional floor space of office buildings taken from pitt&amp;sherry (2012) have been revised by the current working age population estimates and trend growth in floor space, for Sydney and Perth. Additions to the industrial/factory floor space are estimated to be positive 1.9 per cent, on average. The chart excludes retirements and refurbishments.</w:t>
      </w:r>
    </w:p>
    <w:p w:rsidR="00612FD3" w:rsidRDefault="00612FD3" w:rsidP="00612FD3">
      <w:pPr>
        <w:pStyle w:val="Source"/>
      </w:pPr>
      <w:r>
        <w:rPr>
          <w:i/>
        </w:rPr>
        <w:t>Data source</w:t>
      </w:r>
      <w:r w:rsidRPr="00A67576">
        <w:rPr>
          <w:i/>
        </w:rPr>
        <w:t>:</w:t>
      </w:r>
      <w:r>
        <w:t xml:space="preserve"> CIE.</w:t>
      </w:r>
      <w:r w:rsidRPr="00E75D17">
        <w:rPr>
          <w:noProof/>
          <w:lang w:eastAsia="en-AU"/>
        </w:rPr>
        <w:t xml:space="preserve"> </w:t>
      </w:r>
    </w:p>
    <w:p w:rsidR="00612FD3" w:rsidRDefault="00612FD3" w:rsidP="00612FD3">
      <w:pPr>
        <w:pStyle w:val="BodyText"/>
        <w:rPr>
          <w:lang w:eastAsia="en-US"/>
        </w:rPr>
      </w:pPr>
      <w:r>
        <w:rPr>
          <w:lang w:eastAsia="en-US"/>
        </w:rPr>
        <w:t xml:space="preserve">The modest increase in floor area per person (shown in chart E.6) reflects a range of factors, including increases in retail area above population growth, the demand for education-related commercial area related to international students, the trend towards larger office space per working age person and assumed growth of industrial space in line with gross value added. There are some questions over the sustainability of growth in the retail space with companies, such as Amazon, offering expanding levels of service via online retail. </w:t>
      </w:r>
    </w:p>
    <w:p w:rsidR="00612FD3" w:rsidRPr="00D00F02" w:rsidRDefault="00612FD3" w:rsidP="00612FD3">
      <w:pPr>
        <w:pStyle w:val="Caption"/>
        <w:numPr>
          <w:ilvl w:val="0"/>
          <w:numId w:val="7"/>
        </w:numPr>
      </w:pPr>
      <w:r w:rsidRPr="00D00F02">
        <w:fldChar w:fldCharType="begin"/>
      </w:r>
      <w:r w:rsidRPr="00D00F02">
        <w:instrText xml:space="preserve"> IF 1 = 1 "</w:instrText>
      </w:r>
      <w:r w:rsidRPr="00D00F02">
        <w:fldChar w:fldCharType="begin"/>
      </w:r>
      <w:r w:rsidRPr="00D00F02">
        <w:instrText xml:space="preserve"> IF </w:instrText>
      </w:r>
      <w:r w:rsidRPr="00D00F02">
        <w:rPr>
          <w:noProof/>
        </w:rPr>
        <w:fldChar w:fldCharType="begin"/>
      </w:r>
      <w:r w:rsidRPr="00D00F02">
        <w:rPr>
          <w:noProof/>
        </w:rPr>
        <w:instrText xml:space="preserve"> STYLEREF "Heading 6" \l \n </w:instrText>
      </w:r>
      <w:r w:rsidRPr="00D00F02">
        <w:rPr>
          <w:noProof/>
        </w:rPr>
        <w:fldChar w:fldCharType="separate"/>
      </w:r>
      <w:r w:rsidR="00B833F1">
        <w:rPr>
          <w:noProof/>
        </w:rPr>
        <w:instrText>E</w:instrText>
      </w:r>
      <w:r w:rsidRPr="00D00F02">
        <w:rPr>
          <w:noProof/>
        </w:rPr>
        <w:fldChar w:fldCharType="end"/>
      </w:r>
      <w:r w:rsidRPr="00D00F02">
        <w:instrText xml:space="preserve"> = 0 "</w:instrText>
      </w:r>
      <w:r w:rsidRPr="00D00F02">
        <w:fldChar w:fldCharType="begin"/>
      </w:r>
      <w:r w:rsidRPr="00D00F02">
        <w:instrText xml:space="preserve"> IF </w:instrText>
      </w:r>
      <w:r w:rsidRPr="00D00F02">
        <w:rPr>
          <w:noProof/>
        </w:rPr>
        <w:fldChar w:fldCharType="begin"/>
      </w:r>
      <w:r w:rsidRPr="00D00F02">
        <w:rPr>
          <w:noProof/>
        </w:rPr>
        <w:instrText xml:space="preserve"> STYLEREF "Heading 1" \l \n </w:instrText>
      </w:r>
      <w:r w:rsidRPr="00D00F02">
        <w:rPr>
          <w:noProof/>
        </w:rPr>
        <w:fldChar w:fldCharType="separate"/>
      </w:r>
      <w:r w:rsidRPr="00D00F02">
        <w:rPr>
          <w:noProof/>
        </w:rPr>
        <w:instrText>1</w:instrText>
      </w:r>
      <w:r w:rsidRPr="00D00F02">
        <w:rPr>
          <w:noProof/>
        </w:rPr>
        <w:fldChar w:fldCharType="end"/>
      </w:r>
      <w:r w:rsidRPr="00D00F02">
        <w:instrText xml:space="preserve"> = 0 "" "</w:instrText>
      </w:r>
      <w:r w:rsidRPr="00D00F02">
        <w:rPr>
          <w:noProof/>
        </w:rPr>
        <w:fldChar w:fldCharType="begin"/>
      </w:r>
      <w:r w:rsidRPr="00D00F02">
        <w:rPr>
          <w:noProof/>
        </w:rPr>
        <w:instrText xml:space="preserve"> STYLEREF "Heading 1" \l \n </w:instrText>
      </w:r>
      <w:r w:rsidRPr="00D00F02">
        <w:rPr>
          <w:noProof/>
        </w:rPr>
        <w:fldChar w:fldCharType="separate"/>
      </w:r>
      <w:r w:rsidRPr="00D00F02">
        <w:rPr>
          <w:noProof/>
        </w:rPr>
        <w:instrText>1</w:instrText>
      </w:r>
      <w:r w:rsidRPr="00D00F02">
        <w:rPr>
          <w:noProof/>
        </w:rPr>
        <w:fldChar w:fldCharType="end"/>
      </w:r>
      <w:r w:rsidRPr="00D00F02">
        <w:instrText xml:space="preserve">." </w:instrText>
      </w:r>
      <w:r w:rsidRPr="00D00F02">
        <w:fldChar w:fldCharType="separate"/>
      </w:r>
      <w:r w:rsidRPr="00D00F02">
        <w:rPr>
          <w:noProof/>
        </w:rPr>
        <w:instrText>1.</w:instrText>
      </w:r>
      <w:r w:rsidRPr="00D00F02">
        <w:fldChar w:fldCharType="end"/>
      </w:r>
      <w:r w:rsidRPr="00D00F02">
        <w:instrText>" "</w:instrText>
      </w:r>
      <w:r w:rsidRPr="00D00F02">
        <w:rPr>
          <w:noProof/>
        </w:rPr>
        <w:fldChar w:fldCharType="begin"/>
      </w:r>
      <w:r w:rsidRPr="00D00F02">
        <w:rPr>
          <w:noProof/>
        </w:rPr>
        <w:instrText xml:space="preserve"> STYLEREF "Heading 6" \l \n </w:instrText>
      </w:r>
      <w:r w:rsidRPr="00D00F02">
        <w:rPr>
          <w:noProof/>
        </w:rPr>
        <w:fldChar w:fldCharType="separate"/>
      </w:r>
      <w:r w:rsidR="00B833F1">
        <w:rPr>
          <w:noProof/>
        </w:rPr>
        <w:instrText>E</w:instrText>
      </w:r>
      <w:r w:rsidRPr="00D00F02">
        <w:rPr>
          <w:noProof/>
        </w:rPr>
        <w:fldChar w:fldCharType="end"/>
      </w:r>
      <w:r w:rsidRPr="00D00F02">
        <w:instrText xml:space="preserve">." </w:instrText>
      </w:r>
      <w:r w:rsidRPr="00D00F02">
        <w:fldChar w:fldCharType="separate"/>
      </w:r>
      <w:r w:rsidR="00B833F1">
        <w:rPr>
          <w:noProof/>
        </w:rPr>
        <w:instrText>E</w:instrText>
      </w:r>
      <w:r w:rsidR="00B833F1" w:rsidRPr="00D00F02">
        <w:rPr>
          <w:noProof/>
        </w:rPr>
        <w:instrText>.</w:instrText>
      </w:r>
      <w:r w:rsidRPr="00D00F02">
        <w:fldChar w:fldCharType="end"/>
      </w:r>
      <w:r w:rsidRPr="00D00F02">
        <w:instrText xml:space="preserve">6" "" </w:instrText>
      </w:r>
      <w:r w:rsidRPr="00D00F02">
        <w:fldChar w:fldCharType="separate"/>
      </w:r>
      <w:bookmarkStart w:id="6079" w:name="_Caption8411"/>
      <w:bookmarkStart w:id="6080" w:name="_Caption8503"/>
      <w:bookmarkStart w:id="6081" w:name="_Caption1235"/>
      <w:bookmarkStart w:id="6082" w:name="_Caption8840"/>
      <w:bookmarkStart w:id="6083" w:name="_Caption2591"/>
      <w:bookmarkStart w:id="6084" w:name="_Caption7151"/>
      <w:bookmarkStart w:id="6085" w:name="_Caption9993"/>
      <w:bookmarkStart w:id="6086" w:name="_Caption7407"/>
      <w:bookmarkStart w:id="6087" w:name="_Caption6052"/>
      <w:bookmarkStart w:id="6088" w:name="_Caption8282"/>
      <w:bookmarkStart w:id="6089" w:name="_Caption9016"/>
      <w:bookmarkStart w:id="6090" w:name="_Caption3171"/>
      <w:bookmarkStart w:id="6091" w:name="_Caption3853"/>
      <w:bookmarkStart w:id="6092" w:name="_Caption2478"/>
      <w:bookmarkStart w:id="6093" w:name="_Caption1293"/>
      <w:bookmarkStart w:id="6094" w:name="_Caption2163"/>
      <w:bookmarkStart w:id="6095" w:name="_Caption3658"/>
      <w:bookmarkStart w:id="6096" w:name="_Caption0695"/>
      <w:bookmarkStart w:id="6097" w:name="_Caption6369"/>
      <w:bookmarkStart w:id="6098" w:name="_Caption4050"/>
      <w:bookmarkStart w:id="6099" w:name="_Caption3718"/>
      <w:bookmarkStart w:id="6100" w:name="_Caption8341"/>
      <w:bookmarkStart w:id="6101" w:name="_Caption9899"/>
      <w:bookmarkStart w:id="6102" w:name="_Caption3211"/>
      <w:bookmarkStart w:id="6103" w:name="_Caption3725"/>
      <w:bookmarkStart w:id="6104" w:name="_Caption1682"/>
      <w:bookmarkStart w:id="6105" w:name="_Caption2520"/>
      <w:bookmarkStart w:id="6106" w:name="_Caption4176"/>
      <w:bookmarkStart w:id="6107" w:name="_Caption7664"/>
      <w:bookmarkStart w:id="6108" w:name="_Caption7513"/>
      <w:bookmarkStart w:id="6109" w:name="_Caption5886"/>
      <w:bookmarkStart w:id="6110" w:name="_Caption5935"/>
      <w:bookmarkStart w:id="6111" w:name="_Caption3329"/>
      <w:bookmarkStart w:id="6112" w:name="_Caption2196"/>
      <w:bookmarkStart w:id="6113" w:name="_Caption5625"/>
      <w:bookmarkStart w:id="6114" w:name="_Caption2865"/>
      <w:bookmarkStart w:id="6115" w:name="_Caption5585"/>
      <w:bookmarkStart w:id="6116" w:name="_Caption1901"/>
      <w:bookmarkStart w:id="6117" w:name="_Caption7736"/>
      <w:bookmarkStart w:id="6118" w:name="_Caption7477"/>
      <w:bookmarkStart w:id="6119" w:name="_Caption2953"/>
      <w:bookmarkStart w:id="6120" w:name="_Caption9300"/>
      <w:bookmarkStart w:id="6121" w:name="_Caption9944"/>
      <w:bookmarkStart w:id="6122" w:name="_Caption2065"/>
      <w:bookmarkStart w:id="6123" w:name="_Caption2150"/>
      <w:bookmarkStart w:id="6124" w:name="_Caption0417"/>
      <w:bookmarkStart w:id="6125" w:name="_Caption1591"/>
      <w:bookmarkStart w:id="6126" w:name="_Caption9271"/>
      <w:bookmarkStart w:id="6127" w:name="_Caption6159"/>
      <w:bookmarkStart w:id="6128" w:name="_Caption7312"/>
      <w:bookmarkStart w:id="6129" w:name="_Caption7383"/>
      <w:bookmarkStart w:id="6130" w:name="_Caption6120"/>
      <w:bookmarkStart w:id="6131" w:name="_Caption8979"/>
      <w:bookmarkStart w:id="6132" w:name="_Caption1854"/>
      <w:bookmarkStart w:id="6133" w:name="_Caption2586"/>
      <w:bookmarkStart w:id="6134" w:name="_Caption4939"/>
      <w:bookmarkStart w:id="6135" w:name="_Caption7192"/>
      <w:bookmarkStart w:id="6136" w:name="_Caption2291"/>
      <w:bookmarkStart w:id="6137" w:name="_Caption9238"/>
      <w:bookmarkStart w:id="6138" w:name="_Caption0799"/>
      <w:bookmarkStart w:id="6139" w:name="_Caption6288"/>
      <w:bookmarkStart w:id="6140" w:name="_Caption3955"/>
      <w:bookmarkStart w:id="6141" w:name="_Caption2230"/>
      <w:bookmarkStart w:id="6142" w:name="_Caption7235"/>
      <w:bookmarkStart w:id="6143" w:name="_Caption0641"/>
      <w:bookmarkStart w:id="6144" w:name="_Caption7092"/>
      <w:bookmarkStart w:id="6145" w:name="_Caption7338"/>
      <w:bookmarkStart w:id="6146" w:name="_Caption2029"/>
      <w:bookmarkStart w:id="6147" w:name="_Caption8950"/>
      <w:bookmarkStart w:id="6148" w:name="_Caption6833"/>
      <w:bookmarkStart w:id="6149" w:name="_Caption6439"/>
      <w:bookmarkStart w:id="6150" w:name="_Caption5296"/>
      <w:bookmarkStart w:id="6151" w:name="_Caption6213"/>
      <w:bookmarkStart w:id="6152" w:name="_Caption1212"/>
      <w:bookmarkStart w:id="6153" w:name="_Caption3185"/>
      <w:bookmarkStart w:id="6154" w:name="_Caption9199"/>
      <w:bookmarkStart w:id="6155" w:name="_Caption7267"/>
      <w:bookmarkStart w:id="6156" w:name="_Caption5839"/>
      <w:bookmarkStart w:id="6157" w:name="_Caption0525"/>
      <w:bookmarkStart w:id="6158" w:name="_Caption6694"/>
      <w:bookmarkStart w:id="6159" w:name="_Caption4581"/>
      <w:bookmarkStart w:id="6160" w:name="_Caption6343"/>
      <w:bookmarkStart w:id="6161" w:name="_Caption0820"/>
      <w:bookmarkStart w:id="6162" w:name="_Caption8031"/>
      <w:bookmarkStart w:id="6163" w:name="_Caption2033"/>
      <w:bookmarkStart w:id="6164" w:name="_Caption1154"/>
      <w:bookmarkStart w:id="6165" w:name="_Caption8670"/>
      <w:bookmarkStart w:id="6166" w:name="_Caption7663"/>
      <w:bookmarkStart w:id="6167" w:name="_Caption4630"/>
      <w:bookmarkStart w:id="6168" w:name="_Caption7559"/>
      <w:bookmarkStart w:id="6169" w:name="_Caption4233"/>
      <w:bookmarkStart w:id="6170" w:name="_Caption6934"/>
      <w:bookmarkStart w:id="6171" w:name="_Caption9327"/>
      <w:bookmarkStart w:id="6172" w:name="_Caption2359"/>
      <w:bookmarkStart w:id="6173" w:name="_Caption8946"/>
      <w:bookmarkStart w:id="6174" w:name="_Caption7803"/>
      <w:bookmarkStart w:id="6175" w:name="_Caption1788"/>
      <w:bookmarkStart w:id="6176" w:name="_Caption1792"/>
      <w:bookmarkStart w:id="6177" w:name="_Caption3694"/>
      <w:bookmarkStart w:id="6178" w:name="_Caption8749"/>
      <w:bookmarkStart w:id="6179" w:name="_Caption8474"/>
      <w:bookmarkStart w:id="6180" w:name="_Caption4659"/>
      <w:bookmarkStart w:id="6181" w:name="_Caption1675"/>
      <w:bookmarkStart w:id="6182" w:name="_Caption2115"/>
      <w:bookmarkStart w:id="6183" w:name="_Caption9639"/>
      <w:bookmarkStart w:id="6184" w:name="_Caption9906"/>
      <w:bookmarkStart w:id="6185" w:name="_Caption6586"/>
      <w:bookmarkStart w:id="6186" w:name="_Caption1514"/>
      <w:bookmarkStart w:id="6187" w:name="_Toc499545268"/>
      <w:bookmarkStart w:id="6188" w:name="_Toc499847071"/>
      <w:bookmarkStart w:id="6189" w:name="_Toc505120681"/>
      <w:bookmarkStart w:id="6190" w:name="_Toc509220883"/>
      <w:bookmarkStart w:id="6191" w:name="_Toc529869985"/>
      <w:bookmarkStart w:id="6192" w:name="_Toc530748481"/>
      <w:r w:rsidR="00EA42ED">
        <w:rPr>
          <w:noProof/>
        </w:rPr>
        <w:t>E</w:t>
      </w:r>
      <w:r w:rsidR="00EA42ED" w:rsidRPr="00D00F02">
        <w:rPr>
          <w:noProof/>
        </w:rPr>
        <w:t>.6</w:t>
      </w:r>
      <w:bookmarkStart w:id="6193" w:name="_Toc507523834"/>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r w:rsidRPr="00D00F02">
        <w:fldChar w:fldCharType="end"/>
      </w:r>
      <w:r w:rsidRPr="00D00F02">
        <w:tab/>
        <w:t>Increase in floor area per person</w:t>
      </w:r>
      <w:bookmarkEnd w:id="6187"/>
      <w:bookmarkEnd w:id="6188"/>
      <w:bookmarkEnd w:id="6189"/>
      <w:bookmarkEnd w:id="6190"/>
      <w:bookmarkEnd w:id="6191"/>
      <w:bookmarkEnd w:id="6192"/>
      <w:bookmarkEnd w:id="6193"/>
    </w:p>
    <w:p w:rsidR="00612FD3" w:rsidRDefault="00612FD3" w:rsidP="00612FD3">
      <w:pPr>
        <w:pStyle w:val="Source"/>
      </w:pPr>
      <w:r w:rsidRPr="006763A9">
        <w:rPr>
          <w:noProof/>
          <w:lang w:eastAsia="en-AU"/>
        </w:rPr>
        <w:drawing>
          <wp:inline distT="0" distB="0" distL="0" distR="0" wp14:anchorId="5918E81F" wp14:editId="2B8DC83A">
            <wp:extent cx="4953663" cy="2446655"/>
            <wp:effectExtent l="0" t="0" r="0" b="0"/>
            <wp:docPr id="50" name="Picture 50" descr="The chart shows gradual increase in commercial building floor area per person from 14.5 square metre in 2018 to 15.6 square metre in 2048, with an annual growth rate less than 0.3 per cent." title="Increase in floor area per pers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64">
                      <a:extLst>
                        <a:ext uri="{28A0092B-C50C-407E-A947-70E740481C1C}">
                          <a14:useLocalDpi xmlns:a14="http://schemas.microsoft.com/office/drawing/2010/main" val="0"/>
                        </a:ext>
                      </a:extLst>
                    </a:blip>
                    <a:srcRect r="1664"/>
                    <a:stretch/>
                  </pic:blipFill>
                  <pic:spPr bwMode="auto">
                    <a:xfrm>
                      <a:off x="0" y="0"/>
                      <a:ext cx="4953663" cy="2446655"/>
                    </a:xfrm>
                    <a:prstGeom prst="rect">
                      <a:avLst/>
                    </a:prstGeom>
                    <a:solidFill>
                      <a:schemeClr val="bg2"/>
                    </a:solidFill>
                    <a:ln>
                      <a:noFill/>
                    </a:ln>
                    <a:extLst>
                      <a:ext uri="{53640926-AAD7-44D8-BBD7-CCE9431645EC}">
                        <a14:shadowObscured xmlns:a14="http://schemas.microsoft.com/office/drawing/2010/main"/>
                      </a:ext>
                    </a:extLst>
                  </pic:spPr>
                </pic:pic>
              </a:graphicData>
            </a:graphic>
          </wp:inline>
        </w:drawing>
      </w:r>
      <w:r>
        <w:rPr>
          <w:i/>
        </w:rPr>
        <w:t>Data source</w:t>
      </w:r>
      <w:r w:rsidRPr="00A67576">
        <w:rPr>
          <w:i/>
        </w:rPr>
        <w:t>:</w:t>
      </w:r>
      <w:r>
        <w:t xml:space="preserve"> CIE.</w:t>
      </w:r>
      <w:r w:rsidRPr="00E75D17">
        <w:rPr>
          <w:noProof/>
          <w:lang w:eastAsia="en-AU"/>
        </w:rPr>
        <w:t xml:space="preserve"> </w:t>
      </w:r>
    </w:p>
    <w:p w:rsidR="00612FD3" w:rsidRDefault="00612FD3" w:rsidP="00612FD3">
      <w:pPr>
        <w:pStyle w:val="Heading2"/>
        <w:numPr>
          <w:ilvl w:val="1"/>
          <w:numId w:val="5"/>
        </w:numPr>
      </w:pPr>
      <w:bookmarkStart w:id="6194" w:name="_Toc499545222"/>
      <w:bookmarkStart w:id="6195" w:name="_Toc499847020"/>
      <w:bookmarkStart w:id="6196" w:name="_Toc505120616"/>
      <w:bookmarkStart w:id="6197" w:name="_Toc507523773"/>
      <w:bookmarkStart w:id="6198" w:name="_Toc509220817"/>
      <w:bookmarkStart w:id="6199" w:name="_Toc529869879"/>
      <w:bookmarkStart w:id="6200" w:name="_Toc530748597"/>
      <w:r>
        <w:t xml:space="preserve">Estimates of net additions by </w:t>
      </w:r>
      <w:r w:rsidR="00E31EE8">
        <w:t>Climate Zone</w:t>
      </w:r>
      <w:bookmarkEnd w:id="6194"/>
      <w:bookmarkEnd w:id="6195"/>
      <w:bookmarkEnd w:id="6196"/>
      <w:bookmarkEnd w:id="6197"/>
      <w:bookmarkEnd w:id="6198"/>
      <w:bookmarkEnd w:id="6199"/>
      <w:bookmarkEnd w:id="6200"/>
    </w:p>
    <w:p w:rsidR="00612FD3" w:rsidRDefault="00612FD3" w:rsidP="00612FD3">
      <w:pPr>
        <w:pStyle w:val="BodyText"/>
      </w:pPr>
      <w:r>
        <w:t xml:space="preserve">As indicated in table E.3, population is a key driver of the </w:t>
      </w:r>
      <w:r w:rsidRPr="00910C5E">
        <w:rPr>
          <w:i/>
        </w:rPr>
        <w:t>change</w:t>
      </w:r>
      <w:r>
        <w:t xml:space="preserve"> in building stock. It is also an important driver of the distribution of commercial buildings. In general, we used population to disaggregate the building stock by </w:t>
      </w:r>
      <w:r w:rsidR="00E31EE8">
        <w:t>Climate Zone</w:t>
      </w:r>
      <w:r>
        <w:t xml:space="preserve"> due to the fact that economic activities (and commercial building additions) are concentrated in population centres and associated with population growth. In addition, the population data by area is readily available for aggregation to each </w:t>
      </w:r>
      <w:r w:rsidR="00E31EE8">
        <w:t>Climate Zone</w:t>
      </w:r>
      <w:r>
        <w:t xml:space="preserve">. </w:t>
      </w:r>
    </w:p>
    <w:p w:rsidR="00612FD3" w:rsidRDefault="00612FD3" w:rsidP="00612FD3">
      <w:pPr>
        <w:pStyle w:val="BodyText"/>
      </w:pPr>
      <w:r>
        <w:t xml:space="preserve">The CIE’s approach to estimating the spread of buildings and new additions across </w:t>
      </w:r>
      <w:r w:rsidR="00E31EE8">
        <w:t>Climate Zone</w:t>
      </w:r>
      <w:r>
        <w:t>s, over time, is as follows:</w:t>
      </w:r>
    </w:p>
    <w:p w:rsidR="00612FD3" w:rsidRDefault="00612FD3" w:rsidP="00612FD3">
      <w:pPr>
        <w:pStyle w:val="ListBullet"/>
        <w:numPr>
          <w:ilvl w:val="0"/>
          <w:numId w:val="36"/>
        </w:numPr>
      </w:pPr>
      <w:r>
        <w:t xml:space="preserve">For the estimation of the components of office buildings by </w:t>
      </w:r>
      <w:r w:rsidR="00E31EE8">
        <w:t>Climate Zone</w:t>
      </w:r>
      <w:r>
        <w:t xml:space="preserve">, the NABERS data was dissected at a suburb level and </w:t>
      </w:r>
      <w:r w:rsidR="0063390F">
        <w:t>compared</w:t>
      </w:r>
      <w:r>
        <w:t xml:space="preserve"> against the ABCB </w:t>
      </w:r>
      <w:r w:rsidR="00E31EE8">
        <w:t>Climate Zone</w:t>
      </w:r>
      <w:r>
        <w:t xml:space="preserve">s. </w:t>
      </w:r>
    </w:p>
    <w:p w:rsidR="00612FD3" w:rsidRDefault="00612FD3" w:rsidP="00612FD3">
      <w:pPr>
        <w:pStyle w:val="ListBullet2"/>
        <w:numPr>
          <w:ilvl w:val="1"/>
          <w:numId w:val="36"/>
        </w:numPr>
      </w:pPr>
      <w:r>
        <w:t xml:space="preserve">NABERS data suggests a high level of concentration of office buildings in the major cities. </w:t>
      </w:r>
    </w:p>
    <w:p w:rsidR="00612FD3" w:rsidRDefault="00612FD3" w:rsidP="00612FD3">
      <w:pPr>
        <w:pStyle w:val="ListBullet2"/>
        <w:numPr>
          <w:ilvl w:val="1"/>
          <w:numId w:val="36"/>
        </w:numPr>
      </w:pPr>
      <w:r>
        <w:t>As the NABERS data is not a requirement for buildings with a floor space of less than 2 000 m</w:t>
      </w:r>
      <w:r w:rsidRPr="009B55C8">
        <w:rPr>
          <w:vertAlign w:val="superscript"/>
        </w:rPr>
        <w:t>2</w:t>
      </w:r>
      <w:r>
        <w:t xml:space="preserve"> (and more recently 1 000 m</w:t>
      </w:r>
      <w:r w:rsidRPr="009B55C8">
        <w:rPr>
          <w:vertAlign w:val="superscript"/>
        </w:rPr>
        <w:t>2</w:t>
      </w:r>
      <w:r>
        <w:t>) by CBD program there may be some under-representation of regional areas in the database.</w:t>
      </w:r>
    </w:p>
    <w:p w:rsidR="00612FD3" w:rsidRDefault="00612FD3" w:rsidP="00612FD3">
      <w:pPr>
        <w:pStyle w:val="ListBullet"/>
        <w:numPr>
          <w:ilvl w:val="0"/>
          <w:numId w:val="36"/>
        </w:numPr>
      </w:pPr>
      <w:r>
        <w:t>For aged care residences, data on residential care places</w:t>
      </w:r>
      <w:r>
        <w:rPr>
          <w:rStyle w:val="FootnoteReference"/>
        </w:rPr>
        <w:footnoteReference w:id="125"/>
      </w:r>
      <w:r>
        <w:t xml:space="preserve"> were available by small planning area and aggregated to the total building stock. It was assumed that the rate of population growth in the above 70 years cohort was equivalent to the growth in residential care (or that the same preferences today for residential versus home care were held) and this was distributed across </w:t>
      </w:r>
      <w:r w:rsidR="00E31EE8">
        <w:t>Climate Zone</w:t>
      </w:r>
      <w:r>
        <w:t>s according to residential places in 2015.</w:t>
      </w:r>
    </w:p>
    <w:p w:rsidR="00612FD3" w:rsidRDefault="00612FD3" w:rsidP="00612FD3">
      <w:pPr>
        <w:pStyle w:val="ListBullet"/>
        <w:numPr>
          <w:ilvl w:val="0"/>
          <w:numId w:val="36"/>
        </w:numPr>
      </w:pPr>
      <w:r>
        <w:t xml:space="preserve">For warehouses, industrial property research suggests that there is a high level of concentration of investment around the major population centres. As such, new investment is assumed to be undertaken proportionate to the State/Territory share of the population in each year. </w:t>
      </w:r>
    </w:p>
    <w:p w:rsidR="00612FD3" w:rsidRDefault="00612FD3" w:rsidP="00612FD3">
      <w:pPr>
        <w:pStyle w:val="ListBullet"/>
        <w:numPr>
          <w:ilvl w:val="0"/>
          <w:numId w:val="36"/>
        </w:numPr>
      </w:pPr>
      <w:r>
        <w:t xml:space="preserve">For underground car parks, we expect that the rate of undercover car parks is significantly lower outside of the major cities (assumed to be one tenth that of the major cities) such that the </w:t>
      </w:r>
      <w:r w:rsidR="00E31EE8">
        <w:t>Climate Zone</w:t>
      </w:r>
      <w:r>
        <w:t xml:space="preserve"> disaggregation largely reflects the rate of the working age population across capital cities. </w:t>
      </w:r>
    </w:p>
    <w:p w:rsidR="00612FD3" w:rsidRDefault="00612FD3" w:rsidP="00612FD3">
      <w:pPr>
        <w:pStyle w:val="ListBullet"/>
        <w:numPr>
          <w:ilvl w:val="0"/>
          <w:numId w:val="36"/>
        </w:numPr>
      </w:pPr>
      <w:r>
        <w:t xml:space="preserve">For all other building classes, the 2011 Census data was used to dissect the residential population to determine the share of buildings in each </w:t>
      </w:r>
      <w:r w:rsidR="00E31EE8">
        <w:t>Climate Zone</w:t>
      </w:r>
      <w:r>
        <w:t xml:space="preserve">. Accounting for the differential growth of capital cities and regional population growth, within each segment the distribution of buildings was expected to be similar to the present. </w:t>
      </w:r>
    </w:p>
    <w:p w:rsidR="00612FD3" w:rsidRDefault="00612FD3" w:rsidP="00612FD3">
      <w:pPr>
        <w:pStyle w:val="BodyText"/>
      </w:pPr>
      <w:r>
        <w:t xml:space="preserve">The growth in the resident population is shown in chart E.7. It shows that the three most significant sources of population growth are from residents of </w:t>
      </w:r>
      <w:r w:rsidR="00E31EE8">
        <w:t>Climate Zone</w:t>
      </w:r>
      <w:r>
        <w:t xml:space="preserve">s 2 (which includes Brisbane), 5 (which includes most of Sydney) and 6 (including Melbourne and western Sydney). Chart E.8 reports net additions to commercial building by </w:t>
      </w:r>
      <w:r w:rsidR="00E31EE8">
        <w:t>Climate Zone</w:t>
      </w:r>
      <w:r>
        <w:t>. It can be seen that they are closely related to residential population as shown in chart E.7.</w:t>
      </w:r>
    </w:p>
    <w:p w:rsidR="00612FD3" w:rsidRPr="00D00F02" w:rsidRDefault="00612FD3" w:rsidP="00612FD3">
      <w:pPr>
        <w:pStyle w:val="Caption"/>
        <w:numPr>
          <w:ilvl w:val="0"/>
          <w:numId w:val="7"/>
        </w:numPr>
      </w:pPr>
      <w:r w:rsidRPr="00D00F02">
        <w:fldChar w:fldCharType="begin"/>
      </w:r>
      <w:r w:rsidRPr="00D00F02">
        <w:instrText xml:space="preserve"> IF 1 = 1 "</w:instrText>
      </w:r>
      <w:r w:rsidRPr="00D00F02">
        <w:fldChar w:fldCharType="begin"/>
      </w:r>
      <w:r w:rsidRPr="00D00F02">
        <w:instrText xml:space="preserve"> IF </w:instrText>
      </w:r>
      <w:r w:rsidRPr="00D00F02">
        <w:rPr>
          <w:noProof/>
        </w:rPr>
        <w:fldChar w:fldCharType="begin"/>
      </w:r>
      <w:r w:rsidRPr="00D00F02">
        <w:rPr>
          <w:noProof/>
        </w:rPr>
        <w:instrText xml:space="preserve"> STYLEREF "Heading 6" \l \n </w:instrText>
      </w:r>
      <w:r w:rsidRPr="00D00F02">
        <w:rPr>
          <w:noProof/>
        </w:rPr>
        <w:fldChar w:fldCharType="separate"/>
      </w:r>
      <w:r w:rsidR="00B833F1">
        <w:rPr>
          <w:noProof/>
        </w:rPr>
        <w:instrText>E</w:instrText>
      </w:r>
      <w:r w:rsidRPr="00D00F02">
        <w:rPr>
          <w:noProof/>
        </w:rPr>
        <w:fldChar w:fldCharType="end"/>
      </w:r>
      <w:r w:rsidRPr="00D00F02">
        <w:instrText xml:space="preserve"> = 0 "</w:instrText>
      </w:r>
      <w:r w:rsidRPr="00D00F02">
        <w:fldChar w:fldCharType="begin"/>
      </w:r>
      <w:r w:rsidRPr="00D00F02">
        <w:instrText xml:space="preserve"> IF </w:instrText>
      </w:r>
      <w:r w:rsidRPr="00D00F02">
        <w:rPr>
          <w:noProof/>
        </w:rPr>
        <w:fldChar w:fldCharType="begin"/>
      </w:r>
      <w:r w:rsidRPr="00D00F02">
        <w:rPr>
          <w:noProof/>
        </w:rPr>
        <w:instrText xml:space="preserve"> STYLEREF "Heading 1" \l \n </w:instrText>
      </w:r>
      <w:r w:rsidRPr="00D00F02">
        <w:rPr>
          <w:noProof/>
        </w:rPr>
        <w:fldChar w:fldCharType="separate"/>
      </w:r>
      <w:r w:rsidRPr="00D00F02">
        <w:rPr>
          <w:noProof/>
        </w:rPr>
        <w:instrText>1</w:instrText>
      </w:r>
      <w:r w:rsidRPr="00D00F02">
        <w:rPr>
          <w:noProof/>
        </w:rPr>
        <w:fldChar w:fldCharType="end"/>
      </w:r>
      <w:r w:rsidRPr="00D00F02">
        <w:instrText xml:space="preserve"> = 0 "" "</w:instrText>
      </w:r>
      <w:r w:rsidRPr="00D00F02">
        <w:rPr>
          <w:noProof/>
        </w:rPr>
        <w:fldChar w:fldCharType="begin"/>
      </w:r>
      <w:r w:rsidRPr="00D00F02">
        <w:rPr>
          <w:noProof/>
        </w:rPr>
        <w:instrText xml:space="preserve"> STYLEREF "Heading 1" \l \n </w:instrText>
      </w:r>
      <w:r w:rsidRPr="00D00F02">
        <w:rPr>
          <w:noProof/>
        </w:rPr>
        <w:fldChar w:fldCharType="separate"/>
      </w:r>
      <w:r w:rsidRPr="00D00F02">
        <w:rPr>
          <w:noProof/>
        </w:rPr>
        <w:instrText>1</w:instrText>
      </w:r>
      <w:r w:rsidRPr="00D00F02">
        <w:rPr>
          <w:noProof/>
        </w:rPr>
        <w:fldChar w:fldCharType="end"/>
      </w:r>
      <w:r w:rsidRPr="00D00F02">
        <w:instrText xml:space="preserve">." </w:instrText>
      </w:r>
      <w:r w:rsidRPr="00D00F02">
        <w:fldChar w:fldCharType="separate"/>
      </w:r>
      <w:r w:rsidRPr="00D00F02">
        <w:rPr>
          <w:noProof/>
        </w:rPr>
        <w:instrText>1.</w:instrText>
      </w:r>
      <w:r w:rsidRPr="00D00F02">
        <w:fldChar w:fldCharType="end"/>
      </w:r>
      <w:r w:rsidRPr="00D00F02">
        <w:instrText>" "</w:instrText>
      </w:r>
      <w:r w:rsidRPr="00D00F02">
        <w:rPr>
          <w:noProof/>
        </w:rPr>
        <w:fldChar w:fldCharType="begin"/>
      </w:r>
      <w:r w:rsidRPr="00D00F02">
        <w:rPr>
          <w:noProof/>
        </w:rPr>
        <w:instrText xml:space="preserve"> STYLEREF "Heading 6" \l \n </w:instrText>
      </w:r>
      <w:r w:rsidRPr="00D00F02">
        <w:rPr>
          <w:noProof/>
        </w:rPr>
        <w:fldChar w:fldCharType="separate"/>
      </w:r>
      <w:r w:rsidR="00B833F1">
        <w:rPr>
          <w:noProof/>
        </w:rPr>
        <w:instrText>E</w:instrText>
      </w:r>
      <w:r w:rsidRPr="00D00F02">
        <w:rPr>
          <w:noProof/>
        </w:rPr>
        <w:fldChar w:fldCharType="end"/>
      </w:r>
      <w:r w:rsidRPr="00D00F02">
        <w:instrText xml:space="preserve">." </w:instrText>
      </w:r>
      <w:r w:rsidRPr="00D00F02">
        <w:fldChar w:fldCharType="separate"/>
      </w:r>
      <w:r w:rsidR="00B833F1">
        <w:rPr>
          <w:noProof/>
        </w:rPr>
        <w:instrText>E</w:instrText>
      </w:r>
      <w:r w:rsidR="00B833F1" w:rsidRPr="00D00F02">
        <w:rPr>
          <w:noProof/>
        </w:rPr>
        <w:instrText>.</w:instrText>
      </w:r>
      <w:r w:rsidRPr="00D00F02">
        <w:fldChar w:fldCharType="end"/>
      </w:r>
      <w:r w:rsidRPr="00D00F02">
        <w:instrText xml:space="preserve">7" "" </w:instrText>
      </w:r>
      <w:r w:rsidRPr="00D00F02">
        <w:fldChar w:fldCharType="separate"/>
      </w:r>
      <w:bookmarkStart w:id="6201" w:name="_Caption3579"/>
      <w:bookmarkStart w:id="6202" w:name="_Caption9276"/>
      <w:bookmarkStart w:id="6203" w:name="_Caption8457"/>
      <w:bookmarkStart w:id="6204" w:name="_Caption5608"/>
      <w:bookmarkStart w:id="6205" w:name="_Caption6558"/>
      <w:bookmarkStart w:id="6206" w:name="_Caption2668"/>
      <w:bookmarkStart w:id="6207" w:name="_Caption3599"/>
      <w:bookmarkStart w:id="6208" w:name="_Caption6180"/>
      <w:bookmarkStart w:id="6209" w:name="_Caption9496"/>
      <w:bookmarkStart w:id="6210" w:name="_Caption9309"/>
      <w:bookmarkStart w:id="6211" w:name="_Caption6386"/>
      <w:bookmarkStart w:id="6212" w:name="_Caption7470"/>
      <w:bookmarkStart w:id="6213" w:name="_Caption3278"/>
      <w:bookmarkStart w:id="6214" w:name="_Caption8255"/>
      <w:bookmarkStart w:id="6215" w:name="_Caption0384"/>
      <w:bookmarkStart w:id="6216" w:name="_Caption3072"/>
      <w:bookmarkStart w:id="6217" w:name="_Caption8892"/>
      <w:bookmarkStart w:id="6218" w:name="_Caption0293"/>
      <w:bookmarkStart w:id="6219" w:name="_Caption6903"/>
      <w:bookmarkStart w:id="6220" w:name="_Caption5880"/>
      <w:bookmarkStart w:id="6221" w:name="_Caption7763"/>
      <w:bookmarkStart w:id="6222" w:name="_Caption9836"/>
      <w:bookmarkStart w:id="6223" w:name="_Caption0606"/>
      <w:bookmarkStart w:id="6224" w:name="_Caption3918"/>
      <w:bookmarkStart w:id="6225" w:name="_Caption3059"/>
      <w:bookmarkStart w:id="6226" w:name="_Caption1407"/>
      <w:bookmarkStart w:id="6227" w:name="_Caption6258"/>
      <w:bookmarkStart w:id="6228" w:name="_Caption0772"/>
      <w:bookmarkStart w:id="6229" w:name="_Caption3498"/>
      <w:bookmarkStart w:id="6230" w:name="_Caption3948"/>
      <w:bookmarkStart w:id="6231" w:name="_Caption4884"/>
      <w:bookmarkStart w:id="6232" w:name="_Caption5950"/>
      <w:bookmarkStart w:id="6233" w:name="_Caption2154"/>
      <w:bookmarkStart w:id="6234" w:name="_Caption0623"/>
      <w:bookmarkStart w:id="6235" w:name="_Caption7150"/>
      <w:bookmarkStart w:id="6236" w:name="_Caption2950"/>
      <w:bookmarkStart w:id="6237" w:name="_Caption2015"/>
      <w:bookmarkStart w:id="6238" w:name="_Caption3576"/>
      <w:bookmarkStart w:id="6239" w:name="_Caption0959"/>
      <w:bookmarkStart w:id="6240" w:name="_Caption4685"/>
      <w:bookmarkStart w:id="6241" w:name="_Caption2119"/>
      <w:bookmarkStart w:id="6242" w:name="_Caption5148"/>
      <w:bookmarkStart w:id="6243" w:name="_Caption2045"/>
      <w:bookmarkStart w:id="6244" w:name="_Caption2475"/>
      <w:bookmarkStart w:id="6245" w:name="_Caption0517"/>
      <w:bookmarkStart w:id="6246" w:name="_Caption9621"/>
      <w:bookmarkStart w:id="6247" w:name="_Caption1292"/>
      <w:bookmarkStart w:id="6248" w:name="_Caption9277"/>
      <w:bookmarkStart w:id="6249" w:name="_Caption9281"/>
      <w:bookmarkStart w:id="6250" w:name="_Caption7250"/>
      <w:bookmarkStart w:id="6251" w:name="_Caption7014"/>
      <w:bookmarkStart w:id="6252" w:name="_Caption5673"/>
      <w:bookmarkStart w:id="6253" w:name="_Caption5127"/>
      <w:bookmarkStart w:id="6254" w:name="_Caption8465"/>
      <w:bookmarkStart w:id="6255" w:name="_Caption4883"/>
      <w:bookmarkStart w:id="6256" w:name="_Caption4320"/>
      <w:bookmarkStart w:id="6257" w:name="_Caption2003"/>
      <w:bookmarkStart w:id="6258" w:name="_Caption1379"/>
      <w:bookmarkStart w:id="6259" w:name="_Caption3248"/>
      <w:bookmarkStart w:id="6260" w:name="_Caption2734"/>
      <w:bookmarkStart w:id="6261" w:name="_Caption8477"/>
      <w:bookmarkStart w:id="6262" w:name="_Caption6953"/>
      <w:bookmarkStart w:id="6263" w:name="_Caption2042"/>
      <w:bookmarkStart w:id="6264" w:name="_Caption6249"/>
      <w:bookmarkStart w:id="6265" w:name="_Caption1003"/>
      <w:bookmarkStart w:id="6266" w:name="_Caption0404"/>
      <w:bookmarkStart w:id="6267" w:name="_Caption2082"/>
      <w:bookmarkStart w:id="6268" w:name="_Caption3173"/>
      <w:bookmarkStart w:id="6269" w:name="_Caption6245"/>
      <w:bookmarkStart w:id="6270" w:name="_Caption5375"/>
      <w:bookmarkStart w:id="6271" w:name="_Caption5901"/>
      <w:bookmarkStart w:id="6272" w:name="_Caption5978"/>
      <w:bookmarkStart w:id="6273" w:name="_Caption4430"/>
      <w:bookmarkStart w:id="6274" w:name="_Caption8774"/>
      <w:bookmarkStart w:id="6275" w:name="_Caption9229"/>
      <w:bookmarkStart w:id="6276" w:name="_Caption3740"/>
      <w:bookmarkStart w:id="6277" w:name="_Caption3865"/>
      <w:bookmarkStart w:id="6278" w:name="_Caption7309"/>
      <w:bookmarkStart w:id="6279" w:name="_Caption7240"/>
      <w:bookmarkStart w:id="6280" w:name="_Caption5651"/>
      <w:bookmarkStart w:id="6281" w:name="_Caption6824"/>
      <w:bookmarkStart w:id="6282" w:name="_Caption2437"/>
      <w:bookmarkStart w:id="6283" w:name="_Caption8065"/>
      <w:bookmarkStart w:id="6284" w:name="_Caption5984"/>
      <w:bookmarkStart w:id="6285" w:name="_Caption4331"/>
      <w:bookmarkStart w:id="6286" w:name="_Caption9270"/>
      <w:bookmarkStart w:id="6287" w:name="_Caption8901"/>
      <w:bookmarkStart w:id="6288" w:name="_Caption2294"/>
      <w:bookmarkStart w:id="6289" w:name="_Caption3585"/>
      <w:bookmarkStart w:id="6290" w:name="_Caption7492"/>
      <w:bookmarkStart w:id="6291" w:name="_Caption6222"/>
      <w:bookmarkStart w:id="6292" w:name="_Caption1740"/>
      <w:bookmarkStart w:id="6293" w:name="_Caption6016"/>
      <w:bookmarkStart w:id="6294" w:name="_Caption6891"/>
      <w:bookmarkStart w:id="6295" w:name="_Caption4608"/>
      <w:bookmarkStart w:id="6296" w:name="_Caption4172"/>
      <w:bookmarkStart w:id="6297" w:name="_Caption8569"/>
      <w:bookmarkStart w:id="6298" w:name="_Caption5144"/>
      <w:bookmarkStart w:id="6299" w:name="_Caption3734"/>
      <w:bookmarkStart w:id="6300" w:name="_Caption6613"/>
      <w:bookmarkStart w:id="6301" w:name="_Caption1358"/>
      <w:bookmarkStart w:id="6302" w:name="_Caption4165"/>
      <w:bookmarkStart w:id="6303" w:name="_Caption5373"/>
      <w:bookmarkStart w:id="6304" w:name="_Caption4615"/>
      <w:bookmarkStart w:id="6305" w:name="_Caption7908"/>
      <w:bookmarkStart w:id="6306" w:name="_Caption3258"/>
      <w:bookmarkStart w:id="6307" w:name="_Caption8056"/>
      <w:bookmarkStart w:id="6308" w:name="_Caption7605"/>
      <w:bookmarkStart w:id="6309" w:name="_Toc499545269"/>
      <w:bookmarkStart w:id="6310" w:name="_Toc499847072"/>
      <w:bookmarkStart w:id="6311" w:name="_Toc505120682"/>
      <w:bookmarkStart w:id="6312" w:name="_Toc509220884"/>
      <w:bookmarkStart w:id="6313" w:name="_Toc529869986"/>
      <w:bookmarkStart w:id="6314" w:name="_Toc530748482"/>
      <w:r w:rsidR="00EA42ED">
        <w:rPr>
          <w:noProof/>
        </w:rPr>
        <w:t>E</w:t>
      </w:r>
      <w:r w:rsidR="00EA42ED" w:rsidRPr="00D00F02">
        <w:rPr>
          <w:noProof/>
        </w:rPr>
        <w:t>.7</w:t>
      </w:r>
      <w:bookmarkStart w:id="6315" w:name="_Toc507523835"/>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r w:rsidRPr="00D00F02">
        <w:fldChar w:fldCharType="end"/>
      </w:r>
      <w:r w:rsidRPr="00D00F02">
        <w:tab/>
        <w:t xml:space="preserve">Growth in resident population by </w:t>
      </w:r>
      <w:r w:rsidR="00E31EE8">
        <w:t>Climate Zone</w:t>
      </w:r>
      <w:bookmarkEnd w:id="6309"/>
      <w:bookmarkEnd w:id="6310"/>
      <w:bookmarkEnd w:id="6311"/>
      <w:bookmarkEnd w:id="6312"/>
      <w:bookmarkEnd w:id="6313"/>
      <w:bookmarkEnd w:id="6314"/>
      <w:bookmarkEnd w:id="6315"/>
    </w:p>
    <w:p w:rsidR="00612FD3" w:rsidRDefault="00612FD3" w:rsidP="00612FD3">
      <w:pPr>
        <w:pStyle w:val="Source"/>
      </w:pPr>
      <w:r w:rsidRPr="00CD794C">
        <w:rPr>
          <w:noProof/>
          <w:lang w:eastAsia="en-AU"/>
        </w:rPr>
        <w:drawing>
          <wp:inline distT="0" distB="0" distL="0" distR="0" wp14:anchorId="7947202D" wp14:editId="06BF545E">
            <wp:extent cx="5034915" cy="2349500"/>
            <wp:effectExtent l="0" t="0" r="0" b="0"/>
            <wp:docPr id="40" name="Picture 40" descr="The chart shows the growth in the resident population up to 2048. It shows that the three most significant sources of population growth are from residents of climate zones 2 (which includes Brisbane), 5 (which includes most of Sydney) and 6 (including Melbourne and western Sydney)." title="Growth in resident population by climate zo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34915" cy="2349500"/>
                    </a:xfrm>
                    <a:prstGeom prst="rect">
                      <a:avLst/>
                    </a:prstGeom>
                    <a:solidFill>
                      <a:schemeClr val="bg2"/>
                    </a:solidFill>
                    <a:ln>
                      <a:noFill/>
                    </a:ln>
                  </pic:spPr>
                </pic:pic>
              </a:graphicData>
            </a:graphic>
          </wp:inline>
        </w:drawing>
      </w:r>
      <w:r>
        <w:rPr>
          <w:i/>
        </w:rPr>
        <w:t>Data source</w:t>
      </w:r>
      <w:r w:rsidRPr="00A67576">
        <w:rPr>
          <w:i/>
        </w:rPr>
        <w:t>:</w:t>
      </w:r>
      <w:r>
        <w:t xml:space="preserve"> CIE.</w:t>
      </w:r>
      <w:r w:rsidRPr="00E75D17">
        <w:rPr>
          <w:noProof/>
          <w:lang w:eastAsia="en-AU"/>
        </w:rPr>
        <w:t xml:space="preserve"> </w:t>
      </w:r>
    </w:p>
    <w:p w:rsidR="00612FD3" w:rsidRPr="00D00F02" w:rsidRDefault="00612FD3" w:rsidP="00612FD3">
      <w:pPr>
        <w:pStyle w:val="Caption"/>
        <w:numPr>
          <w:ilvl w:val="0"/>
          <w:numId w:val="7"/>
        </w:numPr>
      </w:pPr>
      <w:r w:rsidRPr="00D00F02">
        <w:fldChar w:fldCharType="begin"/>
      </w:r>
      <w:r w:rsidRPr="00D00F02">
        <w:instrText xml:space="preserve"> IF 1 = 1 "</w:instrText>
      </w:r>
      <w:r w:rsidRPr="00D00F02">
        <w:fldChar w:fldCharType="begin"/>
      </w:r>
      <w:r w:rsidRPr="00D00F02">
        <w:instrText xml:space="preserve"> IF </w:instrText>
      </w:r>
      <w:r w:rsidRPr="00D00F02">
        <w:rPr>
          <w:noProof/>
        </w:rPr>
        <w:fldChar w:fldCharType="begin"/>
      </w:r>
      <w:r w:rsidRPr="00D00F02">
        <w:rPr>
          <w:noProof/>
        </w:rPr>
        <w:instrText xml:space="preserve"> STYLEREF "Heading 6" \l \n </w:instrText>
      </w:r>
      <w:r w:rsidRPr="00D00F02">
        <w:rPr>
          <w:noProof/>
        </w:rPr>
        <w:fldChar w:fldCharType="separate"/>
      </w:r>
      <w:r w:rsidR="00B833F1">
        <w:rPr>
          <w:noProof/>
        </w:rPr>
        <w:instrText>E</w:instrText>
      </w:r>
      <w:r w:rsidRPr="00D00F02">
        <w:rPr>
          <w:noProof/>
        </w:rPr>
        <w:fldChar w:fldCharType="end"/>
      </w:r>
      <w:r w:rsidRPr="00D00F02">
        <w:instrText xml:space="preserve"> = 0 "</w:instrText>
      </w:r>
      <w:r w:rsidRPr="00D00F02">
        <w:fldChar w:fldCharType="begin"/>
      </w:r>
      <w:r w:rsidRPr="00D00F02">
        <w:instrText xml:space="preserve"> IF </w:instrText>
      </w:r>
      <w:r w:rsidRPr="00D00F02">
        <w:rPr>
          <w:noProof/>
        </w:rPr>
        <w:fldChar w:fldCharType="begin"/>
      </w:r>
      <w:r w:rsidRPr="00D00F02">
        <w:rPr>
          <w:noProof/>
        </w:rPr>
        <w:instrText xml:space="preserve"> STYLEREF "Heading 1" \l \n </w:instrText>
      </w:r>
      <w:r w:rsidRPr="00D00F02">
        <w:rPr>
          <w:noProof/>
        </w:rPr>
        <w:fldChar w:fldCharType="separate"/>
      </w:r>
      <w:r w:rsidRPr="00D00F02">
        <w:rPr>
          <w:noProof/>
        </w:rPr>
        <w:instrText>1</w:instrText>
      </w:r>
      <w:r w:rsidRPr="00D00F02">
        <w:rPr>
          <w:noProof/>
        </w:rPr>
        <w:fldChar w:fldCharType="end"/>
      </w:r>
      <w:r w:rsidRPr="00D00F02">
        <w:instrText xml:space="preserve"> = 0 "" "</w:instrText>
      </w:r>
      <w:r w:rsidRPr="00D00F02">
        <w:rPr>
          <w:noProof/>
        </w:rPr>
        <w:fldChar w:fldCharType="begin"/>
      </w:r>
      <w:r w:rsidRPr="00D00F02">
        <w:rPr>
          <w:noProof/>
        </w:rPr>
        <w:instrText xml:space="preserve"> STYLEREF "Heading 1" \l \n </w:instrText>
      </w:r>
      <w:r w:rsidRPr="00D00F02">
        <w:rPr>
          <w:noProof/>
        </w:rPr>
        <w:fldChar w:fldCharType="separate"/>
      </w:r>
      <w:r w:rsidRPr="00D00F02">
        <w:rPr>
          <w:noProof/>
        </w:rPr>
        <w:instrText>1</w:instrText>
      </w:r>
      <w:r w:rsidRPr="00D00F02">
        <w:rPr>
          <w:noProof/>
        </w:rPr>
        <w:fldChar w:fldCharType="end"/>
      </w:r>
      <w:r w:rsidRPr="00D00F02">
        <w:instrText xml:space="preserve">." </w:instrText>
      </w:r>
      <w:r w:rsidRPr="00D00F02">
        <w:fldChar w:fldCharType="separate"/>
      </w:r>
      <w:r w:rsidRPr="00D00F02">
        <w:rPr>
          <w:noProof/>
        </w:rPr>
        <w:instrText>1.</w:instrText>
      </w:r>
      <w:r w:rsidRPr="00D00F02">
        <w:fldChar w:fldCharType="end"/>
      </w:r>
      <w:r w:rsidRPr="00D00F02">
        <w:instrText>" "</w:instrText>
      </w:r>
      <w:r w:rsidRPr="00D00F02">
        <w:rPr>
          <w:noProof/>
        </w:rPr>
        <w:fldChar w:fldCharType="begin"/>
      </w:r>
      <w:r w:rsidRPr="00D00F02">
        <w:rPr>
          <w:noProof/>
        </w:rPr>
        <w:instrText xml:space="preserve"> STYLEREF "Heading 6" \l \n </w:instrText>
      </w:r>
      <w:r w:rsidRPr="00D00F02">
        <w:rPr>
          <w:noProof/>
        </w:rPr>
        <w:fldChar w:fldCharType="separate"/>
      </w:r>
      <w:r w:rsidR="00B833F1">
        <w:rPr>
          <w:noProof/>
        </w:rPr>
        <w:instrText>E</w:instrText>
      </w:r>
      <w:r w:rsidRPr="00D00F02">
        <w:rPr>
          <w:noProof/>
        </w:rPr>
        <w:fldChar w:fldCharType="end"/>
      </w:r>
      <w:r w:rsidRPr="00D00F02">
        <w:instrText xml:space="preserve">." </w:instrText>
      </w:r>
      <w:r w:rsidRPr="00D00F02">
        <w:fldChar w:fldCharType="separate"/>
      </w:r>
      <w:r w:rsidR="00B833F1">
        <w:rPr>
          <w:noProof/>
        </w:rPr>
        <w:instrText>E</w:instrText>
      </w:r>
      <w:r w:rsidR="00B833F1" w:rsidRPr="00D00F02">
        <w:rPr>
          <w:noProof/>
        </w:rPr>
        <w:instrText>.</w:instrText>
      </w:r>
      <w:r w:rsidRPr="00D00F02">
        <w:fldChar w:fldCharType="end"/>
      </w:r>
      <w:r w:rsidRPr="00D00F02">
        <w:instrText xml:space="preserve">8" "" </w:instrText>
      </w:r>
      <w:r w:rsidRPr="00D00F02">
        <w:fldChar w:fldCharType="separate"/>
      </w:r>
      <w:bookmarkStart w:id="6316" w:name="_Caption9520"/>
      <w:bookmarkStart w:id="6317" w:name="_Caption5575"/>
      <w:bookmarkStart w:id="6318" w:name="_Caption0955"/>
      <w:bookmarkStart w:id="6319" w:name="_Caption3192"/>
      <w:bookmarkStart w:id="6320" w:name="_Caption6171"/>
      <w:bookmarkStart w:id="6321" w:name="_Caption2175"/>
      <w:bookmarkStart w:id="6322" w:name="_Caption1116"/>
      <w:bookmarkStart w:id="6323" w:name="_Caption6220"/>
      <w:bookmarkStart w:id="6324" w:name="_Caption7132"/>
      <w:bookmarkStart w:id="6325" w:name="_Caption5787"/>
      <w:bookmarkStart w:id="6326" w:name="_Caption3742"/>
      <w:bookmarkStart w:id="6327" w:name="_Caption9886"/>
      <w:bookmarkStart w:id="6328" w:name="_Caption6248"/>
      <w:bookmarkStart w:id="6329" w:name="_Caption8107"/>
      <w:bookmarkStart w:id="6330" w:name="_Caption1024"/>
      <w:bookmarkStart w:id="6331" w:name="_Caption7625"/>
      <w:bookmarkStart w:id="6332" w:name="_Caption8358"/>
      <w:bookmarkStart w:id="6333" w:name="_Caption6809"/>
      <w:bookmarkStart w:id="6334" w:name="_Caption5301"/>
      <w:bookmarkStart w:id="6335" w:name="_Caption2609"/>
      <w:bookmarkStart w:id="6336" w:name="_Caption6094"/>
      <w:bookmarkStart w:id="6337" w:name="_Caption6779"/>
      <w:bookmarkStart w:id="6338" w:name="_Caption9538"/>
      <w:bookmarkStart w:id="6339" w:name="_Caption4452"/>
      <w:bookmarkStart w:id="6340" w:name="_Caption9681"/>
      <w:bookmarkStart w:id="6341" w:name="_Caption2902"/>
      <w:bookmarkStart w:id="6342" w:name="_Caption6527"/>
      <w:bookmarkStart w:id="6343" w:name="_Caption3015"/>
      <w:bookmarkStart w:id="6344" w:name="_Caption8651"/>
      <w:bookmarkStart w:id="6345" w:name="_Caption7299"/>
      <w:bookmarkStart w:id="6346" w:name="_Caption0906"/>
      <w:bookmarkStart w:id="6347" w:name="_Caption7939"/>
      <w:bookmarkStart w:id="6348" w:name="_Caption5104"/>
      <w:bookmarkStart w:id="6349" w:name="_Caption9169"/>
      <w:bookmarkStart w:id="6350" w:name="_Caption0488"/>
      <w:bookmarkStart w:id="6351" w:name="_Caption9439"/>
      <w:bookmarkStart w:id="6352" w:name="_Caption9572"/>
      <w:bookmarkStart w:id="6353" w:name="_Caption6026"/>
      <w:bookmarkStart w:id="6354" w:name="_Caption4540"/>
      <w:bookmarkStart w:id="6355" w:name="_Caption1974"/>
      <w:bookmarkStart w:id="6356" w:name="_Caption5942"/>
      <w:bookmarkStart w:id="6357" w:name="_Caption1861"/>
      <w:bookmarkStart w:id="6358" w:name="_Caption6819"/>
      <w:bookmarkStart w:id="6359" w:name="_Caption5962"/>
      <w:bookmarkStart w:id="6360" w:name="_Caption6737"/>
      <w:bookmarkStart w:id="6361" w:name="_Caption3703"/>
      <w:bookmarkStart w:id="6362" w:name="_Caption8132"/>
      <w:bookmarkStart w:id="6363" w:name="_Caption7788"/>
      <w:bookmarkStart w:id="6364" w:name="_Caption5262"/>
      <w:bookmarkStart w:id="6365" w:name="_Caption1688"/>
      <w:bookmarkStart w:id="6366" w:name="_Caption6058"/>
      <w:bookmarkStart w:id="6367" w:name="_Caption6300"/>
      <w:bookmarkStart w:id="6368" w:name="_Caption7269"/>
      <w:bookmarkStart w:id="6369" w:name="_Caption8514"/>
      <w:bookmarkStart w:id="6370" w:name="_Caption5603"/>
      <w:bookmarkStart w:id="6371" w:name="_Caption4272"/>
      <w:bookmarkStart w:id="6372" w:name="_Caption2679"/>
      <w:bookmarkStart w:id="6373" w:name="_Caption9234"/>
      <w:bookmarkStart w:id="6374" w:name="_Caption3280"/>
      <w:bookmarkStart w:id="6375" w:name="_Caption4006"/>
      <w:bookmarkStart w:id="6376" w:name="_Caption5545"/>
      <w:bookmarkStart w:id="6377" w:name="_Caption1297"/>
      <w:bookmarkStart w:id="6378" w:name="_Caption8779"/>
      <w:bookmarkStart w:id="6379" w:name="_Caption9741"/>
      <w:bookmarkStart w:id="6380" w:name="_Caption3609"/>
      <w:bookmarkStart w:id="6381" w:name="_Caption8108"/>
      <w:bookmarkStart w:id="6382" w:name="_Caption5123"/>
      <w:bookmarkStart w:id="6383" w:name="_Caption7340"/>
      <w:bookmarkStart w:id="6384" w:name="_Caption8089"/>
      <w:bookmarkStart w:id="6385" w:name="_Caption5387"/>
      <w:bookmarkStart w:id="6386" w:name="_Caption4713"/>
      <w:bookmarkStart w:id="6387" w:name="_Caption0219"/>
      <w:bookmarkStart w:id="6388" w:name="_Caption8780"/>
      <w:bookmarkStart w:id="6389" w:name="_Caption8842"/>
      <w:bookmarkStart w:id="6390" w:name="_Caption7601"/>
      <w:bookmarkStart w:id="6391" w:name="_Caption3559"/>
      <w:bookmarkStart w:id="6392" w:name="_Caption6027"/>
      <w:bookmarkStart w:id="6393" w:name="_Caption9404"/>
      <w:bookmarkStart w:id="6394" w:name="_Caption8975"/>
      <w:bookmarkStart w:id="6395" w:name="_Caption2594"/>
      <w:bookmarkStart w:id="6396" w:name="_Caption0094"/>
      <w:bookmarkStart w:id="6397" w:name="_Caption7627"/>
      <w:bookmarkStart w:id="6398" w:name="_Caption2304"/>
      <w:bookmarkStart w:id="6399" w:name="_Caption7213"/>
      <w:bookmarkStart w:id="6400" w:name="_Caption9777"/>
      <w:bookmarkStart w:id="6401" w:name="_Caption4037"/>
      <w:bookmarkStart w:id="6402" w:name="_Caption5247"/>
      <w:bookmarkStart w:id="6403" w:name="_Caption7822"/>
      <w:bookmarkStart w:id="6404" w:name="_Caption3879"/>
      <w:bookmarkStart w:id="6405" w:name="_Caption7105"/>
      <w:bookmarkStart w:id="6406" w:name="_Caption5102"/>
      <w:bookmarkStart w:id="6407" w:name="_Caption2009"/>
      <w:bookmarkStart w:id="6408" w:name="_Caption3519"/>
      <w:bookmarkStart w:id="6409" w:name="_Caption0284"/>
      <w:bookmarkStart w:id="6410" w:name="_Caption4247"/>
      <w:bookmarkStart w:id="6411" w:name="_Caption5987"/>
      <w:bookmarkStart w:id="6412" w:name="_Caption6178"/>
      <w:bookmarkStart w:id="6413" w:name="_Caption3369"/>
      <w:bookmarkStart w:id="6414" w:name="_Caption1208"/>
      <w:bookmarkStart w:id="6415" w:name="_Caption0576"/>
      <w:bookmarkStart w:id="6416" w:name="_Caption0998"/>
      <w:bookmarkStart w:id="6417" w:name="_Caption8619"/>
      <w:bookmarkStart w:id="6418" w:name="_Caption8858"/>
      <w:bookmarkStart w:id="6419" w:name="_Caption7418"/>
      <w:bookmarkStart w:id="6420" w:name="_Caption9307"/>
      <w:bookmarkStart w:id="6421" w:name="_Caption8720"/>
      <w:bookmarkStart w:id="6422" w:name="_Caption1687"/>
      <w:bookmarkStart w:id="6423" w:name="_Caption0301"/>
      <w:bookmarkStart w:id="6424" w:name="_Toc499545270"/>
      <w:bookmarkStart w:id="6425" w:name="_Toc499847073"/>
      <w:bookmarkStart w:id="6426" w:name="_Toc505120683"/>
      <w:bookmarkStart w:id="6427" w:name="_Toc509220885"/>
      <w:bookmarkStart w:id="6428" w:name="_Toc529869987"/>
      <w:bookmarkStart w:id="6429" w:name="_Toc530748483"/>
      <w:r w:rsidR="00EA42ED">
        <w:rPr>
          <w:noProof/>
        </w:rPr>
        <w:t>E</w:t>
      </w:r>
      <w:r w:rsidR="00EA42ED" w:rsidRPr="00D00F02">
        <w:rPr>
          <w:noProof/>
        </w:rPr>
        <w:t>.8</w:t>
      </w:r>
      <w:bookmarkStart w:id="6430" w:name="_Toc507523836"/>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r w:rsidRPr="00D00F02">
        <w:fldChar w:fldCharType="end"/>
      </w:r>
      <w:r w:rsidRPr="00D00F02">
        <w:tab/>
        <w:t xml:space="preserve">Net additions to the commercial building stock by </w:t>
      </w:r>
      <w:r w:rsidR="00E31EE8">
        <w:t>Climate Zone</w:t>
      </w:r>
      <w:bookmarkEnd w:id="6424"/>
      <w:bookmarkEnd w:id="6425"/>
      <w:bookmarkEnd w:id="6426"/>
      <w:bookmarkEnd w:id="6427"/>
      <w:bookmarkEnd w:id="6428"/>
      <w:bookmarkEnd w:id="6429"/>
      <w:bookmarkEnd w:id="6430"/>
    </w:p>
    <w:p w:rsidR="00612FD3" w:rsidRPr="00A97BEC" w:rsidRDefault="00612FD3" w:rsidP="00612FD3">
      <w:pPr>
        <w:pStyle w:val="Note"/>
      </w:pPr>
      <w:r w:rsidRPr="006763A9">
        <w:rPr>
          <w:noProof/>
          <w:lang w:eastAsia="en-AU"/>
        </w:rPr>
        <w:drawing>
          <wp:inline distT="0" distB="0" distL="0" distR="0" wp14:anchorId="77652225" wp14:editId="7DDBEF75">
            <wp:extent cx="5037455" cy="2455545"/>
            <wp:effectExtent l="0" t="0" r="0" b="1905"/>
            <wp:docPr id="51" name="Picture 51" descr="The chart reports net additions to commercial building by climate zone. Net additions are closely related to residential population - concentraing in climate zones 2, 5 and 6." title="Net additions to the commercial building stock by climate zo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037455" cy="2455545"/>
                    </a:xfrm>
                    <a:prstGeom prst="rect">
                      <a:avLst/>
                    </a:prstGeom>
                    <a:solidFill>
                      <a:schemeClr val="bg2"/>
                    </a:solidFill>
                    <a:ln>
                      <a:noFill/>
                    </a:ln>
                  </pic:spPr>
                </pic:pic>
              </a:graphicData>
            </a:graphic>
          </wp:inline>
        </w:drawing>
      </w:r>
      <w:r w:rsidRPr="00A97BEC">
        <w:rPr>
          <w:i/>
        </w:rPr>
        <w:t xml:space="preserve">Note: </w:t>
      </w:r>
      <w:r>
        <w:rPr>
          <w:i/>
        </w:rPr>
        <w:t>Excludes refurbishments.</w:t>
      </w:r>
    </w:p>
    <w:p w:rsidR="00612FD3" w:rsidRDefault="00612FD3" w:rsidP="00612FD3">
      <w:pPr>
        <w:pStyle w:val="Source"/>
      </w:pPr>
      <w:r>
        <w:rPr>
          <w:i/>
        </w:rPr>
        <w:t>Data source</w:t>
      </w:r>
      <w:r w:rsidRPr="00A67576">
        <w:rPr>
          <w:i/>
        </w:rPr>
        <w:t>:</w:t>
      </w:r>
      <w:r>
        <w:t xml:space="preserve"> CIE.</w:t>
      </w:r>
      <w:r w:rsidRPr="00E75D17">
        <w:rPr>
          <w:noProof/>
          <w:lang w:eastAsia="en-AU"/>
        </w:rPr>
        <w:t xml:space="preserve"> </w:t>
      </w:r>
    </w:p>
    <w:p w:rsidR="00612FD3" w:rsidRDefault="00612FD3" w:rsidP="00612FD3">
      <w:pPr>
        <w:pStyle w:val="Heading2"/>
        <w:numPr>
          <w:ilvl w:val="1"/>
          <w:numId w:val="5"/>
        </w:numPr>
        <w:rPr>
          <w:lang w:eastAsia="en-US"/>
        </w:rPr>
      </w:pPr>
      <w:bookmarkStart w:id="6431" w:name="_Toc499545224"/>
      <w:bookmarkStart w:id="6432" w:name="_Toc499847022"/>
      <w:bookmarkStart w:id="6433" w:name="_Toc505120617"/>
      <w:bookmarkStart w:id="6434" w:name="_Toc507523774"/>
      <w:bookmarkStart w:id="6435" w:name="_Toc509220818"/>
      <w:bookmarkStart w:id="6436" w:name="_Toc529869880"/>
      <w:bookmarkStart w:id="6437" w:name="_Toc530748598"/>
      <w:r>
        <w:rPr>
          <w:lang w:eastAsia="en-US"/>
        </w:rPr>
        <w:t>Retired floor space</w:t>
      </w:r>
      <w:bookmarkEnd w:id="6431"/>
      <w:bookmarkEnd w:id="6432"/>
      <w:bookmarkEnd w:id="6433"/>
      <w:bookmarkEnd w:id="6434"/>
      <w:bookmarkEnd w:id="6435"/>
      <w:bookmarkEnd w:id="6436"/>
      <w:bookmarkEnd w:id="6437"/>
      <w:r>
        <w:rPr>
          <w:lang w:eastAsia="en-US"/>
        </w:rPr>
        <w:t xml:space="preserve"> </w:t>
      </w:r>
    </w:p>
    <w:p w:rsidR="00612FD3" w:rsidRDefault="00612FD3" w:rsidP="00612FD3">
      <w:pPr>
        <w:pStyle w:val="BodyText"/>
        <w:rPr>
          <w:lang w:eastAsia="en-US"/>
        </w:rPr>
      </w:pPr>
      <w:r>
        <w:rPr>
          <w:lang w:eastAsia="en-US"/>
        </w:rPr>
        <w:t xml:space="preserve">Additionally, given the estimates above relate to net floor space by building type, the rate of retirement needs to be accommodated. This refers to the end of the life time of buildings, where they may either be retired or replaced. In either case, the total new building floor space is equivalent to the ‘net additions’ plus the retired floor space. </w:t>
      </w:r>
    </w:p>
    <w:p w:rsidR="00612FD3" w:rsidRDefault="00612FD3" w:rsidP="00612FD3">
      <w:pPr>
        <w:pStyle w:val="BodyText"/>
        <w:rPr>
          <w:lang w:eastAsia="en-US"/>
        </w:rPr>
      </w:pPr>
      <w:r>
        <w:rPr>
          <w:lang w:eastAsia="en-US"/>
        </w:rPr>
        <w:t>Commercial buildings may be built to last for up to 100 years.</w:t>
      </w:r>
      <w:r>
        <w:rPr>
          <w:rStyle w:val="FootnoteReference"/>
          <w:lang w:eastAsia="en-US"/>
        </w:rPr>
        <w:footnoteReference w:id="126"/>
      </w:r>
      <w:r>
        <w:rPr>
          <w:lang w:eastAsia="en-US"/>
        </w:rPr>
        <w:t xml:space="preserve"> However, it is unlikely that this would represent the typical age of demolition of the current building stock. Skyscrapers, for instance, were constructed for a lifespan of </w:t>
      </w:r>
      <w:r w:rsidRPr="00041073">
        <w:rPr>
          <w:i/>
          <w:lang w:eastAsia="en-US"/>
        </w:rPr>
        <w:t>at least</w:t>
      </w:r>
      <w:r>
        <w:rPr>
          <w:lang w:eastAsia="en-US"/>
        </w:rPr>
        <w:t xml:space="preserve"> 50 years.</w:t>
      </w:r>
      <w:r>
        <w:rPr>
          <w:rStyle w:val="FootnoteReference"/>
          <w:lang w:eastAsia="en-US"/>
        </w:rPr>
        <w:footnoteReference w:id="127"/>
      </w:r>
      <w:r>
        <w:rPr>
          <w:lang w:eastAsia="en-US"/>
        </w:rPr>
        <w:t xml:space="preserve"> For this exercise, we assume that the average life span of a building is 70 years, and therefore the rate of retirement is 1.3 per cent of the building stock. </w:t>
      </w:r>
    </w:p>
    <w:p w:rsidR="00612FD3" w:rsidRDefault="00612FD3" w:rsidP="00612FD3">
      <w:pPr>
        <w:pStyle w:val="BodyText"/>
        <w:rPr>
          <w:lang w:eastAsia="en-US"/>
        </w:rPr>
      </w:pPr>
      <w:r>
        <w:rPr>
          <w:lang w:eastAsia="en-US"/>
        </w:rPr>
        <w:t>Importantly, this rate applies to a much smaller commercial building stock. Based on an average increase, we estimate that the building stock in 1942 or 70 years prior to 2012 was 109.3 million square metres. Accounting for the replacement of the building stock retirements are estimated to be equivalent to a 0.5 per cent rate of replacement of the 2012 building stock.</w:t>
      </w:r>
    </w:p>
    <w:p w:rsidR="00612FD3" w:rsidRDefault="00612FD3" w:rsidP="00612FD3">
      <w:pPr>
        <w:pStyle w:val="BodyText"/>
        <w:rPr>
          <w:lang w:eastAsia="en-US"/>
        </w:rPr>
      </w:pPr>
      <w:r>
        <w:rPr>
          <w:lang w:eastAsia="en-US"/>
        </w:rPr>
        <w:t>While acknowledging that different buildings are likely to have different rates of retirement, we assume a uniform replacement rate of 0.5 per cent of the building stock in the relevant time period (70 years prior) is retired each year (by floor space).</w:t>
      </w:r>
    </w:p>
    <w:p w:rsidR="00612FD3" w:rsidRDefault="00612FD3" w:rsidP="00612FD3">
      <w:pPr>
        <w:pStyle w:val="BodyText"/>
        <w:rPr>
          <w:lang w:eastAsia="en-US"/>
        </w:rPr>
      </w:pPr>
      <w:r>
        <w:rPr>
          <w:lang w:eastAsia="en-US"/>
        </w:rPr>
        <w:t xml:space="preserve">Thus, accounting for retirements means we need to increase net additions by around one third to estimate total additions. As a result, the total addition to the building stock (excluding refurbishments) each year is estimated to be approximately 2 per cent (chart E.9).  </w:t>
      </w:r>
    </w:p>
    <w:p w:rsidR="00612FD3" w:rsidRPr="00D00F02" w:rsidRDefault="00612FD3" w:rsidP="00612FD3">
      <w:pPr>
        <w:pStyle w:val="Caption"/>
        <w:numPr>
          <w:ilvl w:val="0"/>
          <w:numId w:val="7"/>
        </w:numPr>
      </w:pPr>
      <w:r w:rsidRPr="00D00F02">
        <w:fldChar w:fldCharType="begin"/>
      </w:r>
      <w:r w:rsidRPr="00D00F02">
        <w:instrText xml:space="preserve"> IF 1 = 1 "</w:instrText>
      </w:r>
      <w:r w:rsidRPr="00D00F02">
        <w:fldChar w:fldCharType="begin"/>
      </w:r>
      <w:r w:rsidRPr="00D00F02">
        <w:instrText xml:space="preserve"> IF </w:instrText>
      </w:r>
      <w:r w:rsidRPr="00D00F02">
        <w:rPr>
          <w:noProof/>
        </w:rPr>
        <w:fldChar w:fldCharType="begin"/>
      </w:r>
      <w:r w:rsidRPr="00D00F02">
        <w:rPr>
          <w:noProof/>
        </w:rPr>
        <w:instrText xml:space="preserve"> STYLEREF "Heading 6" \l \n </w:instrText>
      </w:r>
      <w:r w:rsidRPr="00D00F02">
        <w:rPr>
          <w:noProof/>
        </w:rPr>
        <w:fldChar w:fldCharType="separate"/>
      </w:r>
      <w:r w:rsidR="00B833F1">
        <w:rPr>
          <w:noProof/>
        </w:rPr>
        <w:instrText>E</w:instrText>
      </w:r>
      <w:r w:rsidRPr="00D00F02">
        <w:rPr>
          <w:noProof/>
        </w:rPr>
        <w:fldChar w:fldCharType="end"/>
      </w:r>
      <w:r w:rsidRPr="00D00F02">
        <w:instrText xml:space="preserve"> = 0 "</w:instrText>
      </w:r>
      <w:r w:rsidRPr="00D00F02">
        <w:fldChar w:fldCharType="begin"/>
      </w:r>
      <w:r w:rsidRPr="00D00F02">
        <w:instrText xml:space="preserve"> IF </w:instrText>
      </w:r>
      <w:r w:rsidRPr="00D00F02">
        <w:fldChar w:fldCharType="begin"/>
      </w:r>
      <w:r w:rsidRPr="00D00F02">
        <w:instrText xml:space="preserve"> STYLEREF "Heading 1" \l \n </w:instrText>
      </w:r>
      <w:r w:rsidRPr="00D00F02">
        <w:fldChar w:fldCharType="separate"/>
      </w:r>
      <w:r w:rsidRPr="00D00F02">
        <w:rPr>
          <w:b/>
          <w:bCs/>
          <w:noProof/>
          <w:lang w:val="en-US"/>
        </w:rPr>
        <w:instrText>Error! No text of specified style in document.</w:instrText>
      </w:r>
      <w:r w:rsidRPr="00D00F02">
        <w:rPr>
          <w:noProof/>
        </w:rPr>
        <w:fldChar w:fldCharType="end"/>
      </w:r>
      <w:r w:rsidRPr="00D00F02">
        <w:instrText xml:space="preserve"> = 0 "" "</w:instrText>
      </w:r>
      <w:r w:rsidRPr="00D00F02">
        <w:fldChar w:fldCharType="begin"/>
      </w:r>
      <w:r w:rsidRPr="00D00F02">
        <w:instrText xml:space="preserve"> STYLEREF "Heading 1" \l \n </w:instrText>
      </w:r>
      <w:r w:rsidRPr="00D00F02">
        <w:fldChar w:fldCharType="separate"/>
      </w:r>
      <w:r w:rsidRPr="00D00F02">
        <w:rPr>
          <w:b/>
          <w:bCs/>
          <w:noProof/>
          <w:lang w:val="en-US"/>
        </w:rPr>
        <w:instrText>Error! No text of specified style in document.</w:instrText>
      </w:r>
      <w:r w:rsidRPr="00D00F02">
        <w:rPr>
          <w:noProof/>
        </w:rPr>
        <w:fldChar w:fldCharType="end"/>
      </w:r>
      <w:r w:rsidRPr="00D00F02">
        <w:instrText xml:space="preserve">." </w:instrText>
      </w:r>
      <w:r w:rsidRPr="00D00F02">
        <w:fldChar w:fldCharType="separate"/>
      </w:r>
      <w:r w:rsidRPr="00D00F02">
        <w:rPr>
          <w:b/>
          <w:bCs/>
          <w:noProof/>
          <w:lang w:val="en-US"/>
        </w:rPr>
        <w:instrText>Error! No text of specified style in document.</w:instrText>
      </w:r>
      <w:r w:rsidRPr="00D00F02">
        <w:rPr>
          <w:noProof/>
        </w:rPr>
        <w:instrText>.</w:instrText>
      </w:r>
      <w:r w:rsidRPr="00D00F02">
        <w:fldChar w:fldCharType="end"/>
      </w:r>
      <w:r w:rsidRPr="00D00F02">
        <w:instrText>" "</w:instrText>
      </w:r>
      <w:r w:rsidRPr="00D00F02">
        <w:rPr>
          <w:noProof/>
        </w:rPr>
        <w:fldChar w:fldCharType="begin"/>
      </w:r>
      <w:r w:rsidRPr="00D00F02">
        <w:rPr>
          <w:noProof/>
        </w:rPr>
        <w:instrText xml:space="preserve"> STYLEREF "Heading 6" \l \n </w:instrText>
      </w:r>
      <w:r w:rsidRPr="00D00F02">
        <w:rPr>
          <w:noProof/>
        </w:rPr>
        <w:fldChar w:fldCharType="separate"/>
      </w:r>
      <w:r w:rsidR="00B833F1">
        <w:rPr>
          <w:noProof/>
        </w:rPr>
        <w:instrText>E</w:instrText>
      </w:r>
      <w:r w:rsidRPr="00D00F02">
        <w:rPr>
          <w:noProof/>
        </w:rPr>
        <w:fldChar w:fldCharType="end"/>
      </w:r>
      <w:r w:rsidRPr="00D00F02">
        <w:instrText xml:space="preserve">." </w:instrText>
      </w:r>
      <w:r w:rsidRPr="00D00F02">
        <w:fldChar w:fldCharType="separate"/>
      </w:r>
      <w:r w:rsidR="00B833F1">
        <w:rPr>
          <w:noProof/>
        </w:rPr>
        <w:instrText>E</w:instrText>
      </w:r>
      <w:r w:rsidR="00B833F1" w:rsidRPr="00D00F02">
        <w:rPr>
          <w:noProof/>
        </w:rPr>
        <w:instrText>.</w:instrText>
      </w:r>
      <w:r w:rsidRPr="00D00F02">
        <w:fldChar w:fldCharType="end"/>
      </w:r>
      <w:r w:rsidRPr="00D00F02">
        <w:instrText xml:space="preserve">9" "" </w:instrText>
      </w:r>
      <w:r w:rsidRPr="00D00F02">
        <w:fldChar w:fldCharType="separate"/>
      </w:r>
      <w:bookmarkStart w:id="6438" w:name="_Caption2817"/>
      <w:bookmarkStart w:id="6439" w:name="_Caption5428"/>
      <w:bookmarkStart w:id="6440" w:name="_Caption2580"/>
      <w:bookmarkStart w:id="6441" w:name="_Caption7516"/>
      <w:bookmarkStart w:id="6442" w:name="_Caption4035"/>
      <w:bookmarkStart w:id="6443" w:name="_Caption9917"/>
      <w:bookmarkStart w:id="6444" w:name="_Caption4295"/>
      <w:bookmarkStart w:id="6445" w:name="_Caption8544"/>
      <w:bookmarkStart w:id="6446" w:name="_Caption4355"/>
      <w:bookmarkStart w:id="6447" w:name="_Caption6936"/>
      <w:bookmarkStart w:id="6448" w:name="_Caption5583"/>
      <w:bookmarkStart w:id="6449" w:name="_Caption4670"/>
      <w:bookmarkStart w:id="6450" w:name="_Caption0454"/>
      <w:bookmarkStart w:id="6451" w:name="_Caption8575"/>
      <w:bookmarkStart w:id="6452" w:name="_Caption6792"/>
      <w:bookmarkStart w:id="6453" w:name="_Caption6623"/>
      <w:bookmarkStart w:id="6454" w:name="_Caption3547"/>
      <w:bookmarkStart w:id="6455" w:name="_Caption4046"/>
      <w:bookmarkStart w:id="6456" w:name="_Caption0107"/>
      <w:bookmarkStart w:id="6457" w:name="_Caption3998"/>
      <w:bookmarkStart w:id="6458" w:name="_Caption5947"/>
      <w:bookmarkStart w:id="6459" w:name="_Caption3295"/>
      <w:bookmarkStart w:id="6460" w:name="_Caption3184"/>
      <w:bookmarkStart w:id="6461" w:name="_Caption5505"/>
      <w:bookmarkStart w:id="6462" w:name="_Caption4569"/>
      <w:bookmarkStart w:id="6463" w:name="_Caption6173"/>
      <w:bookmarkStart w:id="6464" w:name="_Caption2041"/>
      <w:bookmarkStart w:id="6465" w:name="_Caption9129"/>
      <w:bookmarkStart w:id="6466" w:name="_Caption7531"/>
      <w:bookmarkStart w:id="6467" w:name="_Caption0356"/>
      <w:bookmarkStart w:id="6468" w:name="_Caption4512"/>
      <w:bookmarkStart w:id="6469" w:name="_Caption4628"/>
      <w:bookmarkStart w:id="6470" w:name="_Caption1516"/>
      <w:bookmarkStart w:id="6471" w:name="_Caption3649"/>
      <w:bookmarkStart w:id="6472" w:name="_Caption2624"/>
      <w:bookmarkStart w:id="6473" w:name="_Caption8964"/>
      <w:bookmarkStart w:id="6474" w:name="_Caption0313"/>
      <w:bookmarkStart w:id="6475" w:name="_Caption1765"/>
      <w:bookmarkStart w:id="6476" w:name="_Caption0767"/>
      <w:bookmarkStart w:id="6477" w:name="_Caption9943"/>
      <w:bookmarkStart w:id="6478" w:name="_Caption1415"/>
      <w:bookmarkStart w:id="6479" w:name="_Caption4570"/>
      <w:bookmarkStart w:id="6480" w:name="_Caption7156"/>
      <w:bookmarkStart w:id="6481" w:name="_Caption2744"/>
      <w:bookmarkStart w:id="6482" w:name="_Caption6247"/>
      <w:bookmarkStart w:id="6483" w:name="_Caption1556"/>
      <w:bookmarkStart w:id="6484" w:name="_Caption4696"/>
      <w:bookmarkStart w:id="6485" w:name="_Caption0397"/>
      <w:bookmarkStart w:id="6486" w:name="_Caption0779"/>
      <w:bookmarkStart w:id="6487" w:name="_Caption9189"/>
      <w:bookmarkStart w:id="6488" w:name="_Caption3808"/>
      <w:bookmarkStart w:id="6489" w:name="_Caption5053"/>
      <w:bookmarkStart w:id="6490" w:name="_Caption6698"/>
      <w:bookmarkStart w:id="6491" w:name="_Caption2759"/>
      <w:bookmarkStart w:id="6492" w:name="_Caption7345"/>
      <w:bookmarkStart w:id="6493" w:name="_Caption8301"/>
      <w:bookmarkStart w:id="6494" w:name="_Caption8129"/>
      <w:bookmarkStart w:id="6495" w:name="_Caption1048"/>
      <w:bookmarkStart w:id="6496" w:name="_Caption2931"/>
      <w:bookmarkStart w:id="6497" w:name="_Caption7691"/>
      <w:bookmarkStart w:id="6498" w:name="_Caption4036"/>
      <w:bookmarkStart w:id="6499" w:name="_Caption8355"/>
      <w:bookmarkStart w:id="6500" w:name="_Caption7079"/>
      <w:bookmarkStart w:id="6501" w:name="_Caption7266"/>
      <w:bookmarkStart w:id="6502" w:name="_Caption1300"/>
      <w:bookmarkStart w:id="6503" w:name="_Caption1700"/>
      <w:bookmarkStart w:id="6504" w:name="_Caption5214"/>
      <w:bookmarkStart w:id="6505" w:name="_Caption5596"/>
      <w:bookmarkStart w:id="6506" w:name="_Caption4293"/>
      <w:bookmarkStart w:id="6507" w:name="_Caption0330"/>
      <w:bookmarkStart w:id="6508" w:name="_Caption5620"/>
      <w:bookmarkStart w:id="6509" w:name="_Caption0317"/>
      <w:bookmarkStart w:id="6510" w:name="_Caption9987"/>
      <w:bookmarkStart w:id="6511" w:name="_Caption3403"/>
      <w:bookmarkStart w:id="6512" w:name="_Caption0340"/>
      <w:bookmarkStart w:id="6513" w:name="_Caption1610"/>
      <w:bookmarkStart w:id="6514" w:name="_Caption2820"/>
      <w:bookmarkStart w:id="6515" w:name="_Caption6153"/>
      <w:bookmarkStart w:id="6516" w:name="_Caption9245"/>
      <w:bookmarkStart w:id="6517" w:name="_Caption9110"/>
      <w:bookmarkStart w:id="6518" w:name="_Caption2938"/>
      <w:bookmarkStart w:id="6519" w:name="_Caption0785"/>
      <w:bookmarkStart w:id="6520" w:name="_Caption5981"/>
      <w:bookmarkStart w:id="6521" w:name="_Caption2599"/>
      <w:bookmarkStart w:id="6522" w:name="_Caption9707"/>
      <w:bookmarkStart w:id="6523" w:name="_Caption3351"/>
      <w:bookmarkStart w:id="6524" w:name="_Caption0050"/>
      <w:bookmarkStart w:id="6525" w:name="_Caption3064"/>
      <w:bookmarkStart w:id="6526" w:name="_Caption1931"/>
      <w:bookmarkStart w:id="6527" w:name="_Caption3560"/>
      <w:bookmarkStart w:id="6528" w:name="_Caption0336"/>
      <w:bookmarkStart w:id="6529" w:name="_Caption4038"/>
      <w:bookmarkStart w:id="6530" w:name="_Caption5294"/>
      <w:bookmarkStart w:id="6531" w:name="_Caption2947"/>
      <w:bookmarkStart w:id="6532" w:name="_Caption0015"/>
      <w:bookmarkStart w:id="6533" w:name="_Caption3958"/>
      <w:bookmarkStart w:id="6534" w:name="_Caption8300"/>
      <w:bookmarkStart w:id="6535" w:name="_Caption6908"/>
      <w:bookmarkStart w:id="6536" w:name="_Caption0033"/>
      <w:bookmarkStart w:id="6537" w:name="_Caption0296"/>
      <w:bookmarkStart w:id="6538" w:name="_Caption9503"/>
      <w:bookmarkStart w:id="6539" w:name="_Caption6376"/>
      <w:bookmarkStart w:id="6540" w:name="_Caption1984"/>
      <w:bookmarkStart w:id="6541" w:name="_Caption6243"/>
      <w:bookmarkStart w:id="6542" w:name="_Caption3554"/>
      <w:bookmarkStart w:id="6543" w:name="_Caption5815"/>
      <w:bookmarkStart w:id="6544" w:name="_Caption8693"/>
      <w:bookmarkStart w:id="6545" w:name="_Caption2117"/>
      <w:bookmarkStart w:id="6546" w:name="_Toc499545273"/>
      <w:bookmarkStart w:id="6547" w:name="_Toc499847076"/>
      <w:bookmarkStart w:id="6548" w:name="_Toc509220886"/>
      <w:bookmarkStart w:id="6549" w:name="_Toc529869988"/>
      <w:bookmarkStart w:id="6550" w:name="_Toc530748484"/>
      <w:r w:rsidR="00EA42ED">
        <w:rPr>
          <w:noProof/>
        </w:rPr>
        <w:t>E</w:t>
      </w:r>
      <w:r w:rsidR="00EA42ED" w:rsidRPr="00D00F02">
        <w:rPr>
          <w:noProof/>
        </w:rPr>
        <w:t>.9</w:t>
      </w:r>
      <w:bookmarkStart w:id="6551" w:name="_Toc5075238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r w:rsidRPr="00D00F02">
        <w:fldChar w:fldCharType="end"/>
      </w:r>
      <w:r w:rsidRPr="00D00F02">
        <w:tab/>
        <w:t>Additions as a percentage of the building stock over time</w:t>
      </w:r>
      <w:bookmarkEnd w:id="6546"/>
      <w:bookmarkEnd w:id="6547"/>
      <w:bookmarkEnd w:id="6548"/>
      <w:bookmarkEnd w:id="6549"/>
      <w:bookmarkEnd w:id="6550"/>
      <w:bookmarkEnd w:id="6551"/>
    </w:p>
    <w:p w:rsidR="00612FD3" w:rsidRPr="00A97BEC" w:rsidRDefault="00612FD3" w:rsidP="00612FD3">
      <w:pPr>
        <w:pStyle w:val="Note"/>
      </w:pPr>
      <w:r w:rsidRPr="00C004A4">
        <w:rPr>
          <w:noProof/>
          <w:lang w:eastAsia="en-AU"/>
        </w:rPr>
        <w:drawing>
          <wp:inline distT="0" distB="0" distL="0" distR="0" wp14:anchorId="797E4BD1" wp14:editId="7D2F9BEA">
            <wp:extent cx="4874150" cy="2332355"/>
            <wp:effectExtent l="0" t="0" r="3175" b="0"/>
            <wp:docPr id="45" name="Picture 45" descr="The chart shows additions as a percentage of the commercial building stock up to 2048. It will fall gradually from about 2.1 per cent in 2018 to about 1.7 per cent in 2048." title="Additions as a percentage of the building stock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67">
                      <a:extLst>
                        <a:ext uri="{28A0092B-C50C-407E-A947-70E740481C1C}">
                          <a14:useLocalDpi xmlns:a14="http://schemas.microsoft.com/office/drawing/2010/main" val="0"/>
                        </a:ext>
                      </a:extLst>
                    </a:blip>
                    <a:srcRect r="3193"/>
                    <a:stretch/>
                  </pic:blipFill>
                  <pic:spPr bwMode="auto">
                    <a:xfrm>
                      <a:off x="0" y="0"/>
                      <a:ext cx="4874150" cy="2332355"/>
                    </a:xfrm>
                    <a:prstGeom prst="rect">
                      <a:avLst/>
                    </a:prstGeom>
                    <a:solidFill>
                      <a:schemeClr val="bg2"/>
                    </a:solidFill>
                    <a:ln>
                      <a:noFill/>
                    </a:ln>
                    <a:extLst>
                      <a:ext uri="{53640926-AAD7-44D8-BBD7-CCE9431645EC}">
                        <a14:shadowObscured xmlns:a14="http://schemas.microsoft.com/office/drawing/2010/main"/>
                      </a:ext>
                    </a:extLst>
                  </pic:spPr>
                </pic:pic>
              </a:graphicData>
            </a:graphic>
          </wp:inline>
        </w:drawing>
      </w:r>
      <w:r w:rsidRPr="00A97BEC">
        <w:rPr>
          <w:i/>
        </w:rPr>
        <w:t xml:space="preserve">Note: </w:t>
      </w:r>
      <w:r>
        <w:rPr>
          <w:i/>
        </w:rPr>
        <w:t>Additions equals retirements plus net additions.</w:t>
      </w:r>
    </w:p>
    <w:p w:rsidR="00612FD3" w:rsidRDefault="00612FD3" w:rsidP="00612FD3">
      <w:pPr>
        <w:pStyle w:val="Source"/>
      </w:pPr>
      <w:r>
        <w:rPr>
          <w:i/>
        </w:rPr>
        <w:t>Data source</w:t>
      </w:r>
      <w:r w:rsidRPr="00A67576">
        <w:rPr>
          <w:i/>
        </w:rPr>
        <w:t>:</w:t>
      </w:r>
      <w:r>
        <w:t xml:space="preserve"> CIE.</w:t>
      </w:r>
      <w:r w:rsidRPr="00E75D17">
        <w:rPr>
          <w:noProof/>
          <w:lang w:eastAsia="en-AU"/>
        </w:rPr>
        <w:t xml:space="preserve"> </w:t>
      </w:r>
    </w:p>
    <w:p w:rsidR="00612FD3" w:rsidRDefault="00612FD3" w:rsidP="00612FD3">
      <w:pPr>
        <w:pStyle w:val="Heading2"/>
        <w:numPr>
          <w:ilvl w:val="1"/>
          <w:numId w:val="5"/>
        </w:numPr>
        <w:rPr>
          <w:lang w:eastAsia="en-US"/>
        </w:rPr>
      </w:pPr>
      <w:bookmarkStart w:id="6552" w:name="_Toc499545225"/>
      <w:bookmarkStart w:id="6553" w:name="_Toc499847023"/>
      <w:bookmarkStart w:id="6554" w:name="_Toc505120618"/>
      <w:bookmarkStart w:id="6555" w:name="_Toc507523775"/>
      <w:bookmarkStart w:id="6556" w:name="_Toc509220819"/>
      <w:bookmarkStart w:id="6557" w:name="_Toc529869881"/>
      <w:bookmarkStart w:id="6558" w:name="_Toc530748599"/>
      <w:r>
        <w:rPr>
          <w:lang w:eastAsia="en-US"/>
        </w:rPr>
        <w:t>Total additions</w:t>
      </w:r>
      <w:bookmarkEnd w:id="6552"/>
      <w:bookmarkEnd w:id="6553"/>
      <w:bookmarkEnd w:id="6554"/>
      <w:bookmarkEnd w:id="6555"/>
      <w:bookmarkEnd w:id="6556"/>
      <w:bookmarkEnd w:id="6557"/>
      <w:bookmarkEnd w:id="6558"/>
    </w:p>
    <w:p w:rsidR="00612FD3" w:rsidRDefault="00612FD3" w:rsidP="00612FD3">
      <w:pPr>
        <w:pStyle w:val="BodyText"/>
        <w:rPr>
          <w:lang w:eastAsia="en-US"/>
        </w:rPr>
      </w:pPr>
      <w:r>
        <w:rPr>
          <w:lang w:eastAsia="en-US"/>
        </w:rPr>
        <w:t xml:space="preserve">Adding in ‘retirements’ to ‘net additions’, the total rate of additions across the building stock is shown in chart E.10, by building type, and chart E.11, by </w:t>
      </w:r>
      <w:r w:rsidR="00E31EE8">
        <w:rPr>
          <w:lang w:eastAsia="en-US"/>
        </w:rPr>
        <w:t>Climate Zone</w:t>
      </w:r>
      <w:r>
        <w:rPr>
          <w:lang w:eastAsia="en-US"/>
        </w:rPr>
        <w:t>. The replacement of retired buildings is assumed to be undertaken in proportion to each building type’s share of the building stock in 2012.</w:t>
      </w:r>
    </w:p>
    <w:p w:rsidR="00612FD3" w:rsidRDefault="00612FD3" w:rsidP="00612FD3">
      <w:pPr>
        <w:pStyle w:val="BodyText"/>
        <w:rPr>
          <w:lang w:eastAsia="en-US"/>
        </w:rPr>
      </w:pPr>
      <w:r>
        <w:rPr>
          <w:lang w:eastAsia="en-US"/>
        </w:rPr>
        <w:t>Over the ten year evaluation period from 2019 to 2028, the CIE projects that approximately 87 million square metres in commercial floor space may be affected by the regulations (excluding refurbishments). However, the extent to which the changes will affect different building classes will not only reflect their contribution to the annual additions but also the extent to which new stringencies will impact the building class.</w:t>
      </w:r>
    </w:p>
    <w:p w:rsidR="00612FD3" w:rsidRPr="00D00F02" w:rsidRDefault="00612FD3" w:rsidP="00612FD3">
      <w:pPr>
        <w:pStyle w:val="Caption"/>
        <w:numPr>
          <w:ilvl w:val="0"/>
          <w:numId w:val="7"/>
        </w:numPr>
      </w:pPr>
      <w:r w:rsidRPr="00D00F02">
        <w:fldChar w:fldCharType="begin"/>
      </w:r>
      <w:r w:rsidRPr="00D00F02">
        <w:instrText xml:space="preserve"> IF 1 = 1 "</w:instrText>
      </w:r>
      <w:r w:rsidRPr="00D00F02">
        <w:fldChar w:fldCharType="begin"/>
      </w:r>
      <w:r w:rsidRPr="00D00F02">
        <w:instrText xml:space="preserve"> IF </w:instrText>
      </w:r>
      <w:r w:rsidRPr="00D00F02">
        <w:rPr>
          <w:noProof/>
        </w:rPr>
        <w:fldChar w:fldCharType="begin"/>
      </w:r>
      <w:r w:rsidRPr="00D00F02">
        <w:rPr>
          <w:noProof/>
        </w:rPr>
        <w:instrText xml:space="preserve"> STYLEREF "Heading 6" \l \n </w:instrText>
      </w:r>
      <w:r w:rsidRPr="00D00F02">
        <w:rPr>
          <w:noProof/>
        </w:rPr>
        <w:fldChar w:fldCharType="separate"/>
      </w:r>
      <w:r w:rsidR="00B833F1">
        <w:rPr>
          <w:noProof/>
        </w:rPr>
        <w:instrText>E</w:instrText>
      </w:r>
      <w:r w:rsidRPr="00D00F02">
        <w:rPr>
          <w:noProof/>
        </w:rPr>
        <w:fldChar w:fldCharType="end"/>
      </w:r>
      <w:r w:rsidRPr="00D00F02">
        <w:instrText xml:space="preserve"> = 0 "</w:instrText>
      </w:r>
      <w:r w:rsidRPr="00D00F02">
        <w:fldChar w:fldCharType="begin"/>
      </w:r>
      <w:r w:rsidRPr="00D00F02">
        <w:instrText xml:space="preserve"> IF </w:instrText>
      </w:r>
      <w:r w:rsidRPr="00D00F02">
        <w:fldChar w:fldCharType="begin"/>
      </w:r>
      <w:r w:rsidRPr="00D00F02">
        <w:instrText xml:space="preserve"> STYLEREF "Heading 1" \l \n </w:instrText>
      </w:r>
      <w:r w:rsidRPr="00D00F02">
        <w:fldChar w:fldCharType="separate"/>
      </w:r>
      <w:r w:rsidRPr="00D00F02">
        <w:rPr>
          <w:b/>
          <w:bCs/>
          <w:noProof/>
          <w:lang w:val="en-US"/>
        </w:rPr>
        <w:instrText>Error! No text of specified style in document.</w:instrText>
      </w:r>
      <w:r w:rsidRPr="00D00F02">
        <w:rPr>
          <w:noProof/>
        </w:rPr>
        <w:fldChar w:fldCharType="end"/>
      </w:r>
      <w:r w:rsidRPr="00D00F02">
        <w:instrText xml:space="preserve"> = 0 "" "</w:instrText>
      </w:r>
      <w:r w:rsidRPr="00D00F02">
        <w:fldChar w:fldCharType="begin"/>
      </w:r>
      <w:r w:rsidRPr="00D00F02">
        <w:instrText xml:space="preserve"> STYLEREF "Heading 1" \l \n </w:instrText>
      </w:r>
      <w:r w:rsidRPr="00D00F02">
        <w:fldChar w:fldCharType="separate"/>
      </w:r>
      <w:r w:rsidRPr="00D00F02">
        <w:rPr>
          <w:b/>
          <w:bCs/>
          <w:noProof/>
          <w:lang w:val="en-US"/>
        </w:rPr>
        <w:instrText>Error! No text of specified style in document.</w:instrText>
      </w:r>
      <w:r w:rsidRPr="00D00F02">
        <w:rPr>
          <w:noProof/>
        </w:rPr>
        <w:fldChar w:fldCharType="end"/>
      </w:r>
      <w:r w:rsidRPr="00D00F02">
        <w:instrText xml:space="preserve">." </w:instrText>
      </w:r>
      <w:r w:rsidRPr="00D00F02">
        <w:fldChar w:fldCharType="separate"/>
      </w:r>
      <w:r w:rsidRPr="00D00F02">
        <w:rPr>
          <w:b/>
          <w:bCs/>
          <w:noProof/>
          <w:lang w:val="en-US"/>
        </w:rPr>
        <w:instrText>Error! No text of specified style in document.</w:instrText>
      </w:r>
      <w:r w:rsidRPr="00D00F02">
        <w:rPr>
          <w:noProof/>
        </w:rPr>
        <w:instrText>.</w:instrText>
      </w:r>
      <w:r w:rsidRPr="00D00F02">
        <w:fldChar w:fldCharType="end"/>
      </w:r>
      <w:r w:rsidRPr="00D00F02">
        <w:instrText>" "</w:instrText>
      </w:r>
      <w:r w:rsidRPr="00D00F02">
        <w:rPr>
          <w:noProof/>
        </w:rPr>
        <w:fldChar w:fldCharType="begin"/>
      </w:r>
      <w:r w:rsidRPr="00D00F02">
        <w:rPr>
          <w:noProof/>
        </w:rPr>
        <w:instrText xml:space="preserve"> STYLEREF "Heading 6" \l \n </w:instrText>
      </w:r>
      <w:r w:rsidRPr="00D00F02">
        <w:rPr>
          <w:noProof/>
        </w:rPr>
        <w:fldChar w:fldCharType="separate"/>
      </w:r>
      <w:r w:rsidR="00B833F1">
        <w:rPr>
          <w:noProof/>
        </w:rPr>
        <w:instrText>E</w:instrText>
      </w:r>
      <w:r w:rsidRPr="00D00F02">
        <w:rPr>
          <w:noProof/>
        </w:rPr>
        <w:fldChar w:fldCharType="end"/>
      </w:r>
      <w:r w:rsidRPr="00D00F02">
        <w:instrText xml:space="preserve">." </w:instrText>
      </w:r>
      <w:r w:rsidRPr="00D00F02">
        <w:fldChar w:fldCharType="separate"/>
      </w:r>
      <w:r w:rsidR="00B833F1">
        <w:rPr>
          <w:noProof/>
        </w:rPr>
        <w:instrText>E</w:instrText>
      </w:r>
      <w:r w:rsidR="00B833F1" w:rsidRPr="00D00F02">
        <w:rPr>
          <w:noProof/>
        </w:rPr>
        <w:instrText>.</w:instrText>
      </w:r>
      <w:r w:rsidRPr="00D00F02">
        <w:fldChar w:fldCharType="end"/>
      </w:r>
      <w:r w:rsidRPr="00D00F02">
        <w:fldChar w:fldCharType="begin"/>
      </w:r>
      <w:r w:rsidRPr="00D00F02">
        <w:instrText xml:space="preserve"> SEQ Item \* ARABIC \s </w:instrText>
      </w:r>
      <w:r w:rsidRPr="00D00F02">
        <w:fldChar w:fldCharType="begin"/>
      </w:r>
      <w:r w:rsidRPr="00D00F02">
        <w:instrText xml:space="preserve"> IF </w:instrText>
      </w:r>
      <w:r w:rsidRPr="00D00F02">
        <w:rPr>
          <w:noProof/>
        </w:rPr>
        <w:fldChar w:fldCharType="begin"/>
      </w:r>
      <w:r w:rsidRPr="00D00F02">
        <w:rPr>
          <w:noProof/>
        </w:rPr>
        <w:instrText xml:space="preserve"> STYLEREF "Heading 6" \l \n </w:instrText>
      </w:r>
      <w:r w:rsidRPr="00D00F02">
        <w:rPr>
          <w:noProof/>
        </w:rPr>
        <w:fldChar w:fldCharType="separate"/>
      </w:r>
      <w:r w:rsidR="00B833F1">
        <w:rPr>
          <w:noProof/>
        </w:rPr>
        <w:instrText>E</w:instrText>
      </w:r>
      <w:r w:rsidRPr="00D00F02">
        <w:rPr>
          <w:noProof/>
        </w:rPr>
        <w:fldChar w:fldCharType="end"/>
      </w:r>
      <w:r w:rsidRPr="00D00F02">
        <w:instrText xml:space="preserve"> = 0 "</w:instrText>
      </w:r>
      <w:r w:rsidRPr="00D00F02">
        <w:fldChar w:fldCharType="begin"/>
      </w:r>
      <w:r w:rsidRPr="00D00F02">
        <w:instrText xml:space="preserve"> IF </w:instrText>
      </w:r>
      <w:r w:rsidRPr="00D00F02">
        <w:fldChar w:fldCharType="begin"/>
      </w:r>
      <w:r w:rsidRPr="00D00F02">
        <w:instrText xml:space="preserve"> STYLEREF "Heading 1" \l \n </w:instrText>
      </w:r>
      <w:r w:rsidRPr="00D00F02">
        <w:fldChar w:fldCharType="separate"/>
      </w:r>
      <w:r w:rsidRPr="00D00F02">
        <w:rPr>
          <w:b/>
          <w:bCs/>
          <w:noProof/>
          <w:lang w:val="en-US"/>
        </w:rPr>
        <w:instrText>Error! No text of specified style in document.</w:instrText>
      </w:r>
      <w:r w:rsidRPr="00D00F02">
        <w:rPr>
          <w:noProof/>
        </w:rPr>
        <w:fldChar w:fldCharType="end"/>
      </w:r>
      <w:r w:rsidRPr="00D00F02">
        <w:instrText xml:space="preserve"> = 0 "" "1" </w:instrText>
      </w:r>
      <w:r w:rsidRPr="00D00F02">
        <w:fldChar w:fldCharType="separate"/>
      </w:r>
      <w:r w:rsidRPr="00D00F02">
        <w:rPr>
          <w:noProof/>
        </w:rPr>
        <w:instrText>1</w:instrText>
      </w:r>
      <w:r w:rsidRPr="00D00F02">
        <w:fldChar w:fldCharType="end"/>
      </w:r>
      <w:r w:rsidRPr="00D00F02">
        <w:instrText xml:space="preserve">" "6" </w:instrText>
      </w:r>
      <w:r w:rsidRPr="00D00F02">
        <w:fldChar w:fldCharType="separate"/>
      </w:r>
      <w:r w:rsidR="00B833F1" w:rsidRPr="00D00F02">
        <w:rPr>
          <w:noProof/>
        </w:rPr>
        <w:instrText>6</w:instrText>
      </w:r>
      <w:r w:rsidRPr="00D00F02">
        <w:fldChar w:fldCharType="end"/>
      </w:r>
      <w:r w:rsidRPr="00D00F02">
        <w:instrText xml:space="preserve"> </w:instrText>
      </w:r>
      <w:r w:rsidRPr="00D00F02">
        <w:fldChar w:fldCharType="separate"/>
      </w:r>
      <w:r w:rsidR="00B833F1">
        <w:rPr>
          <w:noProof/>
        </w:rPr>
        <w:instrText>1</w:instrText>
      </w:r>
      <w:r w:rsidRPr="00D00F02">
        <w:fldChar w:fldCharType="end"/>
      </w:r>
      <w:r w:rsidRPr="00D00F02">
        <w:instrText xml:space="preserve">0" "" </w:instrText>
      </w:r>
      <w:r w:rsidRPr="00D00F02">
        <w:fldChar w:fldCharType="separate"/>
      </w:r>
      <w:bookmarkStart w:id="6559" w:name="_Caption3203"/>
      <w:bookmarkStart w:id="6560" w:name="_Caption4455"/>
      <w:bookmarkStart w:id="6561" w:name="_Caption3114"/>
      <w:bookmarkStart w:id="6562" w:name="_Caption1122"/>
      <w:bookmarkStart w:id="6563" w:name="_Caption6359"/>
      <w:bookmarkStart w:id="6564" w:name="_Caption2547"/>
      <w:bookmarkStart w:id="6565" w:name="_Caption4188"/>
      <w:bookmarkStart w:id="6566" w:name="_Caption6902"/>
      <w:bookmarkStart w:id="6567" w:name="_Caption6786"/>
      <w:bookmarkStart w:id="6568" w:name="_Caption1142"/>
      <w:bookmarkStart w:id="6569" w:name="_Caption4169"/>
      <w:bookmarkStart w:id="6570" w:name="_Caption7514"/>
      <w:bookmarkStart w:id="6571" w:name="_Caption5180"/>
      <w:bookmarkStart w:id="6572" w:name="_Caption6745"/>
      <w:bookmarkStart w:id="6573" w:name="_Caption1853"/>
      <w:bookmarkStart w:id="6574" w:name="_Caption2284"/>
      <w:bookmarkStart w:id="6575" w:name="_Caption9554"/>
      <w:bookmarkStart w:id="6576" w:name="_Caption2271"/>
      <w:bookmarkStart w:id="6577" w:name="_Caption4278"/>
      <w:bookmarkStart w:id="6578" w:name="_Caption7176"/>
      <w:bookmarkStart w:id="6579" w:name="_Caption9045"/>
      <w:bookmarkStart w:id="6580" w:name="_Caption5044"/>
      <w:bookmarkStart w:id="6581" w:name="_Caption0127"/>
      <w:bookmarkStart w:id="6582" w:name="_Caption0312"/>
      <w:bookmarkStart w:id="6583" w:name="_Caption9828"/>
      <w:bookmarkStart w:id="6584" w:name="_Caption3705"/>
      <w:bookmarkStart w:id="6585" w:name="_Caption9009"/>
      <w:bookmarkStart w:id="6586" w:name="_Caption7943"/>
      <w:bookmarkStart w:id="6587" w:name="_Caption6316"/>
      <w:bookmarkStart w:id="6588" w:name="_Caption2761"/>
      <w:bookmarkStart w:id="6589" w:name="_Caption5727"/>
      <w:bookmarkStart w:id="6590" w:name="_Caption4561"/>
      <w:bookmarkStart w:id="6591" w:name="_Caption0448"/>
      <w:bookmarkStart w:id="6592" w:name="_Caption6077"/>
      <w:bookmarkStart w:id="6593" w:name="_Caption2647"/>
      <w:bookmarkStart w:id="6594" w:name="_Caption8102"/>
      <w:bookmarkStart w:id="6595" w:name="_Caption2452"/>
      <w:bookmarkStart w:id="6596" w:name="_Caption3767"/>
      <w:bookmarkStart w:id="6597" w:name="_Caption2409"/>
      <w:bookmarkStart w:id="6598" w:name="_Caption4137"/>
      <w:bookmarkStart w:id="6599" w:name="_Caption4175"/>
      <w:bookmarkStart w:id="6600" w:name="_Caption5877"/>
      <w:bookmarkStart w:id="6601" w:name="_Caption9556"/>
      <w:bookmarkStart w:id="6602" w:name="_Caption3837"/>
      <w:bookmarkStart w:id="6603" w:name="_Caption4398"/>
      <w:bookmarkStart w:id="6604" w:name="_Caption0318"/>
      <w:bookmarkStart w:id="6605" w:name="_Caption7564"/>
      <w:bookmarkStart w:id="6606" w:name="_Caption4573"/>
      <w:bookmarkStart w:id="6607" w:name="_Caption0298"/>
      <w:bookmarkStart w:id="6608" w:name="_Caption8135"/>
      <w:bookmarkStart w:id="6609" w:name="_Caption9459"/>
      <w:bookmarkStart w:id="6610" w:name="_Caption5035"/>
      <w:bookmarkStart w:id="6611" w:name="_Caption4077"/>
      <w:bookmarkStart w:id="6612" w:name="_Caption1491"/>
      <w:bookmarkStart w:id="6613" w:name="_Caption4878"/>
      <w:bookmarkStart w:id="6614" w:name="_Caption4577"/>
      <w:bookmarkStart w:id="6615" w:name="_Caption1321"/>
      <w:bookmarkStart w:id="6616" w:name="_Caption6919"/>
      <w:bookmarkStart w:id="6617" w:name="_Caption3178"/>
      <w:bookmarkStart w:id="6618" w:name="_Caption6360"/>
      <w:bookmarkStart w:id="6619" w:name="_Caption8517"/>
      <w:bookmarkStart w:id="6620" w:name="_Caption5655"/>
      <w:bookmarkStart w:id="6621" w:name="_Caption9793"/>
      <w:bookmarkStart w:id="6622" w:name="_Caption8929"/>
      <w:bookmarkStart w:id="6623" w:name="_Caption7034"/>
      <w:bookmarkStart w:id="6624" w:name="_Caption9959"/>
      <w:bookmarkStart w:id="6625" w:name="_Caption5563"/>
      <w:bookmarkStart w:id="6626" w:name="_Caption7502"/>
      <w:bookmarkStart w:id="6627" w:name="_Caption3974"/>
      <w:bookmarkStart w:id="6628" w:name="_Caption5769"/>
      <w:bookmarkStart w:id="6629" w:name="_Caption6622"/>
      <w:bookmarkStart w:id="6630" w:name="_Caption8776"/>
      <w:bookmarkStart w:id="6631" w:name="_Caption7487"/>
      <w:bookmarkStart w:id="6632" w:name="_Caption5299"/>
      <w:bookmarkStart w:id="6633" w:name="_Caption7109"/>
      <w:bookmarkStart w:id="6634" w:name="_Caption0112"/>
      <w:bookmarkStart w:id="6635" w:name="_Caption3689"/>
      <w:bookmarkStart w:id="6636" w:name="_Caption2495"/>
      <w:bookmarkStart w:id="6637" w:name="_Caption1580"/>
      <w:bookmarkStart w:id="6638" w:name="_Caption3515"/>
      <w:bookmarkStart w:id="6639" w:name="_Caption7063"/>
      <w:bookmarkStart w:id="6640" w:name="_Caption2786"/>
      <w:bookmarkStart w:id="6641" w:name="_Caption8820"/>
      <w:bookmarkStart w:id="6642" w:name="_Caption9221"/>
      <w:bookmarkStart w:id="6643" w:name="_Caption2898"/>
      <w:bookmarkStart w:id="6644" w:name="_Caption3941"/>
      <w:bookmarkStart w:id="6645" w:name="_Caption4541"/>
      <w:bookmarkStart w:id="6646" w:name="_Caption9637"/>
      <w:bookmarkStart w:id="6647" w:name="_Caption2465"/>
      <w:bookmarkStart w:id="6648" w:name="_Caption3600"/>
      <w:bookmarkStart w:id="6649" w:name="_Caption9588"/>
      <w:bookmarkStart w:id="6650" w:name="_Caption8444"/>
      <w:bookmarkStart w:id="6651" w:name="_Caption1062"/>
      <w:bookmarkStart w:id="6652" w:name="_Caption2752"/>
      <w:bookmarkStart w:id="6653" w:name="_Caption7237"/>
      <w:bookmarkStart w:id="6654" w:name="_Caption1155"/>
      <w:bookmarkStart w:id="6655" w:name="_Caption8274"/>
      <w:bookmarkStart w:id="6656" w:name="_Caption1608"/>
      <w:bookmarkStart w:id="6657" w:name="_Caption4025"/>
      <w:bookmarkStart w:id="6658" w:name="_Caption2181"/>
      <w:bookmarkStart w:id="6659" w:name="_Caption0479"/>
      <w:bookmarkStart w:id="6660" w:name="_Caption8070"/>
      <w:bookmarkStart w:id="6661" w:name="_Caption5082"/>
      <w:bookmarkStart w:id="6662" w:name="_Caption8833"/>
      <w:bookmarkStart w:id="6663" w:name="_Caption5938"/>
      <w:bookmarkStart w:id="6664" w:name="_Caption7911"/>
      <w:bookmarkStart w:id="6665" w:name="_Caption8973"/>
      <w:bookmarkStart w:id="6666" w:name="_Caption5645"/>
      <w:bookmarkStart w:id="6667" w:name="_Toc499545274"/>
      <w:bookmarkStart w:id="6668" w:name="_Toc499847077"/>
      <w:bookmarkStart w:id="6669" w:name="_Toc509220887"/>
      <w:bookmarkStart w:id="6670" w:name="_Toc529869989"/>
      <w:bookmarkStart w:id="6671" w:name="_Toc530748485"/>
      <w:r w:rsidR="00EA42ED">
        <w:rPr>
          <w:noProof/>
        </w:rPr>
        <w:t>E</w:t>
      </w:r>
      <w:r w:rsidR="00EA42ED" w:rsidRPr="00D00F02">
        <w:rPr>
          <w:noProof/>
        </w:rPr>
        <w:t>.</w:t>
      </w:r>
      <w:r w:rsidR="00EA42ED">
        <w:rPr>
          <w:noProof/>
        </w:rPr>
        <w:t>1</w:t>
      </w:r>
      <w:r w:rsidR="00EA42ED" w:rsidRPr="00D00F02">
        <w:rPr>
          <w:noProof/>
        </w:rPr>
        <w:t>0</w:t>
      </w:r>
      <w:bookmarkStart w:id="6672" w:name="_Toc50752383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r w:rsidRPr="00D00F02">
        <w:fldChar w:fldCharType="end"/>
      </w:r>
      <w:r w:rsidRPr="00D00F02">
        <w:tab/>
        <w:t>Total additions to the commercial building stock by building type (‘000 m</w:t>
      </w:r>
      <w:r w:rsidRPr="00D00F02">
        <w:rPr>
          <w:vertAlign w:val="superscript"/>
        </w:rPr>
        <w:t>2</w:t>
      </w:r>
      <w:r w:rsidRPr="00D00F02">
        <w:t>)</w:t>
      </w:r>
      <w:bookmarkEnd w:id="6667"/>
      <w:bookmarkEnd w:id="6668"/>
      <w:bookmarkEnd w:id="6669"/>
      <w:bookmarkEnd w:id="6670"/>
      <w:bookmarkEnd w:id="6671"/>
      <w:bookmarkEnd w:id="6672"/>
    </w:p>
    <w:p w:rsidR="00612FD3" w:rsidRPr="00A97BEC" w:rsidRDefault="00612FD3" w:rsidP="00612FD3">
      <w:pPr>
        <w:pStyle w:val="Note"/>
      </w:pPr>
      <w:r w:rsidRPr="00F0130F">
        <w:rPr>
          <w:noProof/>
          <w:lang w:eastAsia="en-AU"/>
        </w:rPr>
        <w:drawing>
          <wp:inline distT="0" distB="0" distL="0" distR="0" wp14:anchorId="267D5E1D" wp14:editId="32904CFC">
            <wp:extent cx="5037455" cy="2506345"/>
            <wp:effectExtent l="0" t="0" r="0" b="8255"/>
            <wp:docPr id="52" name="Picture 52" descr="The chart shows projected new commercial buildings in Australia by building class up to 2028. Total additions are net additions plus replacement for retired buildings. By 2028, there will be approximately 87 million square metres of new commercial buildings being added to total stock. Office, retail, education and warehouse buildings are " title="Total additions to the commerical building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037455" cy="2506345"/>
                    </a:xfrm>
                    <a:prstGeom prst="rect">
                      <a:avLst/>
                    </a:prstGeom>
                    <a:solidFill>
                      <a:schemeClr val="bg2"/>
                    </a:solidFill>
                    <a:ln>
                      <a:noFill/>
                    </a:ln>
                  </pic:spPr>
                </pic:pic>
              </a:graphicData>
            </a:graphic>
          </wp:inline>
        </w:drawing>
      </w:r>
      <w:r w:rsidRPr="00A97BEC">
        <w:rPr>
          <w:i/>
        </w:rPr>
        <w:t xml:space="preserve">Note: </w:t>
      </w:r>
      <w:r>
        <w:rPr>
          <w:i/>
        </w:rPr>
        <w:t>Total additions equal ‘net additions’ plus ‘retirements’.</w:t>
      </w:r>
    </w:p>
    <w:p w:rsidR="00612FD3" w:rsidRDefault="00612FD3" w:rsidP="00612FD3">
      <w:pPr>
        <w:pStyle w:val="Source"/>
      </w:pPr>
      <w:r>
        <w:rPr>
          <w:i/>
        </w:rPr>
        <w:t>Data source</w:t>
      </w:r>
      <w:r w:rsidRPr="00A67576">
        <w:rPr>
          <w:i/>
        </w:rPr>
        <w:t>:</w:t>
      </w:r>
      <w:r>
        <w:t xml:space="preserve"> CIE.</w:t>
      </w:r>
      <w:r w:rsidRPr="00E75D17">
        <w:rPr>
          <w:noProof/>
          <w:lang w:eastAsia="en-AU"/>
        </w:rPr>
        <w:t xml:space="preserve"> </w:t>
      </w:r>
    </w:p>
    <w:bookmarkStart w:id="6673" w:name="_Toc505120686"/>
    <w:p w:rsidR="00612FD3" w:rsidRPr="00D00F02" w:rsidRDefault="00612FD3" w:rsidP="00612FD3">
      <w:pPr>
        <w:pStyle w:val="Caption"/>
        <w:numPr>
          <w:ilvl w:val="0"/>
          <w:numId w:val="7"/>
        </w:numPr>
      </w:pPr>
      <w:r w:rsidRPr="00D00F02">
        <w:fldChar w:fldCharType="begin"/>
      </w:r>
      <w:r w:rsidRPr="00D00F02">
        <w:instrText xml:space="preserve"> IF 1 = 1 "</w:instrText>
      </w:r>
      <w:r w:rsidRPr="00D00F02">
        <w:fldChar w:fldCharType="begin"/>
      </w:r>
      <w:r w:rsidRPr="00D00F02">
        <w:instrText xml:space="preserve"> IF </w:instrText>
      </w:r>
      <w:r w:rsidRPr="00D00F02">
        <w:rPr>
          <w:noProof/>
        </w:rPr>
        <w:fldChar w:fldCharType="begin"/>
      </w:r>
      <w:r w:rsidRPr="00D00F02">
        <w:rPr>
          <w:noProof/>
        </w:rPr>
        <w:instrText xml:space="preserve"> STYLEREF "Heading 6" \l \n </w:instrText>
      </w:r>
      <w:r w:rsidRPr="00D00F02">
        <w:rPr>
          <w:noProof/>
        </w:rPr>
        <w:fldChar w:fldCharType="separate"/>
      </w:r>
      <w:r w:rsidR="00B833F1">
        <w:rPr>
          <w:noProof/>
        </w:rPr>
        <w:instrText>E</w:instrText>
      </w:r>
      <w:r w:rsidRPr="00D00F02">
        <w:rPr>
          <w:noProof/>
        </w:rPr>
        <w:fldChar w:fldCharType="end"/>
      </w:r>
      <w:r w:rsidRPr="00D00F02">
        <w:instrText xml:space="preserve"> = 0 "</w:instrText>
      </w:r>
      <w:r w:rsidRPr="00D00F02">
        <w:fldChar w:fldCharType="begin"/>
      </w:r>
      <w:r w:rsidRPr="00D00F02">
        <w:instrText xml:space="preserve"> IF </w:instrText>
      </w:r>
      <w:r w:rsidRPr="00D00F02">
        <w:fldChar w:fldCharType="begin"/>
      </w:r>
      <w:r w:rsidRPr="00D00F02">
        <w:instrText xml:space="preserve"> STYLEREF "Heading 1" \l \n </w:instrText>
      </w:r>
      <w:r w:rsidRPr="00D00F02">
        <w:fldChar w:fldCharType="separate"/>
      </w:r>
      <w:r w:rsidRPr="00D00F02">
        <w:rPr>
          <w:b/>
          <w:bCs/>
          <w:noProof/>
          <w:lang w:val="en-US"/>
        </w:rPr>
        <w:instrText>Error! No text of specified style in document.</w:instrText>
      </w:r>
      <w:r w:rsidRPr="00D00F02">
        <w:rPr>
          <w:noProof/>
        </w:rPr>
        <w:fldChar w:fldCharType="end"/>
      </w:r>
      <w:r w:rsidRPr="00D00F02">
        <w:instrText xml:space="preserve"> = 0 "" "</w:instrText>
      </w:r>
      <w:r w:rsidRPr="00D00F02">
        <w:fldChar w:fldCharType="begin"/>
      </w:r>
      <w:r w:rsidRPr="00D00F02">
        <w:instrText xml:space="preserve"> STYLEREF "Heading 1" \l \n </w:instrText>
      </w:r>
      <w:r w:rsidRPr="00D00F02">
        <w:fldChar w:fldCharType="separate"/>
      </w:r>
      <w:r w:rsidRPr="00D00F02">
        <w:rPr>
          <w:b/>
          <w:bCs/>
          <w:noProof/>
          <w:lang w:val="en-US"/>
        </w:rPr>
        <w:instrText>Error! No text of specified style in document.</w:instrText>
      </w:r>
      <w:r w:rsidRPr="00D00F02">
        <w:rPr>
          <w:noProof/>
        </w:rPr>
        <w:fldChar w:fldCharType="end"/>
      </w:r>
      <w:r w:rsidRPr="00D00F02">
        <w:instrText xml:space="preserve">." </w:instrText>
      </w:r>
      <w:r w:rsidRPr="00D00F02">
        <w:fldChar w:fldCharType="separate"/>
      </w:r>
      <w:r w:rsidRPr="00D00F02">
        <w:rPr>
          <w:b/>
          <w:bCs/>
          <w:noProof/>
          <w:lang w:val="en-US"/>
        </w:rPr>
        <w:instrText>Error! No text of specified style in document.</w:instrText>
      </w:r>
      <w:r w:rsidRPr="00D00F02">
        <w:rPr>
          <w:noProof/>
        </w:rPr>
        <w:instrText>.</w:instrText>
      </w:r>
      <w:r w:rsidRPr="00D00F02">
        <w:fldChar w:fldCharType="end"/>
      </w:r>
      <w:r w:rsidRPr="00D00F02">
        <w:instrText>" "</w:instrText>
      </w:r>
      <w:r w:rsidRPr="00D00F02">
        <w:rPr>
          <w:noProof/>
        </w:rPr>
        <w:fldChar w:fldCharType="begin"/>
      </w:r>
      <w:r w:rsidRPr="00D00F02">
        <w:rPr>
          <w:noProof/>
        </w:rPr>
        <w:instrText xml:space="preserve"> STYLEREF "Heading 6" \l \n </w:instrText>
      </w:r>
      <w:r w:rsidRPr="00D00F02">
        <w:rPr>
          <w:noProof/>
        </w:rPr>
        <w:fldChar w:fldCharType="separate"/>
      </w:r>
      <w:r w:rsidR="00B833F1">
        <w:rPr>
          <w:noProof/>
        </w:rPr>
        <w:instrText>E</w:instrText>
      </w:r>
      <w:r w:rsidRPr="00D00F02">
        <w:rPr>
          <w:noProof/>
        </w:rPr>
        <w:fldChar w:fldCharType="end"/>
      </w:r>
      <w:r w:rsidRPr="00D00F02">
        <w:instrText xml:space="preserve">." </w:instrText>
      </w:r>
      <w:r w:rsidRPr="00D00F02">
        <w:fldChar w:fldCharType="separate"/>
      </w:r>
      <w:r w:rsidR="00B833F1">
        <w:rPr>
          <w:noProof/>
        </w:rPr>
        <w:instrText>E</w:instrText>
      </w:r>
      <w:r w:rsidR="00B833F1" w:rsidRPr="00D00F02">
        <w:rPr>
          <w:noProof/>
        </w:rPr>
        <w:instrText>.</w:instrText>
      </w:r>
      <w:r w:rsidRPr="00D00F02">
        <w:fldChar w:fldCharType="end"/>
      </w:r>
      <w:r w:rsidRPr="00D00F02">
        <w:instrText xml:space="preserve">11" "" </w:instrText>
      </w:r>
      <w:r w:rsidRPr="00D00F02">
        <w:fldChar w:fldCharType="separate"/>
      </w:r>
      <w:bookmarkStart w:id="6674" w:name="_Caption1001"/>
      <w:bookmarkStart w:id="6675" w:name="_Caption2853"/>
      <w:bookmarkStart w:id="6676" w:name="_Caption6587"/>
      <w:bookmarkStart w:id="6677" w:name="_Caption8691"/>
      <w:bookmarkStart w:id="6678" w:name="_Caption2407"/>
      <w:bookmarkStart w:id="6679" w:name="_Caption5818"/>
      <w:bookmarkStart w:id="6680" w:name="_Caption9768"/>
      <w:bookmarkStart w:id="6681" w:name="_Caption0040"/>
      <w:bookmarkStart w:id="6682" w:name="_Caption7920"/>
      <w:bookmarkStart w:id="6683" w:name="_Caption3212"/>
      <w:bookmarkStart w:id="6684" w:name="_Caption1550"/>
      <w:bookmarkStart w:id="6685" w:name="_Caption7086"/>
      <w:bookmarkStart w:id="6686" w:name="_Caption6315"/>
      <w:bookmarkStart w:id="6687" w:name="_Caption3713"/>
      <w:bookmarkStart w:id="6688" w:name="_Caption8446"/>
      <w:bookmarkStart w:id="6689" w:name="_Caption1859"/>
      <w:bookmarkStart w:id="6690" w:name="_Caption0287"/>
      <w:bookmarkStart w:id="6691" w:name="_Caption4941"/>
      <w:bookmarkStart w:id="6692" w:name="_Caption0193"/>
      <w:bookmarkStart w:id="6693" w:name="_Caption9673"/>
      <w:bookmarkStart w:id="6694" w:name="_Caption2408"/>
      <w:bookmarkStart w:id="6695" w:name="_Caption3188"/>
      <w:bookmarkStart w:id="6696" w:name="_Caption9298"/>
      <w:bookmarkStart w:id="6697" w:name="_Caption3236"/>
      <w:bookmarkStart w:id="6698" w:name="_Caption1471"/>
      <w:bookmarkStart w:id="6699" w:name="_Caption7830"/>
      <w:bookmarkStart w:id="6700" w:name="_Caption0306"/>
      <w:bookmarkStart w:id="6701" w:name="_Caption8223"/>
      <w:bookmarkStart w:id="6702" w:name="_Caption2231"/>
      <w:bookmarkStart w:id="6703" w:name="_Caption3749"/>
      <w:bookmarkStart w:id="6704" w:name="_Caption9425"/>
      <w:bookmarkStart w:id="6705" w:name="_Caption9449"/>
      <w:bookmarkStart w:id="6706" w:name="_Caption8179"/>
      <w:bookmarkStart w:id="6707" w:name="_Caption7578"/>
      <w:bookmarkStart w:id="6708" w:name="_Caption3793"/>
      <w:bookmarkStart w:id="6709" w:name="_Caption8199"/>
      <w:bookmarkStart w:id="6710" w:name="_Caption2379"/>
      <w:bookmarkStart w:id="6711" w:name="_Caption5663"/>
      <w:bookmarkStart w:id="6712" w:name="_Caption2307"/>
      <w:bookmarkStart w:id="6713" w:name="_Caption7917"/>
      <w:bookmarkStart w:id="6714" w:name="_Caption2990"/>
      <w:bookmarkStart w:id="6715" w:name="_Caption9925"/>
      <w:bookmarkStart w:id="6716" w:name="_Caption6402"/>
      <w:bookmarkStart w:id="6717" w:name="_Caption1820"/>
      <w:bookmarkStart w:id="6718" w:name="_Caption1846"/>
      <w:bookmarkStart w:id="6719" w:name="_Caption8441"/>
      <w:bookmarkStart w:id="6720" w:name="_Caption1002"/>
      <w:bookmarkStart w:id="6721" w:name="_Caption4249"/>
      <w:bookmarkStart w:id="6722" w:name="_Caption0515"/>
      <w:bookmarkStart w:id="6723" w:name="_Caption4161"/>
      <w:bookmarkStart w:id="6724" w:name="_Caption5784"/>
      <w:bookmarkStart w:id="6725" w:name="_Caption5253"/>
      <w:bookmarkStart w:id="6726" w:name="_Caption8277"/>
      <w:bookmarkStart w:id="6727" w:name="_Caption4807"/>
      <w:bookmarkStart w:id="6728" w:name="_Caption8243"/>
      <w:bookmarkStart w:id="6729" w:name="_Caption1699"/>
      <w:bookmarkStart w:id="6730" w:name="_Caption5241"/>
      <w:bookmarkStart w:id="6731" w:name="_Caption0258"/>
      <w:bookmarkStart w:id="6732" w:name="_Caption2964"/>
      <w:bookmarkStart w:id="6733" w:name="_Caption1385"/>
      <w:bookmarkStart w:id="6734" w:name="_Caption8351"/>
      <w:bookmarkStart w:id="6735" w:name="_Caption1724"/>
      <w:bookmarkStart w:id="6736" w:name="_Caption0994"/>
      <w:bookmarkStart w:id="6737" w:name="_Caption7190"/>
      <w:bookmarkStart w:id="6738" w:name="_Caption4016"/>
      <w:bookmarkStart w:id="6739" w:name="_Caption2535"/>
      <w:bookmarkStart w:id="6740" w:name="_Caption2631"/>
      <w:bookmarkStart w:id="6741" w:name="_Caption8314"/>
      <w:bookmarkStart w:id="6742" w:name="_Caption9867"/>
      <w:bookmarkStart w:id="6743" w:name="_Caption9855"/>
      <w:bookmarkStart w:id="6744" w:name="_Caption3243"/>
      <w:bookmarkStart w:id="6745" w:name="_Caption5313"/>
      <w:bookmarkStart w:id="6746" w:name="_Caption3558"/>
      <w:bookmarkStart w:id="6747" w:name="_Caption6095"/>
      <w:bookmarkStart w:id="6748" w:name="_Caption1489"/>
      <w:bookmarkStart w:id="6749" w:name="_Caption8510"/>
      <w:bookmarkStart w:id="6750" w:name="_Caption0458"/>
      <w:bookmarkStart w:id="6751" w:name="_Caption2123"/>
      <w:bookmarkStart w:id="6752" w:name="_Caption2542"/>
      <w:bookmarkStart w:id="6753" w:name="_Caption9003"/>
      <w:bookmarkStart w:id="6754" w:name="_Caption4687"/>
      <w:bookmarkStart w:id="6755" w:name="_Caption3091"/>
      <w:bookmarkStart w:id="6756" w:name="_Caption3439"/>
      <w:bookmarkStart w:id="6757" w:name="_Caption3279"/>
      <w:bookmarkStart w:id="6758" w:name="_Caption8874"/>
      <w:bookmarkStart w:id="6759" w:name="_Caption0405"/>
      <w:bookmarkStart w:id="6760" w:name="_Caption0153"/>
      <w:bookmarkStart w:id="6761" w:name="_Caption8831"/>
      <w:bookmarkStart w:id="6762" w:name="_Caption5669"/>
      <w:bookmarkStart w:id="6763" w:name="_Caption8112"/>
      <w:bookmarkStart w:id="6764" w:name="_Caption7337"/>
      <w:bookmarkStart w:id="6765" w:name="_Caption2156"/>
      <w:bookmarkStart w:id="6766" w:name="_Caption1435"/>
      <w:bookmarkStart w:id="6767" w:name="_Caption2496"/>
      <w:bookmarkStart w:id="6768" w:name="_Caption4980"/>
      <w:bookmarkStart w:id="6769" w:name="_Caption4960"/>
      <w:bookmarkStart w:id="6770" w:name="_Caption8090"/>
      <w:bookmarkStart w:id="6771" w:name="_Caption8738"/>
      <w:bookmarkStart w:id="6772" w:name="_Caption5948"/>
      <w:bookmarkStart w:id="6773" w:name="_Caption5279"/>
      <w:bookmarkStart w:id="6774" w:name="_Caption8195"/>
      <w:bookmarkStart w:id="6775" w:name="_Caption8498"/>
      <w:bookmarkStart w:id="6776" w:name="_Caption2279"/>
      <w:bookmarkStart w:id="6777" w:name="_Caption6959"/>
      <w:bookmarkStart w:id="6778" w:name="_Caption9249"/>
      <w:bookmarkStart w:id="6779" w:name="_Caption2438"/>
      <w:bookmarkStart w:id="6780" w:name="_Caption0310"/>
      <w:bookmarkStart w:id="6781" w:name="_Caption0013"/>
      <w:bookmarkStart w:id="6782" w:name="_Toc499545275"/>
      <w:bookmarkStart w:id="6783" w:name="_Toc499847078"/>
      <w:bookmarkStart w:id="6784" w:name="_Toc509220888"/>
      <w:bookmarkStart w:id="6785" w:name="_Toc529869990"/>
      <w:bookmarkStart w:id="6786" w:name="_Toc530748486"/>
      <w:r w:rsidR="00EA42ED">
        <w:rPr>
          <w:noProof/>
        </w:rPr>
        <w:t>E</w:t>
      </w:r>
      <w:r w:rsidR="00EA42ED" w:rsidRPr="00D00F02">
        <w:rPr>
          <w:noProof/>
        </w:rPr>
        <w:t>.11</w:t>
      </w:r>
      <w:bookmarkStart w:id="6787" w:name="_Toc507523839"/>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r w:rsidRPr="00D00F02">
        <w:fldChar w:fldCharType="end"/>
      </w:r>
      <w:r w:rsidRPr="00D00F02">
        <w:tab/>
        <w:t xml:space="preserve">Total additions to the commercial building stock by </w:t>
      </w:r>
      <w:r w:rsidR="00E31EE8">
        <w:t>Climate Zone</w:t>
      </w:r>
      <w:r w:rsidRPr="00D00F02">
        <w:t xml:space="preserve"> (‘000 m</w:t>
      </w:r>
      <w:r w:rsidRPr="00D00F02">
        <w:rPr>
          <w:vertAlign w:val="superscript"/>
        </w:rPr>
        <w:t>2</w:t>
      </w:r>
      <w:r w:rsidRPr="00D00F02">
        <w:t>)</w:t>
      </w:r>
      <w:bookmarkEnd w:id="6673"/>
      <w:bookmarkEnd w:id="6782"/>
      <w:bookmarkEnd w:id="6783"/>
      <w:bookmarkEnd w:id="6784"/>
      <w:bookmarkEnd w:id="6785"/>
      <w:bookmarkEnd w:id="6786"/>
      <w:bookmarkEnd w:id="6787"/>
    </w:p>
    <w:p w:rsidR="00612FD3" w:rsidRPr="00A97BEC" w:rsidRDefault="00612FD3" w:rsidP="00612FD3">
      <w:pPr>
        <w:pStyle w:val="Note"/>
      </w:pPr>
      <w:r w:rsidRPr="00F0130F">
        <w:rPr>
          <w:noProof/>
          <w:lang w:eastAsia="en-AU"/>
        </w:rPr>
        <w:drawing>
          <wp:inline distT="0" distB="0" distL="0" distR="0" wp14:anchorId="64E64034" wp14:editId="7039F0DE">
            <wp:extent cx="5037455" cy="2497455"/>
            <wp:effectExtent l="0" t="0" r="0" b="0"/>
            <wp:docPr id="53" name="Picture 53" descr="The chart shows total additions to commercial building stock by climate zone upto 2048. Climate zones 2, 5 and 6 account most of the additions." title="Total additions to the commercial building stock by climate zone (000-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037455" cy="2497455"/>
                    </a:xfrm>
                    <a:prstGeom prst="rect">
                      <a:avLst/>
                    </a:prstGeom>
                    <a:solidFill>
                      <a:schemeClr val="bg2"/>
                    </a:solidFill>
                    <a:ln>
                      <a:noFill/>
                    </a:ln>
                  </pic:spPr>
                </pic:pic>
              </a:graphicData>
            </a:graphic>
          </wp:inline>
        </w:drawing>
      </w:r>
      <w:r w:rsidRPr="00A97BEC">
        <w:rPr>
          <w:i/>
        </w:rPr>
        <w:t xml:space="preserve">Note: </w:t>
      </w:r>
      <w:r>
        <w:rPr>
          <w:i/>
        </w:rPr>
        <w:t>Total additions equal ‘net additions’ plus ‘retirements’.</w:t>
      </w:r>
    </w:p>
    <w:p w:rsidR="00612FD3" w:rsidRDefault="00612FD3" w:rsidP="00612FD3">
      <w:pPr>
        <w:pStyle w:val="Source"/>
      </w:pPr>
      <w:r>
        <w:rPr>
          <w:i/>
        </w:rPr>
        <w:t>Data source</w:t>
      </w:r>
      <w:r w:rsidRPr="00A67576">
        <w:rPr>
          <w:i/>
        </w:rPr>
        <w:t>:</w:t>
      </w:r>
      <w:r>
        <w:t xml:space="preserve"> CIE.</w:t>
      </w:r>
      <w:r w:rsidRPr="005F7D08">
        <w:rPr>
          <w:noProof/>
          <w:lang w:eastAsia="en-AU"/>
        </w:rPr>
        <w:t xml:space="preserve"> </w:t>
      </w:r>
    </w:p>
    <w:p w:rsidR="00612FD3" w:rsidRDefault="00612FD3" w:rsidP="00612FD3">
      <w:pPr>
        <w:pStyle w:val="Heading2"/>
        <w:numPr>
          <w:ilvl w:val="1"/>
          <w:numId w:val="5"/>
        </w:numPr>
        <w:rPr>
          <w:lang w:eastAsia="en-US"/>
        </w:rPr>
      </w:pPr>
      <w:bookmarkStart w:id="6788" w:name="_Toc499545226"/>
      <w:bookmarkStart w:id="6789" w:name="_Toc499847024"/>
      <w:bookmarkStart w:id="6790" w:name="_Toc505120619"/>
      <w:bookmarkStart w:id="6791" w:name="_Toc507523776"/>
      <w:bookmarkStart w:id="6792" w:name="_Toc509220820"/>
      <w:bookmarkStart w:id="6793" w:name="_Toc529869882"/>
      <w:bookmarkStart w:id="6794" w:name="_Toc530748600"/>
      <w:r>
        <w:rPr>
          <w:lang w:eastAsia="en-US"/>
        </w:rPr>
        <w:t>Refurbishments</w:t>
      </w:r>
      <w:bookmarkEnd w:id="6788"/>
      <w:bookmarkEnd w:id="6789"/>
      <w:bookmarkEnd w:id="6790"/>
      <w:bookmarkEnd w:id="6791"/>
      <w:bookmarkEnd w:id="6792"/>
      <w:bookmarkEnd w:id="6793"/>
      <w:bookmarkEnd w:id="6794"/>
    </w:p>
    <w:p w:rsidR="00612FD3" w:rsidRDefault="00612FD3" w:rsidP="00612FD3">
      <w:pPr>
        <w:pStyle w:val="BodyText"/>
        <w:rPr>
          <w:lang w:eastAsia="en-US"/>
        </w:rPr>
      </w:pPr>
      <w:r>
        <w:rPr>
          <w:lang w:eastAsia="en-US"/>
        </w:rPr>
        <w:t xml:space="preserve">Throughout the life of a given building, it is likely to be subject to both minor and major refurbishment to improve the functionality of the building with respect to its purpose. The rate of refurbishment could be significant, estimated to range from 2.5 per cent (once every forty years) to 5 per cent (once every twenty years). </w:t>
      </w:r>
    </w:p>
    <w:p w:rsidR="00612FD3" w:rsidRDefault="00612FD3" w:rsidP="00612FD3">
      <w:pPr>
        <w:pStyle w:val="BodyText"/>
        <w:rPr>
          <w:lang w:eastAsia="en-US"/>
        </w:rPr>
      </w:pPr>
      <w:r>
        <w:rPr>
          <w:lang w:eastAsia="en-US"/>
        </w:rPr>
        <w:t>The following sources provide estimates of the rate of major refurbishment within this range:</w:t>
      </w:r>
    </w:p>
    <w:p w:rsidR="00612FD3" w:rsidRDefault="00612FD3" w:rsidP="00612FD3">
      <w:pPr>
        <w:pStyle w:val="ListBullet"/>
        <w:numPr>
          <w:ilvl w:val="0"/>
          <w:numId w:val="36"/>
        </w:numPr>
        <w:rPr>
          <w:lang w:eastAsia="en-US"/>
        </w:rPr>
      </w:pPr>
      <w:r>
        <w:rPr>
          <w:lang w:eastAsia="en-US"/>
        </w:rPr>
        <w:t xml:space="preserve">The </w:t>
      </w:r>
      <w:r>
        <w:t xml:space="preserve">Aged Care Financing Authority: </w:t>
      </w:r>
      <w:r w:rsidRPr="00E15EB4">
        <w:rPr>
          <w:i/>
        </w:rPr>
        <w:t>Annual Report on the Funding and Financing of the Aged Care Sector</w:t>
      </w:r>
      <w:r>
        <w:rPr>
          <w:i/>
        </w:rPr>
        <w:t xml:space="preserve"> </w:t>
      </w:r>
      <w:r>
        <w:t>reports that the existing stock at 2015 will include 25 per cent replacement or a rate of replacement of approximately 2.5 per cent each year.</w:t>
      </w:r>
      <w:r>
        <w:rPr>
          <w:rStyle w:val="FootnoteReference"/>
        </w:rPr>
        <w:footnoteReference w:id="128"/>
      </w:r>
    </w:p>
    <w:p w:rsidR="00612FD3" w:rsidRDefault="00612FD3" w:rsidP="00612FD3">
      <w:pPr>
        <w:pStyle w:val="ListBullet"/>
        <w:numPr>
          <w:ilvl w:val="0"/>
          <w:numId w:val="36"/>
        </w:numPr>
        <w:rPr>
          <w:lang w:eastAsia="en-US"/>
        </w:rPr>
      </w:pPr>
      <w:r>
        <w:rPr>
          <w:lang w:eastAsia="en-US"/>
        </w:rPr>
        <w:t>According to the City of Adelaide guide to building refurbishment, office buildings will generally require a major refurbishment every 20 to 25 years.</w:t>
      </w:r>
      <w:r>
        <w:rPr>
          <w:rStyle w:val="FootnoteReference"/>
          <w:lang w:eastAsia="en-US"/>
        </w:rPr>
        <w:footnoteReference w:id="129"/>
      </w:r>
    </w:p>
    <w:p w:rsidR="00612FD3" w:rsidRDefault="00612FD3" w:rsidP="00612FD3">
      <w:pPr>
        <w:pStyle w:val="ListBullet"/>
        <w:numPr>
          <w:ilvl w:val="0"/>
          <w:numId w:val="36"/>
        </w:numPr>
        <w:rPr>
          <w:lang w:eastAsia="en-US"/>
        </w:rPr>
      </w:pPr>
      <w:r>
        <w:rPr>
          <w:lang w:eastAsia="en-US"/>
        </w:rPr>
        <w:t>In Sydney, according to Jones Lang LaSalle, in 2005 the average age of commercial buildings was 28 years while the average time since construction or major refurbishment was 19 years.</w:t>
      </w:r>
      <w:r>
        <w:rPr>
          <w:rStyle w:val="FootnoteReference"/>
          <w:lang w:eastAsia="en-US"/>
        </w:rPr>
        <w:footnoteReference w:id="130"/>
      </w:r>
    </w:p>
    <w:p w:rsidR="00612FD3" w:rsidRDefault="00612FD3" w:rsidP="00612FD3">
      <w:pPr>
        <w:pStyle w:val="ListBullet"/>
        <w:numPr>
          <w:ilvl w:val="0"/>
          <w:numId w:val="36"/>
        </w:numPr>
        <w:rPr>
          <w:lang w:eastAsia="en-US"/>
        </w:rPr>
      </w:pPr>
      <w:r>
        <w:rPr>
          <w:lang w:eastAsia="en-US"/>
        </w:rPr>
        <w:t>NSW Health apply a ‘life cycle maintenance’ cost of 20-25 years for capital investment evaluation for hospitals.</w:t>
      </w:r>
      <w:r>
        <w:rPr>
          <w:rStyle w:val="FootnoteReference"/>
          <w:lang w:eastAsia="en-US"/>
        </w:rPr>
        <w:footnoteReference w:id="131"/>
      </w:r>
      <w:r>
        <w:rPr>
          <w:lang w:eastAsia="en-US"/>
        </w:rPr>
        <w:t xml:space="preserve"> </w:t>
      </w:r>
    </w:p>
    <w:p w:rsidR="00612FD3" w:rsidRDefault="00612FD3" w:rsidP="00612FD3">
      <w:pPr>
        <w:pStyle w:val="BodyText"/>
        <w:rPr>
          <w:lang w:eastAsia="en-US"/>
        </w:rPr>
      </w:pPr>
      <w:r>
        <w:rPr>
          <w:lang w:eastAsia="en-US"/>
        </w:rPr>
        <w:t xml:space="preserve">The extent to which these refurbishments would be affected by the NCC depends largely on whether refurbishments are ‘significant’. The extent of the refurbishment is a common theme across the state and territory legislation governing the requirement for building upgrades to comply with the NCC (or BCA). Typically, across each state/territory, the area of </w:t>
      </w:r>
      <w:r w:rsidRPr="00BD1418">
        <w:rPr>
          <w:i/>
          <w:lang w:eastAsia="en-US"/>
        </w:rPr>
        <w:t xml:space="preserve">major </w:t>
      </w:r>
      <w:r>
        <w:rPr>
          <w:lang w:eastAsia="en-US"/>
        </w:rPr>
        <w:t>refurbishment will be required to comply with the NCC, while non-refurbished areas would not be required to retrospectively comply with the current NCC unless the Building Certifier identifies issues around structural integrity or fire risk. This, of course, would not mean that the stringencies applied to one area of a building would not impact on the rest of the building with respect to technology and upgrades required to meet the standard in the new/refurbished building area.</w:t>
      </w:r>
    </w:p>
    <w:p w:rsidR="00612FD3" w:rsidRDefault="00612FD3" w:rsidP="00612FD3">
      <w:pPr>
        <w:pStyle w:val="BodyText"/>
        <w:rPr>
          <w:lang w:eastAsia="en-US"/>
        </w:rPr>
      </w:pPr>
      <w:r>
        <w:rPr>
          <w:lang w:eastAsia="en-US"/>
        </w:rPr>
        <w:t xml:space="preserve">Noting that the rate of refurbishment is likely to vary across building classes, we do not have sufficient information to apply different assumptions to each building class. Hence, we demonstrate the assumption applied across the commercial building stock of a modest rate of refurbishment (of 1 in 30 years) and conservative share of ‘major refurbishment’ triggering building compliance with the NCC (of one third). This assumption is also consistent with previous analysis such as pitt&amp;sherry (2015) that assumed that around one third of the area refurbished annually is upgraded to current </w:t>
      </w:r>
      <w:r w:rsidR="00EB5964">
        <w:rPr>
          <w:lang w:eastAsia="en-US"/>
        </w:rPr>
        <w:t xml:space="preserve">code </w:t>
      </w:r>
      <w:r>
        <w:rPr>
          <w:lang w:eastAsia="en-US"/>
        </w:rPr>
        <w:t>standards. The remaining two thirds is therefore assumed either not to trigger NCC compliance or related to under compliance with Section J requirements of the NCC.</w:t>
      </w:r>
      <w:r>
        <w:rPr>
          <w:rStyle w:val="FootnoteReference"/>
          <w:lang w:eastAsia="en-US"/>
        </w:rPr>
        <w:footnoteReference w:id="132"/>
      </w:r>
      <w:r>
        <w:rPr>
          <w:lang w:eastAsia="en-US"/>
        </w:rPr>
        <w:t xml:space="preserve"> That is, we estimate that around 1.1 per cent of the building stock thirty years prior, or around </w:t>
      </w:r>
      <w:r>
        <w:rPr>
          <w:b/>
          <w:lang w:eastAsia="en-US"/>
        </w:rPr>
        <w:t>0.68 </w:t>
      </w:r>
      <w:r w:rsidRPr="004667E7">
        <w:rPr>
          <w:b/>
          <w:lang w:eastAsia="en-US"/>
        </w:rPr>
        <w:t xml:space="preserve">per cent </w:t>
      </w:r>
      <w:r>
        <w:rPr>
          <w:lang w:eastAsia="en-US"/>
        </w:rPr>
        <w:t xml:space="preserve">of the existing building stock may be impacted each year.  </w:t>
      </w:r>
    </w:p>
    <w:p w:rsidR="00612FD3" w:rsidRDefault="00612FD3" w:rsidP="00612FD3">
      <w:pPr>
        <w:pStyle w:val="BodyText"/>
        <w:rPr>
          <w:lang w:eastAsia="en-US"/>
        </w:rPr>
      </w:pPr>
      <w:bookmarkStart w:id="6795" w:name="_Hlk508122300"/>
      <w:r>
        <w:rPr>
          <w:lang w:eastAsia="en-US"/>
        </w:rPr>
        <w:t xml:space="preserve">Hence, the impact of refurbishments could be significant. Using the year 2042 as an example (chart E.12), the impact in any given year or accumulatively may be similar to (net) additions. The cumulative floor area impacted in 2042 could be as much as 3.63 million square metres based on the 2019 commercial building stock. This compares to the estimated rate of total additions of 9.7 million in 2042. That is, refurbishments would represent </w:t>
      </w:r>
      <w:r>
        <w:rPr>
          <w:b/>
          <w:lang w:eastAsia="en-US"/>
        </w:rPr>
        <w:t>27</w:t>
      </w:r>
      <w:r w:rsidRPr="00D03E70">
        <w:rPr>
          <w:b/>
          <w:lang w:eastAsia="en-US"/>
        </w:rPr>
        <w:t xml:space="preserve"> per cent</w:t>
      </w:r>
      <w:r>
        <w:rPr>
          <w:lang w:eastAsia="en-US"/>
        </w:rPr>
        <w:t xml:space="preserve"> of all new floor space (total additions plus m</w:t>
      </w:r>
      <w:r w:rsidR="00063CA8">
        <w:rPr>
          <w:lang w:eastAsia="en-US"/>
        </w:rPr>
        <w:t>ajor refurbishment) complying with</w:t>
      </w:r>
      <w:r>
        <w:rPr>
          <w:lang w:eastAsia="en-US"/>
        </w:rPr>
        <w:t xml:space="preserve"> the proposed NCC 2019.</w:t>
      </w:r>
    </w:p>
    <w:bookmarkStart w:id="6796" w:name="_Toc505120687"/>
    <w:bookmarkEnd w:id="6795"/>
    <w:p w:rsidR="00612FD3" w:rsidRPr="00D00F02" w:rsidRDefault="00612FD3" w:rsidP="00612FD3">
      <w:pPr>
        <w:pStyle w:val="Caption"/>
        <w:numPr>
          <w:ilvl w:val="0"/>
          <w:numId w:val="7"/>
        </w:numPr>
      </w:pPr>
      <w:r w:rsidRPr="00D00F02">
        <w:fldChar w:fldCharType="begin"/>
      </w:r>
      <w:r w:rsidRPr="00D00F02">
        <w:instrText xml:space="preserve"> IF 1 = 1 "</w:instrText>
      </w:r>
      <w:r w:rsidRPr="00D00F02">
        <w:fldChar w:fldCharType="begin"/>
      </w:r>
      <w:r w:rsidRPr="00D00F02">
        <w:instrText xml:space="preserve"> IF </w:instrText>
      </w:r>
      <w:r w:rsidRPr="00D00F02">
        <w:rPr>
          <w:noProof/>
        </w:rPr>
        <w:fldChar w:fldCharType="begin"/>
      </w:r>
      <w:r w:rsidRPr="00D00F02">
        <w:rPr>
          <w:noProof/>
        </w:rPr>
        <w:instrText xml:space="preserve"> STYLEREF "Heading 6" \l \n </w:instrText>
      </w:r>
      <w:r w:rsidRPr="00D00F02">
        <w:rPr>
          <w:noProof/>
        </w:rPr>
        <w:fldChar w:fldCharType="separate"/>
      </w:r>
      <w:r w:rsidR="00B833F1">
        <w:rPr>
          <w:noProof/>
        </w:rPr>
        <w:instrText>E</w:instrText>
      </w:r>
      <w:r w:rsidRPr="00D00F02">
        <w:rPr>
          <w:noProof/>
        </w:rPr>
        <w:fldChar w:fldCharType="end"/>
      </w:r>
      <w:r w:rsidRPr="00D00F02">
        <w:instrText xml:space="preserve"> = 0 "</w:instrText>
      </w:r>
      <w:r w:rsidRPr="00D00F02">
        <w:fldChar w:fldCharType="begin"/>
      </w:r>
      <w:r w:rsidRPr="00D00F02">
        <w:instrText xml:space="preserve"> IF </w:instrText>
      </w:r>
      <w:r w:rsidRPr="00D00F02">
        <w:rPr>
          <w:noProof/>
        </w:rPr>
        <w:fldChar w:fldCharType="begin"/>
      </w:r>
      <w:r w:rsidRPr="00D00F02">
        <w:rPr>
          <w:noProof/>
        </w:rPr>
        <w:instrText xml:space="preserve"> STYLEREF "Heading 1" \l \n </w:instrText>
      </w:r>
      <w:r w:rsidRPr="00D00F02">
        <w:rPr>
          <w:noProof/>
        </w:rPr>
        <w:fldChar w:fldCharType="separate"/>
      </w:r>
      <w:r w:rsidRPr="00D00F02">
        <w:rPr>
          <w:noProof/>
        </w:rPr>
        <w:instrText>1</w:instrText>
      </w:r>
      <w:r w:rsidRPr="00D00F02">
        <w:rPr>
          <w:noProof/>
        </w:rPr>
        <w:fldChar w:fldCharType="end"/>
      </w:r>
      <w:r w:rsidRPr="00D00F02">
        <w:instrText xml:space="preserve"> = 0 "" "</w:instrText>
      </w:r>
      <w:r w:rsidRPr="00D00F02">
        <w:rPr>
          <w:noProof/>
        </w:rPr>
        <w:fldChar w:fldCharType="begin"/>
      </w:r>
      <w:r w:rsidRPr="00D00F02">
        <w:rPr>
          <w:noProof/>
        </w:rPr>
        <w:instrText xml:space="preserve"> STYLEREF "Heading 1" \l \n </w:instrText>
      </w:r>
      <w:r w:rsidRPr="00D00F02">
        <w:rPr>
          <w:noProof/>
        </w:rPr>
        <w:fldChar w:fldCharType="separate"/>
      </w:r>
      <w:r w:rsidRPr="00D00F02">
        <w:rPr>
          <w:noProof/>
        </w:rPr>
        <w:instrText>1</w:instrText>
      </w:r>
      <w:r w:rsidRPr="00D00F02">
        <w:rPr>
          <w:noProof/>
        </w:rPr>
        <w:fldChar w:fldCharType="end"/>
      </w:r>
      <w:r w:rsidRPr="00D00F02">
        <w:instrText xml:space="preserve">." </w:instrText>
      </w:r>
      <w:r w:rsidRPr="00D00F02">
        <w:fldChar w:fldCharType="separate"/>
      </w:r>
      <w:r w:rsidRPr="00D00F02">
        <w:rPr>
          <w:noProof/>
        </w:rPr>
        <w:instrText>1.</w:instrText>
      </w:r>
      <w:r w:rsidRPr="00D00F02">
        <w:fldChar w:fldCharType="end"/>
      </w:r>
      <w:r w:rsidRPr="00D00F02">
        <w:instrText>" "</w:instrText>
      </w:r>
      <w:r w:rsidRPr="00D00F02">
        <w:rPr>
          <w:noProof/>
        </w:rPr>
        <w:fldChar w:fldCharType="begin"/>
      </w:r>
      <w:r w:rsidRPr="00D00F02">
        <w:rPr>
          <w:noProof/>
        </w:rPr>
        <w:instrText xml:space="preserve"> STYLEREF "Heading 6" \l \n </w:instrText>
      </w:r>
      <w:r w:rsidRPr="00D00F02">
        <w:rPr>
          <w:noProof/>
        </w:rPr>
        <w:fldChar w:fldCharType="separate"/>
      </w:r>
      <w:r w:rsidR="00B833F1">
        <w:rPr>
          <w:noProof/>
        </w:rPr>
        <w:instrText>E</w:instrText>
      </w:r>
      <w:r w:rsidRPr="00D00F02">
        <w:rPr>
          <w:noProof/>
        </w:rPr>
        <w:fldChar w:fldCharType="end"/>
      </w:r>
      <w:r w:rsidRPr="00D00F02">
        <w:instrText xml:space="preserve">." </w:instrText>
      </w:r>
      <w:r w:rsidRPr="00D00F02">
        <w:fldChar w:fldCharType="separate"/>
      </w:r>
      <w:r w:rsidR="00B833F1">
        <w:rPr>
          <w:noProof/>
        </w:rPr>
        <w:instrText>E</w:instrText>
      </w:r>
      <w:r w:rsidR="00B833F1" w:rsidRPr="00D00F02">
        <w:rPr>
          <w:noProof/>
        </w:rPr>
        <w:instrText>.</w:instrText>
      </w:r>
      <w:r w:rsidRPr="00D00F02">
        <w:fldChar w:fldCharType="end"/>
      </w:r>
      <w:r w:rsidRPr="00D00F02">
        <w:instrText xml:space="preserve">12" "" </w:instrText>
      </w:r>
      <w:r w:rsidRPr="00D00F02">
        <w:fldChar w:fldCharType="separate"/>
      </w:r>
      <w:bookmarkStart w:id="6797" w:name="_Caption9829"/>
      <w:bookmarkStart w:id="6798" w:name="_Caption6721"/>
      <w:bookmarkStart w:id="6799" w:name="_Caption3021"/>
      <w:bookmarkStart w:id="6800" w:name="_Caption5531"/>
      <w:bookmarkStart w:id="6801" w:name="_Caption2701"/>
      <w:bookmarkStart w:id="6802" w:name="_Caption0058"/>
      <w:bookmarkStart w:id="6803" w:name="_Caption3027"/>
      <w:bookmarkStart w:id="6804" w:name="_Caption3645"/>
      <w:bookmarkStart w:id="6805" w:name="_Caption4564"/>
      <w:bookmarkStart w:id="6806" w:name="_Caption4347"/>
      <w:bookmarkStart w:id="6807" w:name="_Caption2685"/>
      <w:bookmarkStart w:id="6808" w:name="_Caption7753"/>
      <w:bookmarkStart w:id="6809" w:name="_Caption5154"/>
      <w:bookmarkStart w:id="6810" w:name="_Caption9698"/>
      <w:bookmarkStart w:id="6811" w:name="_Caption2826"/>
      <w:bookmarkStart w:id="6812" w:name="_Caption1991"/>
      <w:bookmarkStart w:id="6813" w:name="_Caption5267"/>
      <w:bookmarkStart w:id="6814" w:name="_Caption3028"/>
      <w:bookmarkStart w:id="6815" w:name="_Caption7136"/>
      <w:bookmarkStart w:id="6816" w:name="_Caption3331"/>
      <w:bookmarkStart w:id="6817" w:name="_Caption2942"/>
      <w:bookmarkStart w:id="6818" w:name="_Caption1427"/>
      <w:bookmarkStart w:id="6819" w:name="_Caption4440"/>
      <w:bookmarkStart w:id="6820" w:name="_Caption5710"/>
      <w:bookmarkStart w:id="6821" w:name="_Caption4502"/>
      <w:bookmarkStart w:id="6822" w:name="_Caption8110"/>
      <w:bookmarkStart w:id="6823" w:name="_Caption5794"/>
      <w:bookmarkStart w:id="6824" w:name="_Caption0039"/>
      <w:bookmarkStart w:id="6825" w:name="_Caption6518"/>
      <w:bookmarkStart w:id="6826" w:name="_Caption6699"/>
      <w:bookmarkStart w:id="6827" w:name="_Caption8331"/>
      <w:bookmarkStart w:id="6828" w:name="_Caption2053"/>
      <w:bookmarkStart w:id="6829" w:name="_Caption0422"/>
      <w:bookmarkStart w:id="6830" w:name="_Caption5287"/>
      <w:bookmarkStart w:id="6831" w:name="_Caption1278"/>
      <w:bookmarkStart w:id="6832" w:name="_Caption8828"/>
      <w:bookmarkStart w:id="6833" w:name="_Caption1428"/>
      <w:bookmarkStart w:id="6834" w:name="_Caption3063"/>
      <w:bookmarkStart w:id="6835" w:name="_Caption8221"/>
      <w:bookmarkStart w:id="6836" w:name="_Caption9235"/>
      <w:bookmarkStart w:id="6837" w:name="_Caption1025"/>
      <w:bookmarkStart w:id="6838" w:name="_Caption2808"/>
      <w:bookmarkStart w:id="6839" w:name="_Caption0122"/>
      <w:bookmarkStart w:id="6840" w:name="_Caption2094"/>
      <w:bookmarkStart w:id="6841" w:name="_Caption3841"/>
      <w:bookmarkStart w:id="6842" w:name="_Caption5050"/>
      <w:bookmarkStart w:id="6843" w:name="_Caption3458"/>
      <w:bookmarkStart w:id="6844" w:name="_Caption7654"/>
      <w:bookmarkStart w:id="6845" w:name="_Caption0505"/>
      <w:bookmarkStart w:id="6846" w:name="_Caption5413"/>
      <w:bookmarkStart w:id="6847" w:name="_Caption8574"/>
      <w:bookmarkStart w:id="6848" w:name="_Caption7715"/>
      <w:bookmarkStart w:id="6849" w:name="_Caption0860"/>
      <w:bookmarkStart w:id="6850" w:name="_Caption8405"/>
      <w:bookmarkStart w:id="6851" w:name="_Caption5494"/>
      <w:bookmarkStart w:id="6852" w:name="_Caption6681"/>
      <w:bookmarkStart w:id="6853" w:name="_Caption9414"/>
      <w:bookmarkStart w:id="6854" w:name="_Caption7749"/>
      <w:bookmarkStart w:id="6855" w:name="_Caption6530"/>
      <w:bookmarkStart w:id="6856" w:name="_Caption1161"/>
      <w:bookmarkStart w:id="6857" w:name="_Caption2676"/>
      <w:bookmarkStart w:id="6858" w:name="_Caption3411"/>
      <w:bookmarkStart w:id="6859" w:name="_Caption4379"/>
      <w:bookmarkStart w:id="6860" w:name="_Caption9081"/>
      <w:bookmarkStart w:id="6861" w:name="_Caption4875"/>
      <w:bookmarkStart w:id="6862" w:name="_Caption2639"/>
      <w:bookmarkStart w:id="6863" w:name="_Caption4053"/>
      <w:bookmarkStart w:id="6864" w:name="_Caption8220"/>
      <w:bookmarkStart w:id="6865" w:name="_Caption8466"/>
      <w:bookmarkStart w:id="6866" w:name="_Caption8250"/>
      <w:bookmarkStart w:id="6867" w:name="_Caption9761"/>
      <w:bookmarkStart w:id="6868" w:name="_Caption4535"/>
      <w:bookmarkStart w:id="6869" w:name="_Caption5207"/>
      <w:bookmarkStart w:id="6870" w:name="_Caption0911"/>
      <w:bookmarkStart w:id="6871" w:name="_Caption3662"/>
      <w:bookmarkStart w:id="6872" w:name="_Caption0660"/>
      <w:bookmarkStart w:id="6873" w:name="_Caption5765"/>
      <w:bookmarkStart w:id="6874" w:name="_Caption3338"/>
      <w:bookmarkStart w:id="6875" w:name="_Caption6277"/>
      <w:bookmarkStart w:id="6876" w:name="_Caption9883"/>
      <w:bookmarkStart w:id="6877" w:name="_Caption3711"/>
      <w:bookmarkStart w:id="6878" w:name="_Caption2182"/>
      <w:bookmarkStart w:id="6879" w:name="_Caption9894"/>
      <w:bookmarkStart w:id="6880" w:name="_Caption9546"/>
      <w:bookmarkStart w:id="6881" w:name="_Caption0173"/>
      <w:bookmarkStart w:id="6882" w:name="_Caption6837"/>
      <w:bookmarkStart w:id="6883" w:name="_Caption3641"/>
      <w:bookmarkStart w:id="6884" w:name="_Caption2753"/>
      <w:bookmarkStart w:id="6885" w:name="_Caption2075"/>
      <w:bookmarkStart w:id="6886" w:name="_Caption4882"/>
      <w:bookmarkStart w:id="6887" w:name="_Caption8126"/>
      <w:bookmarkStart w:id="6888" w:name="_Caption4827"/>
      <w:bookmarkStart w:id="6889" w:name="_Caption3291"/>
      <w:bookmarkStart w:id="6890" w:name="_Caption9315"/>
      <w:bookmarkStart w:id="6891" w:name="_Caption2711"/>
      <w:bookmarkStart w:id="6892" w:name="_Caption0595"/>
      <w:bookmarkStart w:id="6893" w:name="_Caption6996"/>
      <w:bookmarkStart w:id="6894" w:name="_Caption7843"/>
      <w:bookmarkStart w:id="6895" w:name="_Caption9470"/>
      <w:bookmarkStart w:id="6896" w:name="_Caption7334"/>
      <w:bookmarkStart w:id="6897" w:name="_Caption4026"/>
      <w:bookmarkStart w:id="6898" w:name="_Caption0063"/>
      <w:bookmarkStart w:id="6899" w:name="_Caption8887"/>
      <w:bookmarkStart w:id="6900" w:name="_Caption4889"/>
      <w:bookmarkStart w:id="6901" w:name="_Caption9769"/>
      <w:bookmarkStart w:id="6902" w:name="_Caption1785"/>
      <w:bookmarkStart w:id="6903" w:name="_Caption8913"/>
      <w:bookmarkStart w:id="6904" w:name="_Caption0735"/>
      <w:bookmarkStart w:id="6905" w:name="_Toc499545276"/>
      <w:bookmarkStart w:id="6906" w:name="_Toc499847079"/>
      <w:bookmarkStart w:id="6907" w:name="_Toc509220889"/>
      <w:bookmarkStart w:id="6908" w:name="_Toc529869991"/>
      <w:bookmarkStart w:id="6909" w:name="_Toc530748487"/>
      <w:r w:rsidR="00EA42ED">
        <w:rPr>
          <w:noProof/>
        </w:rPr>
        <w:t>E</w:t>
      </w:r>
      <w:r w:rsidR="00EA42ED" w:rsidRPr="00D00F02">
        <w:rPr>
          <w:noProof/>
        </w:rPr>
        <w:t>.12</w:t>
      </w:r>
      <w:bookmarkStart w:id="6910" w:name="_Toc507523840"/>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r w:rsidRPr="00D00F02">
        <w:fldChar w:fldCharType="end"/>
      </w:r>
      <w:r w:rsidRPr="00D00F02">
        <w:tab/>
        <w:t>Potential impact of changes to the NCC on major refurbishments, in</w:t>
      </w:r>
      <w:bookmarkEnd w:id="6905"/>
      <w:r w:rsidRPr="00D00F02">
        <w:t xml:space="preserve"> 2042</w:t>
      </w:r>
      <w:bookmarkEnd w:id="6796"/>
      <w:bookmarkEnd w:id="6906"/>
      <w:bookmarkEnd w:id="6907"/>
      <w:bookmarkEnd w:id="6908"/>
      <w:bookmarkEnd w:id="6909"/>
      <w:bookmarkEnd w:id="6910"/>
    </w:p>
    <w:p w:rsidR="00612FD3" w:rsidRDefault="00612FD3" w:rsidP="00612FD3">
      <w:pPr>
        <w:pStyle w:val="Source"/>
      </w:pPr>
      <w:r w:rsidRPr="009747E7">
        <w:rPr>
          <w:noProof/>
          <w:lang w:eastAsia="en-AU"/>
        </w:rPr>
        <w:drawing>
          <wp:inline distT="0" distB="0" distL="0" distR="0" wp14:anchorId="79DA56A7" wp14:editId="483B34FC">
            <wp:extent cx="5039995" cy="2434590"/>
            <wp:effectExtent l="0" t="0" r="8255" b="3810"/>
            <wp:docPr id="31" name="Picture 31" descr="The chart compares the floor space of major refurbishment subject to the NCC to total additions for each of the nine building types - Office, Hotels, Hospitals, Retail, Educaiton, Undercover car parks, Warehouses, Industrial.factory, and Aged care." title="Potential impact of changes to the NCC on major refurbishments, in 2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039995" cy="2434590"/>
                    </a:xfrm>
                    <a:prstGeom prst="rect">
                      <a:avLst/>
                    </a:prstGeom>
                    <a:solidFill>
                      <a:schemeClr val="bg2"/>
                    </a:solidFill>
                    <a:ln>
                      <a:noFill/>
                    </a:ln>
                  </pic:spPr>
                </pic:pic>
              </a:graphicData>
            </a:graphic>
          </wp:inline>
        </w:drawing>
      </w:r>
      <w:r>
        <w:rPr>
          <w:i/>
        </w:rPr>
        <w:t>Data source</w:t>
      </w:r>
      <w:r w:rsidRPr="00A67576">
        <w:rPr>
          <w:i/>
        </w:rPr>
        <w:t>:</w:t>
      </w:r>
      <w:r>
        <w:t xml:space="preserve"> CIE.</w:t>
      </w:r>
      <w:r w:rsidRPr="005F7D08">
        <w:rPr>
          <w:noProof/>
          <w:lang w:eastAsia="en-AU"/>
        </w:rPr>
        <w:t xml:space="preserve"> </w:t>
      </w:r>
    </w:p>
    <w:p w:rsidR="00612FD3" w:rsidRDefault="00612FD3" w:rsidP="00612FD3">
      <w:pPr>
        <w:pStyle w:val="BodyText"/>
        <w:rPr>
          <w:lang w:bidi="fa-IR"/>
        </w:rPr>
      </w:pPr>
      <w:r>
        <w:rPr>
          <w:lang w:bidi="fa-IR"/>
        </w:rPr>
        <w:t>Applying the rate of refurbishments to the potential size of the building stock 30 years prior, and assuming the same distribution by building type, the total floor area potentially affected by the proposed changes to NCC 2019 are shown below (charts E.13 and E.14).</w:t>
      </w:r>
    </w:p>
    <w:p w:rsidR="00612FD3" w:rsidRDefault="00612FD3" w:rsidP="00612FD3">
      <w:pPr>
        <w:pStyle w:val="BodyText"/>
        <w:rPr>
          <w:lang w:bidi="fa-IR"/>
        </w:rPr>
      </w:pPr>
      <w:r>
        <w:rPr>
          <w:lang w:bidi="fa-IR"/>
        </w:rPr>
        <w:t>In 2019, the total floor area potentially impacted by the proposed changes incorporating the area of major refurbishment is 10.79 million square metres. In 2028, the potential area impacted may increase to 12.04 million square metres.</w:t>
      </w:r>
    </w:p>
    <w:bookmarkStart w:id="6911" w:name="_Toc505120688"/>
    <w:p w:rsidR="00612FD3" w:rsidRPr="00D00F02" w:rsidRDefault="00612FD3" w:rsidP="00612FD3">
      <w:pPr>
        <w:pStyle w:val="Caption"/>
        <w:numPr>
          <w:ilvl w:val="0"/>
          <w:numId w:val="7"/>
        </w:numPr>
        <w:ind w:left="568" w:hanging="568"/>
      </w:pPr>
      <w:r w:rsidRPr="00D00F02">
        <w:fldChar w:fldCharType="begin"/>
      </w:r>
      <w:r w:rsidRPr="00D00F02">
        <w:instrText xml:space="preserve"> IF 1 = 1 "</w:instrText>
      </w:r>
      <w:r w:rsidRPr="00D00F02">
        <w:fldChar w:fldCharType="begin"/>
      </w:r>
      <w:r w:rsidRPr="00D00F02">
        <w:instrText xml:space="preserve"> IF </w:instrText>
      </w:r>
      <w:r w:rsidRPr="00D00F02">
        <w:rPr>
          <w:noProof/>
        </w:rPr>
        <w:fldChar w:fldCharType="begin"/>
      </w:r>
      <w:r w:rsidRPr="00D00F02">
        <w:rPr>
          <w:noProof/>
        </w:rPr>
        <w:instrText xml:space="preserve"> STYLEREF "Heading 6" \l \n </w:instrText>
      </w:r>
      <w:r w:rsidRPr="00D00F02">
        <w:rPr>
          <w:noProof/>
        </w:rPr>
        <w:fldChar w:fldCharType="separate"/>
      </w:r>
      <w:r w:rsidR="00B833F1">
        <w:rPr>
          <w:noProof/>
        </w:rPr>
        <w:instrText>E</w:instrText>
      </w:r>
      <w:r w:rsidRPr="00D00F02">
        <w:rPr>
          <w:noProof/>
        </w:rPr>
        <w:fldChar w:fldCharType="end"/>
      </w:r>
      <w:r w:rsidRPr="00D00F02">
        <w:instrText xml:space="preserve"> = 0 "</w:instrText>
      </w:r>
      <w:r w:rsidRPr="00D00F02">
        <w:fldChar w:fldCharType="begin"/>
      </w:r>
      <w:r w:rsidRPr="00D00F02">
        <w:instrText xml:space="preserve"> IF </w:instrText>
      </w:r>
      <w:r w:rsidRPr="00D00F02">
        <w:rPr>
          <w:noProof/>
        </w:rPr>
        <w:fldChar w:fldCharType="begin"/>
      </w:r>
      <w:r w:rsidRPr="00D00F02">
        <w:rPr>
          <w:noProof/>
        </w:rPr>
        <w:instrText xml:space="preserve"> STYLEREF "Heading 1" \l \n </w:instrText>
      </w:r>
      <w:r w:rsidRPr="00D00F02">
        <w:rPr>
          <w:noProof/>
        </w:rPr>
        <w:fldChar w:fldCharType="separate"/>
      </w:r>
      <w:r w:rsidRPr="00D00F02">
        <w:rPr>
          <w:noProof/>
        </w:rPr>
        <w:instrText>1</w:instrText>
      </w:r>
      <w:r w:rsidRPr="00D00F02">
        <w:rPr>
          <w:noProof/>
        </w:rPr>
        <w:fldChar w:fldCharType="end"/>
      </w:r>
      <w:r w:rsidRPr="00D00F02">
        <w:instrText xml:space="preserve"> = 0 "" "</w:instrText>
      </w:r>
      <w:r w:rsidRPr="00D00F02">
        <w:rPr>
          <w:noProof/>
        </w:rPr>
        <w:fldChar w:fldCharType="begin"/>
      </w:r>
      <w:r w:rsidRPr="00D00F02">
        <w:rPr>
          <w:noProof/>
        </w:rPr>
        <w:instrText xml:space="preserve"> STYLEREF "Heading 1" \l \n </w:instrText>
      </w:r>
      <w:r w:rsidRPr="00D00F02">
        <w:rPr>
          <w:noProof/>
        </w:rPr>
        <w:fldChar w:fldCharType="separate"/>
      </w:r>
      <w:r w:rsidRPr="00D00F02">
        <w:rPr>
          <w:noProof/>
        </w:rPr>
        <w:instrText>1</w:instrText>
      </w:r>
      <w:r w:rsidRPr="00D00F02">
        <w:rPr>
          <w:noProof/>
        </w:rPr>
        <w:fldChar w:fldCharType="end"/>
      </w:r>
      <w:r w:rsidRPr="00D00F02">
        <w:instrText xml:space="preserve">." </w:instrText>
      </w:r>
      <w:r w:rsidRPr="00D00F02">
        <w:fldChar w:fldCharType="separate"/>
      </w:r>
      <w:r w:rsidRPr="00D00F02">
        <w:rPr>
          <w:noProof/>
        </w:rPr>
        <w:instrText>1.</w:instrText>
      </w:r>
      <w:r w:rsidRPr="00D00F02">
        <w:fldChar w:fldCharType="end"/>
      </w:r>
      <w:r w:rsidRPr="00D00F02">
        <w:instrText>" "</w:instrText>
      </w:r>
      <w:r w:rsidRPr="00D00F02">
        <w:rPr>
          <w:noProof/>
        </w:rPr>
        <w:fldChar w:fldCharType="begin"/>
      </w:r>
      <w:r w:rsidRPr="00D00F02">
        <w:rPr>
          <w:noProof/>
        </w:rPr>
        <w:instrText xml:space="preserve"> STYLEREF "Heading 6" \l \n </w:instrText>
      </w:r>
      <w:r w:rsidRPr="00D00F02">
        <w:rPr>
          <w:noProof/>
        </w:rPr>
        <w:fldChar w:fldCharType="separate"/>
      </w:r>
      <w:r w:rsidR="00B833F1">
        <w:rPr>
          <w:noProof/>
        </w:rPr>
        <w:instrText>E</w:instrText>
      </w:r>
      <w:r w:rsidRPr="00D00F02">
        <w:rPr>
          <w:noProof/>
        </w:rPr>
        <w:fldChar w:fldCharType="end"/>
      </w:r>
      <w:r w:rsidRPr="00D00F02">
        <w:instrText xml:space="preserve">." </w:instrText>
      </w:r>
      <w:r w:rsidRPr="00D00F02">
        <w:fldChar w:fldCharType="separate"/>
      </w:r>
      <w:r w:rsidR="00B833F1">
        <w:rPr>
          <w:noProof/>
        </w:rPr>
        <w:instrText>E</w:instrText>
      </w:r>
      <w:r w:rsidR="00B833F1" w:rsidRPr="00D00F02">
        <w:rPr>
          <w:noProof/>
        </w:rPr>
        <w:instrText>.</w:instrText>
      </w:r>
      <w:r w:rsidRPr="00D00F02">
        <w:fldChar w:fldCharType="end"/>
      </w:r>
      <w:r w:rsidRPr="00D00F02">
        <w:instrText xml:space="preserve">13" "" </w:instrText>
      </w:r>
      <w:r w:rsidRPr="00D00F02">
        <w:fldChar w:fldCharType="separate"/>
      </w:r>
      <w:bookmarkStart w:id="6912" w:name="_Caption5103"/>
      <w:bookmarkStart w:id="6913" w:name="_Caption1034"/>
      <w:bookmarkStart w:id="6914" w:name="_Caption9390"/>
      <w:bookmarkStart w:id="6915" w:name="_Caption5210"/>
      <w:bookmarkStart w:id="6916" w:name="_Caption8642"/>
      <w:bookmarkStart w:id="6917" w:name="_Caption6400"/>
      <w:bookmarkStart w:id="6918" w:name="_Caption9970"/>
      <w:bookmarkStart w:id="6919" w:name="_Caption7517"/>
      <w:bookmarkStart w:id="6920" w:name="_Caption2148"/>
      <w:bookmarkStart w:id="6921" w:name="_Caption1566"/>
      <w:bookmarkStart w:id="6922" w:name="_Caption1937"/>
      <w:bookmarkStart w:id="6923" w:name="_Caption3613"/>
      <w:bookmarkStart w:id="6924" w:name="_Caption8613"/>
      <w:bookmarkStart w:id="6925" w:name="_Caption0726"/>
      <w:bookmarkStart w:id="6926" w:name="_Caption7032"/>
      <w:bookmarkStart w:id="6927" w:name="_Caption3033"/>
      <w:bookmarkStart w:id="6928" w:name="_Caption5146"/>
      <w:bookmarkStart w:id="6929" w:name="_Caption9651"/>
      <w:bookmarkStart w:id="6930" w:name="_Caption3652"/>
      <w:bookmarkStart w:id="6931" w:name="_Caption1209"/>
      <w:bookmarkStart w:id="6932" w:name="_Caption1339"/>
      <w:bookmarkStart w:id="6933" w:name="_Caption3416"/>
      <w:bookmarkStart w:id="6934" w:name="_Caption6536"/>
      <w:bookmarkStart w:id="6935" w:name="_Caption9168"/>
      <w:bookmarkStart w:id="6936" w:name="_Caption4543"/>
      <w:bookmarkStart w:id="6937" w:name="_Caption4479"/>
      <w:bookmarkStart w:id="6938" w:name="_Caption1333"/>
      <w:bookmarkStart w:id="6939" w:name="_Caption9251"/>
      <w:bookmarkStart w:id="6940" w:name="_Caption5689"/>
      <w:bookmarkStart w:id="6941" w:name="_Caption8422"/>
      <w:bookmarkStart w:id="6942" w:name="_Caption6302"/>
      <w:bookmarkStart w:id="6943" w:name="_Caption6351"/>
      <w:bookmarkStart w:id="6944" w:name="_Caption6348"/>
      <w:bookmarkStart w:id="6945" w:name="_Caption4283"/>
      <w:bookmarkStart w:id="6946" w:name="_Caption2944"/>
      <w:bookmarkStart w:id="6947" w:name="_Caption3083"/>
      <w:bookmarkStart w:id="6948" w:name="_Caption8866"/>
      <w:bookmarkStart w:id="6949" w:name="_Caption7315"/>
      <w:bookmarkStart w:id="6950" w:name="_Caption3892"/>
      <w:bookmarkStart w:id="6951" w:name="_Caption0727"/>
      <w:bookmarkStart w:id="6952" w:name="_Caption3117"/>
      <w:bookmarkStart w:id="6953" w:name="_Caption9800"/>
      <w:bookmarkStart w:id="6954" w:name="_Caption5816"/>
      <w:bookmarkStart w:id="6955" w:name="_Caption1224"/>
      <w:bookmarkStart w:id="6956" w:name="_Caption3422"/>
      <w:bookmarkStart w:id="6957" w:name="_Caption1840"/>
      <w:bookmarkStart w:id="6958" w:name="_Caption0768"/>
      <w:bookmarkStart w:id="6959" w:name="_Caption6416"/>
      <w:bookmarkStart w:id="6960" w:name="_Caption1810"/>
      <w:bookmarkStart w:id="6961" w:name="_Caption7304"/>
      <w:bookmarkStart w:id="6962" w:name="_Caption3540"/>
      <w:bookmarkStart w:id="6963" w:name="_Caption3591"/>
      <w:bookmarkStart w:id="6964" w:name="_Caption2259"/>
      <w:bookmarkStart w:id="6965" w:name="_Caption8903"/>
      <w:bookmarkStart w:id="6966" w:name="_Caption6011"/>
      <w:bookmarkStart w:id="6967" w:name="_Caption3785"/>
      <w:bookmarkStart w:id="6968" w:name="_Caption1141"/>
      <w:bookmarkStart w:id="6969" w:name="_Caption7532"/>
      <w:bookmarkStart w:id="6970" w:name="_Caption7940"/>
      <w:bookmarkStart w:id="6971" w:name="_Caption7041"/>
      <w:bookmarkStart w:id="6972" w:name="_Caption3335"/>
      <w:bookmarkStart w:id="6973" w:name="_Caption3499"/>
      <w:bookmarkStart w:id="6974" w:name="_Caption8558"/>
      <w:bookmarkStart w:id="6975" w:name="_Caption7545"/>
      <w:bookmarkStart w:id="6976" w:name="_Caption5251"/>
      <w:bookmarkStart w:id="6977" w:name="_Caption7268"/>
      <w:bookmarkStart w:id="6978" w:name="_Caption7427"/>
      <w:bookmarkStart w:id="6979" w:name="_Caption0409"/>
      <w:bookmarkStart w:id="6980" w:name="_Caption5037"/>
      <w:bookmarkStart w:id="6981" w:name="_Caption1311"/>
      <w:bookmarkStart w:id="6982" w:name="_Caption4895"/>
      <w:bookmarkStart w:id="6983" w:name="_Caption7469"/>
      <w:bookmarkStart w:id="6984" w:name="_Caption4815"/>
      <w:bookmarkStart w:id="6985" w:name="_Caption2550"/>
      <w:bookmarkStart w:id="6986" w:name="_Caption4211"/>
      <w:bookmarkStart w:id="6987" w:name="_Caption6384"/>
      <w:bookmarkStart w:id="6988" w:name="_Caption7835"/>
      <w:bookmarkStart w:id="6989" w:name="_Caption7036"/>
      <w:bookmarkStart w:id="6990" w:name="_Caption8653"/>
      <w:bookmarkStart w:id="6991" w:name="_Caption2554"/>
      <w:bookmarkStart w:id="6992" w:name="_Caption8371"/>
      <w:bookmarkStart w:id="6993" w:name="_Caption7724"/>
      <w:bookmarkStart w:id="6994" w:name="_Caption8361"/>
      <w:bookmarkStart w:id="6995" w:name="_Caption9383"/>
      <w:bookmarkStart w:id="6996" w:name="_Caption3859"/>
      <w:bookmarkStart w:id="6997" w:name="_Caption1584"/>
      <w:bookmarkStart w:id="6998" w:name="_Caption9149"/>
      <w:bookmarkStart w:id="6999" w:name="_Caption7694"/>
      <w:bookmarkStart w:id="7000" w:name="_Caption1246"/>
      <w:bookmarkStart w:id="7001" w:name="_Caption8193"/>
      <w:bookmarkStart w:id="7002" w:name="_Caption7672"/>
      <w:bookmarkStart w:id="7003" w:name="_Caption5670"/>
      <w:bookmarkStart w:id="7004" w:name="_Caption1302"/>
      <w:bookmarkStart w:id="7005" w:name="_Caption5896"/>
      <w:bookmarkStart w:id="7006" w:name="_Caption8225"/>
      <w:bookmarkStart w:id="7007" w:name="_Caption0621"/>
      <w:bookmarkStart w:id="7008" w:name="_Caption5232"/>
      <w:bookmarkStart w:id="7009" w:name="_Caption4694"/>
      <w:bookmarkStart w:id="7010" w:name="_Caption2995"/>
      <w:bookmarkStart w:id="7011" w:name="_Caption7307"/>
      <w:bookmarkStart w:id="7012" w:name="_Caption5415"/>
      <w:bookmarkStart w:id="7013" w:name="_Caption1665"/>
      <w:bookmarkStart w:id="7014" w:name="_Caption6603"/>
      <w:bookmarkStart w:id="7015" w:name="_Caption6944"/>
      <w:bookmarkStart w:id="7016" w:name="_Caption9555"/>
      <w:bookmarkStart w:id="7017" w:name="_Caption0905"/>
      <w:bookmarkStart w:id="7018" w:name="_Caption4040"/>
      <w:bookmarkStart w:id="7019" w:name="_Caption5074"/>
      <w:bookmarkStart w:id="7020" w:name="_Toc499847080"/>
      <w:bookmarkStart w:id="7021" w:name="_Toc509220890"/>
      <w:bookmarkStart w:id="7022" w:name="_Toc529869992"/>
      <w:bookmarkStart w:id="7023" w:name="_Toc530748488"/>
      <w:r w:rsidR="00EA42ED">
        <w:rPr>
          <w:noProof/>
        </w:rPr>
        <w:t>E</w:t>
      </w:r>
      <w:r w:rsidR="00EA42ED" w:rsidRPr="00D00F02">
        <w:rPr>
          <w:noProof/>
        </w:rPr>
        <w:t>.13</w:t>
      </w:r>
      <w:bookmarkStart w:id="7024" w:name="_Toc50752384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r w:rsidRPr="00D00F02">
        <w:fldChar w:fldCharType="end"/>
      </w:r>
      <w:r w:rsidRPr="00D00F02">
        <w:tab/>
        <w:t>Estimated floor area to be affected by proposed changes (including major refurbishments), by building type</w:t>
      </w:r>
      <w:bookmarkEnd w:id="6911"/>
      <w:bookmarkEnd w:id="7020"/>
      <w:bookmarkEnd w:id="7021"/>
      <w:bookmarkEnd w:id="7022"/>
      <w:bookmarkEnd w:id="7023"/>
      <w:bookmarkEnd w:id="7024"/>
    </w:p>
    <w:p w:rsidR="00612FD3" w:rsidRPr="002C3C2D" w:rsidRDefault="00612FD3" w:rsidP="00612FD3">
      <w:pPr>
        <w:pStyle w:val="Note"/>
      </w:pPr>
      <w:r w:rsidRPr="00125611">
        <w:rPr>
          <w:noProof/>
          <w:lang w:eastAsia="en-AU"/>
        </w:rPr>
        <w:drawing>
          <wp:inline distT="0" distB="0" distL="0" distR="0" wp14:anchorId="226C8C2D" wp14:editId="394A7204">
            <wp:extent cx="5037455" cy="2506345"/>
            <wp:effectExtent l="0" t="0" r="0" b="8255"/>
            <wp:docPr id="55" name="Picture 55" descr="This chart reports estimated floor areas of commercial buiildings to be affected by NCC (total additions plus major refurbishments) by building type up to 2028." title="Estimated floor area to be affected by proposed changes (including major refurbishments), by building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037455" cy="2506345"/>
                    </a:xfrm>
                    <a:prstGeom prst="rect">
                      <a:avLst/>
                    </a:prstGeom>
                    <a:solidFill>
                      <a:schemeClr val="bg2"/>
                    </a:solidFill>
                    <a:ln>
                      <a:noFill/>
                    </a:ln>
                  </pic:spPr>
                </pic:pic>
              </a:graphicData>
            </a:graphic>
          </wp:inline>
        </w:drawing>
      </w:r>
      <w:r w:rsidRPr="00A97BEC">
        <w:rPr>
          <w:i/>
        </w:rPr>
        <w:t xml:space="preserve">Note: </w:t>
      </w:r>
      <w:r w:rsidRPr="002C3C2D">
        <w:t xml:space="preserve">Estimates reflect refurbishments plus additions. The estimates of retirements and major refurbishments assume uniformity with the building stock of 2012, including building type and </w:t>
      </w:r>
      <w:r w:rsidR="00E31EE8">
        <w:t>Climate Zone</w:t>
      </w:r>
      <w:r w:rsidRPr="002C3C2D">
        <w:t>.</w:t>
      </w:r>
    </w:p>
    <w:p w:rsidR="00612FD3" w:rsidRDefault="00612FD3" w:rsidP="00612FD3">
      <w:pPr>
        <w:pStyle w:val="Source"/>
      </w:pPr>
      <w:r>
        <w:rPr>
          <w:i/>
        </w:rPr>
        <w:t>Data source</w:t>
      </w:r>
      <w:r w:rsidRPr="00A67576">
        <w:rPr>
          <w:i/>
        </w:rPr>
        <w:t>:</w:t>
      </w:r>
      <w:r>
        <w:t xml:space="preserve"> CIE estimates.</w:t>
      </w:r>
      <w:r w:rsidRPr="005F7D08">
        <w:rPr>
          <w:noProof/>
          <w:lang w:eastAsia="en-AU"/>
        </w:rPr>
        <w:t xml:space="preserve"> </w:t>
      </w:r>
    </w:p>
    <w:bookmarkStart w:id="7025" w:name="_Toc505120689"/>
    <w:p w:rsidR="00612FD3" w:rsidRPr="00D00F02" w:rsidRDefault="00612FD3" w:rsidP="00612FD3">
      <w:pPr>
        <w:pStyle w:val="Caption"/>
        <w:numPr>
          <w:ilvl w:val="0"/>
          <w:numId w:val="7"/>
        </w:numPr>
        <w:ind w:left="568" w:hanging="568"/>
      </w:pPr>
      <w:r w:rsidRPr="00D00F02">
        <w:fldChar w:fldCharType="begin"/>
      </w:r>
      <w:r w:rsidRPr="00D00F02">
        <w:instrText xml:space="preserve"> IF 1 = 1 "</w:instrText>
      </w:r>
      <w:r w:rsidRPr="00D00F02">
        <w:fldChar w:fldCharType="begin"/>
      </w:r>
      <w:r w:rsidRPr="00D00F02">
        <w:instrText xml:space="preserve"> IF </w:instrText>
      </w:r>
      <w:r w:rsidRPr="00D00F02">
        <w:rPr>
          <w:noProof/>
        </w:rPr>
        <w:fldChar w:fldCharType="begin"/>
      </w:r>
      <w:r w:rsidRPr="00D00F02">
        <w:rPr>
          <w:noProof/>
        </w:rPr>
        <w:instrText xml:space="preserve"> STYLEREF "Heading 6" \l \n </w:instrText>
      </w:r>
      <w:r w:rsidRPr="00D00F02">
        <w:rPr>
          <w:noProof/>
        </w:rPr>
        <w:fldChar w:fldCharType="separate"/>
      </w:r>
      <w:r w:rsidR="00B833F1">
        <w:rPr>
          <w:noProof/>
        </w:rPr>
        <w:instrText>E</w:instrText>
      </w:r>
      <w:r w:rsidRPr="00D00F02">
        <w:rPr>
          <w:noProof/>
        </w:rPr>
        <w:fldChar w:fldCharType="end"/>
      </w:r>
      <w:r w:rsidRPr="00D00F02">
        <w:instrText xml:space="preserve"> = 0 "</w:instrText>
      </w:r>
      <w:r w:rsidRPr="00D00F02">
        <w:fldChar w:fldCharType="begin"/>
      </w:r>
      <w:r w:rsidRPr="00D00F02">
        <w:instrText xml:space="preserve"> IF </w:instrText>
      </w:r>
      <w:r w:rsidRPr="00D00F02">
        <w:rPr>
          <w:noProof/>
        </w:rPr>
        <w:fldChar w:fldCharType="begin"/>
      </w:r>
      <w:r w:rsidRPr="00D00F02">
        <w:rPr>
          <w:noProof/>
        </w:rPr>
        <w:instrText xml:space="preserve"> STYLEREF "Heading 1" \l \n </w:instrText>
      </w:r>
      <w:r w:rsidRPr="00D00F02">
        <w:rPr>
          <w:noProof/>
        </w:rPr>
        <w:fldChar w:fldCharType="separate"/>
      </w:r>
      <w:r w:rsidRPr="00D00F02">
        <w:rPr>
          <w:noProof/>
        </w:rPr>
        <w:instrText>1</w:instrText>
      </w:r>
      <w:r w:rsidRPr="00D00F02">
        <w:rPr>
          <w:noProof/>
        </w:rPr>
        <w:fldChar w:fldCharType="end"/>
      </w:r>
      <w:r w:rsidRPr="00D00F02">
        <w:instrText xml:space="preserve"> = 0 "" "</w:instrText>
      </w:r>
      <w:r w:rsidRPr="00D00F02">
        <w:rPr>
          <w:noProof/>
        </w:rPr>
        <w:fldChar w:fldCharType="begin"/>
      </w:r>
      <w:r w:rsidRPr="00D00F02">
        <w:rPr>
          <w:noProof/>
        </w:rPr>
        <w:instrText xml:space="preserve"> STYLEREF "Heading 1" \l \n </w:instrText>
      </w:r>
      <w:r w:rsidRPr="00D00F02">
        <w:rPr>
          <w:noProof/>
        </w:rPr>
        <w:fldChar w:fldCharType="separate"/>
      </w:r>
      <w:r w:rsidRPr="00D00F02">
        <w:rPr>
          <w:noProof/>
        </w:rPr>
        <w:instrText>1</w:instrText>
      </w:r>
      <w:r w:rsidRPr="00D00F02">
        <w:rPr>
          <w:noProof/>
        </w:rPr>
        <w:fldChar w:fldCharType="end"/>
      </w:r>
      <w:r w:rsidRPr="00D00F02">
        <w:instrText xml:space="preserve">." </w:instrText>
      </w:r>
      <w:r w:rsidRPr="00D00F02">
        <w:fldChar w:fldCharType="separate"/>
      </w:r>
      <w:r w:rsidRPr="00D00F02">
        <w:rPr>
          <w:noProof/>
        </w:rPr>
        <w:instrText>1.</w:instrText>
      </w:r>
      <w:r w:rsidRPr="00D00F02">
        <w:fldChar w:fldCharType="end"/>
      </w:r>
      <w:r w:rsidRPr="00D00F02">
        <w:instrText>" "</w:instrText>
      </w:r>
      <w:r w:rsidRPr="00D00F02">
        <w:rPr>
          <w:noProof/>
        </w:rPr>
        <w:fldChar w:fldCharType="begin"/>
      </w:r>
      <w:r w:rsidRPr="00D00F02">
        <w:rPr>
          <w:noProof/>
        </w:rPr>
        <w:instrText xml:space="preserve"> STYLEREF "Heading 6" \l \n </w:instrText>
      </w:r>
      <w:r w:rsidRPr="00D00F02">
        <w:rPr>
          <w:noProof/>
        </w:rPr>
        <w:fldChar w:fldCharType="separate"/>
      </w:r>
      <w:r w:rsidR="00B833F1">
        <w:rPr>
          <w:noProof/>
        </w:rPr>
        <w:instrText>E</w:instrText>
      </w:r>
      <w:r w:rsidRPr="00D00F02">
        <w:rPr>
          <w:noProof/>
        </w:rPr>
        <w:fldChar w:fldCharType="end"/>
      </w:r>
      <w:r w:rsidRPr="00D00F02">
        <w:instrText xml:space="preserve">." </w:instrText>
      </w:r>
      <w:r w:rsidRPr="00D00F02">
        <w:fldChar w:fldCharType="separate"/>
      </w:r>
      <w:r w:rsidR="00B833F1">
        <w:rPr>
          <w:noProof/>
        </w:rPr>
        <w:instrText>E</w:instrText>
      </w:r>
      <w:r w:rsidR="00B833F1" w:rsidRPr="00D00F02">
        <w:rPr>
          <w:noProof/>
        </w:rPr>
        <w:instrText>.</w:instrText>
      </w:r>
      <w:r w:rsidRPr="00D00F02">
        <w:fldChar w:fldCharType="end"/>
      </w:r>
      <w:r w:rsidRPr="00D00F02">
        <w:instrText xml:space="preserve">14" "" </w:instrText>
      </w:r>
      <w:r w:rsidRPr="00D00F02">
        <w:fldChar w:fldCharType="separate"/>
      </w:r>
      <w:bookmarkStart w:id="7026" w:name="_Caption3741"/>
      <w:bookmarkStart w:id="7027" w:name="_Caption8699"/>
      <w:bookmarkStart w:id="7028" w:name="_Caption0027"/>
      <w:bookmarkStart w:id="7029" w:name="_Caption5943"/>
      <w:bookmarkStart w:id="7030" w:name="_Caption6226"/>
      <w:bookmarkStart w:id="7031" w:name="_Caption5211"/>
      <w:bookmarkStart w:id="7032" w:name="_Caption9035"/>
      <w:bookmarkStart w:id="7033" w:name="_Caption4657"/>
      <w:bookmarkStart w:id="7034" w:name="_Caption2428"/>
      <w:bookmarkStart w:id="7035" w:name="_Caption9924"/>
      <w:bookmarkStart w:id="7036" w:name="_Caption4180"/>
      <w:bookmarkStart w:id="7037" w:name="_Caption8567"/>
      <w:bookmarkStart w:id="7038" w:name="_Caption2738"/>
      <w:bookmarkStart w:id="7039" w:name="_Caption4759"/>
      <w:bookmarkStart w:id="7040" w:name="_Caption4413"/>
      <w:bookmarkStart w:id="7041" w:name="_Caption1939"/>
      <w:bookmarkStart w:id="7042" w:name="_Caption3971"/>
      <w:bookmarkStart w:id="7043" w:name="_Caption4096"/>
      <w:bookmarkStart w:id="7044" w:name="_Caption1449"/>
      <w:bookmarkStart w:id="7045" w:name="_Caption9607"/>
      <w:bookmarkStart w:id="7046" w:name="_Caption8802"/>
      <w:bookmarkStart w:id="7047" w:name="_Caption7582"/>
      <w:bookmarkStart w:id="7048" w:name="_Caption4760"/>
      <w:bookmarkStart w:id="7049" w:name="_Caption9942"/>
      <w:bookmarkStart w:id="7050" w:name="_Caption6705"/>
      <w:bookmarkStart w:id="7051" w:name="_Caption8165"/>
      <w:bookmarkStart w:id="7052" w:name="_Caption2710"/>
      <w:bookmarkStart w:id="7053" w:name="_Caption6956"/>
      <w:bookmarkStart w:id="7054" w:name="_Caption7439"/>
      <w:bookmarkStart w:id="7055" w:name="_Caption2629"/>
      <w:bookmarkStart w:id="7056" w:name="_Caption1469"/>
      <w:bookmarkStart w:id="7057" w:name="_Caption1519"/>
      <w:bookmarkStart w:id="7058" w:name="_Caption9192"/>
      <w:bookmarkStart w:id="7059" w:name="_Caption7412"/>
      <w:bookmarkStart w:id="7060" w:name="_Caption2194"/>
      <w:bookmarkStart w:id="7061" w:name="_Caption5795"/>
      <w:bookmarkStart w:id="7062" w:name="_Caption5535"/>
      <w:bookmarkStart w:id="7063" w:name="_Caption0355"/>
      <w:bookmarkStart w:id="7064" w:name="_Caption0291"/>
      <w:bookmarkStart w:id="7065" w:name="_Caption4055"/>
      <w:bookmarkStart w:id="7066" w:name="_Caption0092"/>
      <w:bookmarkStart w:id="7067" w:name="_Caption9200"/>
      <w:bookmarkStart w:id="7068" w:name="_Caption7957"/>
      <w:bookmarkStart w:id="7069" w:name="_Caption1237"/>
      <w:bookmarkStart w:id="7070" w:name="_Caption0211"/>
      <w:bookmarkStart w:id="7071" w:name="_Caption6984"/>
      <w:bookmarkStart w:id="7072" w:name="_Caption8178"/>
      <w:bookmarkStart w:id="7073" w:name="_Caption4931"/>
      <w:bookmarkStart w:id="7074" w:name="_Caption2842"/>
      <w:bookmarkStart w:id="7075" w:name="_Caption3578"/>
      <w:bookmarkStart w:id="7076" w:name="_Caption9111"/>
      <w:bookmarkStart w:id="7077" w:name="_Caption9021"/>
      <w:bookmarkStart w:id="7078" w:name="_Caption3551"/>
      <w:bookmarkStart w:id="7079" w:name="_Caption2393"/>
      <w:bookmarkStart w:id="7080" w:name="_Caption0672"/>
      <w:bookmarkStart w:id="7081" w:name="_Caption1945"/>
      <w:bookmarkStart w:id="7082" w:name="_Caption7890"/>
      <w:bookmarkStart w:id="7083" w:name="_Caption9265"/>
      <w:bookmarkStart w:id="7084" w:name="_Caption1886"/>
      <w:bookmarkStart w:id="7085" w:name="_Caption1108"/>
      <w:bookmarkStart w:id="7086" w:name="_Caption1329"/>
      <w:bookmarkStart w:id="7087" w:name="_Caption0638"/>
      <w:bookmarkStart w:id="7088" w:name="_Caption4669"/>
      <w:bookmarkStart w:id="7089" w:name="_Caption6458"/>
      <w:bookmarkStart w:id="7090" w:name="_Caption9184"/>
      <w:bookmarkStart w:id="7091" w:name="_Caption3944"/>
      <w:bookmarkStart w:id="7092" w:name="_Caption6514"/>
      <w:bookmarkStart w:id="7093" w:name="_Caption7755"/>
      <w:bookmarkStart w:id="7094" w:name="_Caption4199"/>
      <w:bookmarkStart w:id="7095" w:name="_Caption3463"/>
      <w:bookmarkStart w:id="7096" w:name="_Caption2032"/>
      <w:bookmarkStart w:id="7097" w:name="_Caption3977"/>
      <w:bookmarkStart w:id="7098" w:name="_Caption3312"/>
      <w:bookmarkStart w:id="7099" w:name="_Caption7989"/>
      <w:bookmarkStart w:id="7100" w:name="_Caption0184"/>
      <w:bookmarkStart w:id="7101" w:name="_Caption7640"/>
      <w:bookmarkStart w:id="7102" w:name="_Caption6937"/>
      <w:bookmarkStart w:id="7103" w:name="_Caption3286"/>
      <w:bookmarkStart w:id="7104" w:name="_Caption8505"/>
      <w:bookmarkStart w:id="7105" w:name="_Caption3920"/>
      <w:bookmarkStart w:id="7106" w:name="_Caption8864"/>
      <w:bookmarkStart w:id="7107" w:name="_Caption8208"/>
      <w:bookmarkStart w:id="7108" w:name="_Caption6197"/>
      <w:bookmarkStart w:id="7109" w:name="_Caption4213"/>
      <w:bookmarkStart w:id="7110" w:name="_Caption3176"/>
      <w:bookmarkStart w:id="7111" w:name="_Caption1698"/>
      <w:bookmarkStart w:id="7112" w:name="_Caption0203"/>
      <w:bookmarkStart w:id="7113" w:name="_Caption9272"/>
      <w:bookmarkStart w:id="7114" w:name="_Caption8483"/>
      <w:bookmarkStart w:id="7115" w:name="_Caption5511"/>
      <w:bookmarkStart w:id="7116" w:name="_Caption0022"/>
      <w:bookmarkStart w:id="7117" w:name="_Caption0930"/>
      <w:bookmarkStart w:id="7118" w:name="_Caption1313"/>
      <w:bookmarkStart w:id="7119" w:name="_Caption0843"/>
      <w:bookmarkStart w:id="7120" w:name="_Caption6195"/>
      <w:bookmarkStart w:id="7121" w:name="_Caption9914"/>
      <w:bookmarkStart w:id="7122" w:name="_Caption1534"/>
      <w:bookmarkStart w:id="7123" w:name="_Caption1943"/>
      <w:bookmarkStart w:id="7124" w:name="_Caption8402"/>
      <w:bookmarkStart w:id="7125" w:name="_Caption0939"/>
      <w:bookmarkStart w:id="7126" w:name="_Caption3466"/>
      <w:bookmarkStart w:id="7127" w:name="_Caption4173"/>
      <w:bookmarkStart w:id="7128" w:name="_Caption9816"/>
      <w:bookmarkStart w:id="7129" w:name="_Caption0790"/>
      <w:bookmarkStart w:id="7130" w:name="_Caption8487"/>
      <w:bookmarkStart w:id="7131" w:name="_Caption6972"/>
      <w:bookmarkStart w:id="7132" w:name="_Caption9407"/>
      <w:bookmarkStart w:id="7133" w:name="_Caption2828"/>
      <w:bookmarkStart w:id="7134" w:name="_Toc499847081"/>
      <w:bookmarkStart w:id="7135" w:name="_Toc509220891"/>
      <w:bookmarkStart w:id="7136" w:name="_Toc529869993"/>
      <w:bookmarkStart w:id="7137" w:name="_Toc530748489"/>
      <w:r w:rsidR="00EA42ED">
        <w:rPr>
          <w:noProof/>
        </w:rPr>
        <w:t>E</w:t>
      </w:r>
      <w:r w:rsidR="00EA42ED" w:rsidRPr="00D00F02">
        <w:rPr>
          <w:noProof/>
        </w:rPr>
        <w:t>.14</w:t>
      </w:r>
      <w:bookmarkStart w:id="7138" w:name="_Toc507523842"/>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r w:rsidRPr="00D00F02">
        <w:fldChar w:fldCharType="end"/>
      </w:r>
      <w:r w:rsidRPr="00D00F02">
        <w:tab/>
        <w:t xml:space="preserve">Estimated floor area to be affected by proposed changes (including major refurbishments), by </w:t>
      </w:r>
      <w:r w:rsidR="00E31EE8">
        <w:t>Climate Zone</w:t>
      </w:r>
      <w:bookmarkEnd w:id="7025"/>
      <w:bookmarkEnd w:id="7134"/>
      <w:bookmarkEnd w:id="7135"/>
      <w:bookmarkEnd w:id="7136"/>
      <w:bookmarkEnd w:id="7137"/>
      <w:bookmarkEnd w:id="7138"/>
    </w:p>
    <w:p w:rsidR="00612FD3" w:rsidRPr="002C3C2D" w:rsidRDefault="00612FD3" w:rsidP="00612FD3">
      <w:pPr>
        <w:pStyle w:val="Note"/>
      </w:pPr>
      <w:r w:rsidRPr="00125611">
        <w:rPr>
          <w:noProof/>
          <w:lang w:eastAsia="en-AU"/>
        </w:rPr>
        <w:drawing>
          <wp:inline distT="0" distB="0" distL="0" distR="0" wp14:anchorId="7804CADB" wp14:editId="6AE737BB">
            <wp:extent cx="5048250" cy="2430145"/>
            <wp:effectExtent l="0" t="0" r="0" b="8255"/>
            <wp:docPr id="56" name="Picture 56" descr="This chart reports estimated floor areas of commercial buiildings to be affected by NCC (total additions plus major refurbishments) up to 2028 by climate zone." title="Estimated floor area to be affected by proposed changes (including major refurbishments), by climate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72">
                      <a:extLst>
                        <a:ext uri="{28A0092B-C50C-407E-A947-70E740481C1C}">
                          <a14:useLocalDpi xmlns:a14="http://schemas.microsoft.com/office/drawing/2010/main" val="0"/>
                        </a:ext>
                      </a:extLst>
                    </a:blip>
                    <a:srcRect l="-1748" r="-1231"/>
                    <a:stretch/>
                  </pic:blipFill>
                  <pic:spPr bwMode="auto">
                    <a:xfrm>
                      <a:off x="0" y="0"/>
                      <a:ext cx="5048250" cy="2430145"/>
                    </a:xfrm>
                    <a:prstGeom prst="rect">
                      <a:avLst/>
                    </a:prstGeom>
                    <a:solidFill>
                      <a:schemeClr val="bg2"/>
                    </a:solidFill>
                    <a:ln>
                      <a:noFill/>
                    </a:ln>
                    <a:extLst>
                      <a:ext uri="{53640926-AAD7-44D8-BBD7-CCE9431645EC}">
                        <a14:shadowObscured xmlns:a14="http://schemas.microsoft.com/office/drawing/2010/main"/>
                      </a:ext>
                    </a:extLst>
                  </pic:spPr>
                </pic:pic>
              </a:graphicData>
            </a:graphic>
          </wp:inline>
        </w:drawing>
      </w:r>
      <w:r w:rsidRPr="00A97BEC">
        <w:rPr>
          <w:i/>
        </w:rPr>
        <w:t xml:space="preserve">Note: </w:t>
      </w:r>
      <w:r w:rsidRPr="002C3C2D">
        <w:t xml:space="preserve">Estimates reflect refurbishments plus additions. The estimates of retirements and major refurbishments assume uniformity with the building stock of 2012, including building type and </w:t>
      </w:r>
      <w:r w:rsidR="00E31EE8">
        <w:t>Climate Zone</w:t>
      </w:r>
      <w:r w:rsidRPr="002C3C2D">
        <w:t>.</w:t>
      </w:r>
    </w:p>
    <w:p w:rsidR="00612FD3" w:rsidRDefault="00612FD3" w:rsidP="00612FD3">
      <w:pPr>
        <w:pStyle w:val="Source"/>
      </w:pPr>
      <w:r>
        <w:rPr>
          <w:i/>
        </w:rPr>
        <w:t>Data source</w:t>
      </w:r>
      <w:r w:rsidRPr="00A67576">
        <w:rPr>
          <w:i/>
        </w:rPr>
        <w:t>:</w:t>
      </w:r>
      <w:r>
        <w:t xml:space="preserve"> CIE.</w:t>
      </w:r>
      <w:r w:rsidRPr="005F7D08">
        <w:rPr>
          <w:noProof/>
          <w:lang w:eastAsia="en-AU"/>
        </w:rPr>
        <w:t xml:space="preserve"> </w:t>
      </w:r>
    </w:p>
    <w:p w:rsidR="00612FD3" w:rsidRDefault="00612FD3" w:rsidP="00612FD3">
      <w:pPr>
        <w:pStyle w:val="BodyText"/>
        <w:rPr>
          <w:lang w:bidi="fa-IR"/>
        </w:rPr>
      </w:pPr>
    </w:p>
    <w:p w:rsidR="00612FD3" w:rsidRDefault="00612FD3" w:rsidP="00612FD3">
      <w:pPr>
        <w:pStyle w:val="Heading6"/>
        <w:numPr>
          <w:ilvl w:val="5"/>
          <w:numId w:val="5"/>
        </w:numPr>
      </w:pPr>
      <w:bookmarkStart w:id="7139" w:name="_Toc505120620"/>
      <w:bookmarkStart w:id="7140" w:name="_Toc507523777"/>
      <w:bookmarkStart w:id="7141" w:name="_Toc509220821"/>
      <w:bookmarkStart w:id="7142" w:name="_Toc529869883"/>
      <w:bookmarkStart w:id="7143" w:name="_Toc530748601"/>
      <w:bookmarkStart w:id="7144" w:name="_Toc499847025"/>
      <w:r>
        <w:t>Survey of building surveyors</w:t>
      </w:r>
      <w:bookmarkEnd w:id="7139"/>
      <w:bookmarkEnd w:id="7140"/>
      <w:bookmarkEnd w:id="7141"/>
      <w:bookmarkEnd w:id="7142"/>
      <w:bookmarkEnd w:id="7143"/>
    </w:p>
    <w:p w:rsidR="00612FD3" w:rsidRDefault="00612FD3" w:rsidP="00612FD3">
      <w:pPr>
        <w:pStyle w:val="BodyText"/>
      </w:pPr>
      <w:r>
        <w:t>To improve our understanding of current industry practices, we undertook an online survey of building certifiers/surveyors.</w:t>
      </w:r>
    </w:p>
    <w:p w:rsidR="00612FD3" w:rsidRDefault="00612FD3" w:rsidP="00612FD3">
      <w:pPr>
        <w:pStyle w:val="Heading2"/>
        <w:numPr>
          <w:ilvl w:val="1"/>
          <w:numId w:val="5"/>
        </w:numPr>
      </w:pPr>
      <w:bookmarkStart w:id="7145" w:name="_Toc509220822"/>
      <w:bookmarkStart w:id="7146" w:name="_Toc529869884"/>
      <w:bookmarkStart w:id="7147" w:name="_Toc530748602"/>
      <w:r>
        <w:t>Survey instrument</w:t>
      </w:r>
      <w:bookmarkEnd w:id="7145"/>
      <w:bookmarkEnd w:id="7146"/>
      <w:bookmarkEnd w:id="7147"/>
    </w:p>
    <w:p w:rsidR="00612FD3" w:rsidRPr="00C9050A" w:rsidRDefault="00612FD3" w:rsidP="00612FD3">
      <w:pPr>
        <w:pStyle w:val="BodyText"/>
      </w:pPr>
      <w:r>
        <w:t>Building certifiers and surveyors were targeted for the survey because all new commercial buildings must be certified by a building surveyor and each building surveyor is likely to see a broader range of buildings than other building industry professionals. This reduces the chance of obtaining a biased sample.</w:t>
      </w:r>
    </w:p>
    <w:p w:rsidR="00612FD3" w:rsidRDefault="00612FD3" w:rsidP="00612FD3">
      <w:pPr>
        <w:pStyle w:val="BodyText"/>
      </w:pPr>
      <w:r>
        <w:t>The survey instrument was developed using Survey Monkey. The questions are summarised in table </w:t>
      </w:r>
      <w:r>
        <w:rPr>
          <w:noProof/>
        </w:rPr>
        <w:fldChar w:fldCharType="begin"/>
      </w:r>
      <w:r>
        <w:rPr>
          <w:noProof/>
        </w:rPr>
        <w:instrText xml:space="preserve"> REF _Caption8183 </w:instrText>
      </w:r>
      <w:r>
        <w:rPr>
          <w:noProof/>
        </w:rPr>
        <w:fldChar w:fldCharType="separate"/>
      </w:r>
      <w:r w:rsidR="006B79B8">
        <w:rPr>
          <w:noProof/>
        </w:rPr>
        <w:t>F</w:t>
      </w:r>
      <w:r w:rsidR="006B79B8" w:rsidRPr="00695C93">
        <w:rPr>
          <w:noProof/>
        </w:rPr>
        <w:t>.</w:t>
      </w:r>
      <w:r w:rsidR="006B79B8">
        <w:rPr>
          <w:noProof/>
        </w:rPr>
        <w:t>1</w:t>
      </w:r>
      <w:r>
        <w:rPr>
          <w:noProof/>
        </w:rPr>
        <w:fldChar w:fldCharType="end"/>
      </w:r>
      <w:r>
        <w:t xml:space="preserve"> (note that the online version of the survey had a significantly different layout).</w:t>
      </w:r>
    </w:p>
    <w:p w:rsidR="00612FD3" w:rsidRDefault="00612FD3" w:rsidP="00612FD3">
      <w:pPr>
        <w:pStyle w:val="Caption"/>
      </w:pPr>
      <w:r w:rsidRPr="00695C93">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sidR="00B833F1">
        <w:rPr>
          <w:noProof/>
        </w:rPr>
        <w:instrText>F</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0</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w:instrText>
      </w:r>
      <w:r w:rsidRPr="00695C93">
        <w:fldChar w:fldCharType="end"/>
      </w:r>
      <w:r w:rsidRPr="00695C93">
        <w:instrText>" "</w:instrText>
      </w:r>
      <w:r>
        <w:rPr>
          <w:noProof/>
        </w:rPr>
        <w:fldChar w:fldCharType="begin"/>
      </w:r>
      <w:r>
        <w:rPr>
          <w:noProof/>
        </w:rPr>
        <w:instrText xml:space="preserve"> STYLEREF "Heading 6" \l \n </w:instrText>
      </w:r>
      <w:r>
        <w:rPr>
          <w:noProof/>
        </w:rPr>
        <w:fldChar w:fldCharType="separate"/>
      </w:r>
      <w:r w:rsidR="00B833F1">
        <w:rPr>
          <w:noProof/>
        </w:rPr>
        <w:instrText>F</w:instrText>
      </w:r>
      <w:r>
        <w:rPr>
          <w:noProof/>
        </w:rPr>
        <w:fldChar w:fldCharType="end"/>
      </w:r>
      <w:r w:rsidRPr="00695C93">
        <w:instrText xml:space="preserve">." </w:instrText>
      </w:r>
      <w:r w:rsidRPr="00695C93">
        <w:fldChar w:fldCharType="separate"/>
      </w:r>
      <w:r w:rsidR="00B833F1">
        <w:rPr>
          <w:noProof/>
        </w:rPr>
        <w:instrText>F</w:instrText>
      </w:r>
      <w:r w:rsidR="00B833F1"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sidR="00B833F1">
        <w:rPr>
          <w:noProof/>
        </w:rPr>
        <w:instrText>F</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0</w:instrText>
      </w:r>
      <w:r>
        <w:rPr>
          <w:noProof/>
        </w:rPr>
        <w:fldChar w:fldCharType="end"/>
      </w:r>
      <w:r w:rsidRPr="00695C93">
        <w:instrText xml:space="preserve"> = 0 "" "1" </w:instrText>
      </w:r>
      <w:r w:rsidRPr="00695C93">
        <w:fldChar w:fldCharType="end"/>
      </w:r>
      <w:r w:rsidRPr="00695C93">
        <w:instrText xml:space="preserve">" "6" </w:instrText>
      </w:r>
      <w:r w:rsidRPr="00695C93">
        <w:fldChar w:fldCharType="separate"/>
      </w:r>
      <w:r w:rsidR="00B833F1" w:rsidRPr="00695C93">
        <w:rPr>
          <w:noProof/>
        </w:rPr>
        <w:instrText>6</w:instrText>
      </w:r>
      <w:r w:rsidRPr="00695C93">
        <w:fldChar w:fldCharType="end"/>
      </w:r>
      <w:r w:rsidRPr="00695C93">
        <w:instrText xml:space="preserve"> </w:instrText>
      </w:r>
      <w:r w:rsidRPr="00695C93">
        <w:fldChar w:fldCharType="separate"/>
      </w:r>
      <w:r w:rsidR="00B833F1">
        <w:rPr>
          <w:noProof/>
        </w:rPr>
        <w:instrText>1</w:instrText>
      </w:r>
      <w:r w:rsidRPr="00695C93">
        <w:fldChar w:fldCharType="end"/>
      </w:r>
      <w:r w:rsidRPr="00695C93">
        <w:instrText xml:space="preserve">" "" </w:instrText>
      </w:r>
      <w:r w:rsidRPr="00695C93">
        <w:fldChar w:fldCharType="separate"/>
      </w:r>
      <w:bookmarkStart w:id="7148" w:name="_Caption8360"/>
      <w:bookmarkStart w:id="7149" w:name="_Caption1369"/>
      <w:bookmarkStart w:id="7150" w:name="_Caption8786"/>
      <w:bookmarkStart w:id="7151" w:name="_Caption4595"/>
      <w:bookmarkStart w:id="7152" w:name="_Caption3850"/>
      <w:bookmarkStart w:id="7153" w:name="_Caption0471"/>
      <w:bookmarkStart w:id="7154" w:name="_Caption3429"/>
      <w:bookmarkStart w:id="7155" w:name="_Caption2012"/>
      <w:bookmarkStart w:id="7156" w:name="_Caption1452"/>
      <w:bookmarkStart w:id="7157" w:name="_Caption1673"/>
      <w:bookmarkStart w:id="7158" w:name="_Caption4420"/>
      <w:bookmarkStart w:id="7159" w:name="_Caption4725"/>
      <w:bookmarkStart w:id="7160" w:name="_Caption0362"/>
      <w:bookmarkStart w:id="7161" w:name="_Caption1794"/>
      <w:bookmarkStart w:id="7162" w:name="_Caption2144"/>
      <w:bookmarkStart w:id="7163" w:name="_Caption9910"/>
      <w:bookmarkStart w:id="7164" w:name="_Caption7496"/>
      <w:bookmarkStart w:id="7165" w:name="_Caption9264"/>
      <w:bookmarkStart w:id="7166" w:name="_Caption5401"/>
      <w:bookmarkStart w:id="7167" w:name="_Caption5909"/>
      <w:bookmarkStart w:id="7168" w:name="_Caption1726"/>
      <w:bookmarkStart w:id="7169" w:name="_Caption4952"/>
      <w:bookmarkStart w:id="7170" w:name="_Caption4775"/>
      <w:bookmarkStart w:id="7171" w:name="_Caption7257"/>
      <w:bookmarkStart w:id="7172" w:name="_Caption7645"/>
      <w:bookmarkStart w:id="7173" w:name="_Caption3826"/>
      <w:bookmarkStart w:id="7174" w:name="_Caption5300"/>
      <w:bookmarkStart w:id="7175" w:name="_Caption3217"/>
      <w:bookmarkStart w:id="7176" w:name="_Caption1151"/>
      <w:bookmarkStart w:id="7177" w:name="_Caption5833"/>
      <w:bookmarkStart w:id="7178" w:name="_Caption1576"/>
      <w:bookmarkStart w:id="7179" w:name="_Caption5298"/>
      <w:bookmarkStart w:id="7180" w:name="_Caption3317"/>
      <w:bookmarkStart w:id="7181" w:name="_Caption4537"/>
      <w:bookmarkStart w:id="7182" w:name="_Caption1120"/>
      <w:bookmarkStart w:id="7183" w:name="_Caption6085"/>
      <w:bookmarkStart w:id="7184" w:name="_Caption1211"/>
      <w:bookmarkStart w:id="7185" w:name="_Caption8091"/>
      <w:bookmarkStart w:id="7186" w:name="_Caption7767"/>
      <w:bookmarkStart w:id="7187" w:name="_Caption0927"/>
      <w:bookmarkStart w:id="7188" w:name="_Caption6614"/>
      <w:bookmarkStart w:id="7189" w:name="_Caption8804"/>
      <w:bookmarkStart w:id="7190" w:name="_Caption6030"/>
      <w:bookmarkStart w:id="7191" w:name="_Caption8541"/>
      <w:bookmarkStart w:id="7192" w:name="_Caption2573"/>
      <w:bookmarkStart w:id="7193" w:name="_Caption6199"/>
      <w:bookmarkStart w:id="7194" w:name="_Caption5177"/>
      <w:bookmarkStart w:id="7195" w:name="_Caption5745"/>
      <w:bookmarkStart w:id="7196" w:name="_Caption2901"/>
      <w:bookmarkStart w:id="7197" w:name="_Caption2693"/>
      <w:bookmarkStart w:id="7198" w:name="_Caption5379"/>
      <w:bookmarkStart w:id="7199" w:name="_Caption5462"/>
      <w:bookmarkStart w:id="7200" w:name="_Caption3378"/>
      <w:bookmarkStart w:id="7201" w:name="_Caption8186"/>
      <w:bookmarkStart w:id="7202" w:name="_Caption2911"/>
      <w:bookmarkStart w:id="7203" w:name="_Caption9303"/>
      <w:bookmarkStart w:id="7204" w:name="_Caption5648"/>
      <w:bookmarkStart w:id="7205" w:name="_Caption9926"/>
      <w:bookmarkStart w:id="7206" w:name="_Caption7232"/>
      <w:bookmarkStart w:id="7207" w:name="_Caption3681"/>
      <w:bookmarkStart w:id="7208" w:name="_Caption8183"/>
      <w:bookmarkStart w:id="7209" w:name="_Caption7713"/>
      <w:bookmarkStart w:id="7210" w:name="_Caption7115"/>
      <w:bookmarkStart w:id="7211" w:name="_Caption3139"/>
      <w:bookmarkStart w:id="7212" w:name="_Caption8190"/>
      <w:bookmarkStart w:id="7213" w:name="_Caption7716"/>
      <w:bookmarkStart w:id="7214" w:name="_Caption4386"/>
      <w:bookmarkStart w:id="7215" w:name="_Caption4604"/>
      <w:bookmarkStart w:id="7216" w:name="_Caption4305"/>
      <w:bookmarkStart w:id="7217" w:name="_Caption5768"/>
      <w:bookmarkStart w:id="7218" w:name="_Caption0521"/>
      <w:bookmarkStart w:id="7219" w:name="_Caption4103"/>
      <w:bookmarkStart w:id="7220" w:name="_Caption9145"/>
      <w:bookmarkStart w:id="7221" w:name="_Caption5698"/>
      <w:bookmarkStart w:id="7222" w:name="_Caption9560"/>
      <w:bookmarkStart w:id="7223" w:name="_Caption3533"/>
      <w:bookmarkStart w:id="7224" w:name="_Caption8601"/>
      <w:bookmarkStart w:id="7225" w:name="_Caption4259"/>
      <w:bookmarkStart w:id="7226" w:name="_Caption0608"/>
      <w:bookmarkStart w:id="7227" w:name="_Caption9907"/>
      <w:bookmarkStart w:id="7228" w:name="_Caption3149"/>
      <w:bookmarkStart w:id="7229" w:name="_Caption3270"/>
      <w:bookmarkStart w:id="7230" w:name="_Caption1416"/>
      <w:bookmarkStart w:id="7231" w:name="_Caption8497"/>
      <w:bookmarkStart w:id="7232" w:name="_Caption7873"/>
      <w:bookmarkStart w:id="7233" w:name="_Caption6087"/>
      <w:bookmarkStart w:id="7234" w:name="_Caption2201"/>
      <w:bookmarkStart w:id="7235" w:name="_Caption6708"/>
      <w:bookmarkStart w:id="7236" w:name="_Caption8782"/>
      <w:bookmarkStart w:id="7237" w:name="_Caption9448"/>
      <w:bookmarkStart w:id="7238" w:name="_Caption7740"/>
      <w:bookmarkStart w:id="7239" w:name="_Caption8897"/>
      <w:bookmarkStart w:id="7240" w:name="_Caption7990"/>
      <w:bookmarkStart w:id="7241" w:name="_Caption6836"/>
      <w:bookmarkStart w:id="7242" w:name="_Caption2179"/>
      <w:bookmarkStart w:id="7243" w:name="_Caption4631"/>
      <w:bookmarkStart w:id="7244" w:name="_Caption9313"/>
      <w:bookmarkStart w:id="7245" w:name="_Caption7842"/>
      <w:bookmarkStart w:id="7246" w:name="_Caption5945"/>
      <w:bookmarkStart w:id="7247" w:name="_Caption6818"/>
      <w:bookmarkStart w:id="7248" w:name="_Caption6284"/>
      <w:bookmarkStart w:id="7249" w:name="_Caption6505"/>
      <w:bookmarkStart w:id="7250" w:name="_Caption1884"/>
      <w:bookmarkStart w:id="7251" w:name="_Caption7249"/>
      <w:bookmarkStart w:id="7252" w:name="_Caption0324"/>
      <w:bookmarkStart w:id="7253" w:name="_Caption5510"/>
      <w:bookmarkStart w:id="7254" w:name="_Caption4070"/>
      <w:bookmarkStart w:id="7255" w:name="_Toc505120690"/>
      <w:bookmarkStart w:id="7256" w:name="_Toc509220892"/>
      <w:bookmarkStart w:id="7257" w:name="_Toc529869994"/>
      <w:bookmarkStart w:id="7258" w:name="_Toc530748490"/>
      <w:r w:rsidR="00EA42ED">
        <w:rPr>
          <w:noProof/>
        </w:rPr>
        <w:t>F</w:t>
      </w:r>
      <w:r w:rsidR="00EA42ED" w:rsidRPr="00695C93">
        <w:rPr>
          <w:noProof/>
        </w:rPr>
        <w:t>.</w:t>
      </w:r>
      <w:r w:rsidR="00EA42ED">
        <w:rPr>
          <w:noProof/>
        </w:rPr>
        <w:t>1</w:t>
      </w:r>
      <w:bookmarkStart w:id="7259" w:name="_Toc507523843"/>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r w:rsidRPr="00695C93">
        <w:fldChar w:fldCharType="end"/>
      </w:r>
      <w:r w:rsidRPr="00695C93">
        <w:tab/>
      </w:r>
      <w:r>
        <w:t>Summary of survey design</w:t>
      </w:r>
      <w:bookmarkEnd w:id="7255"/>
      <w:bookmarkEnd w:id="7256"/>
      <w:bookmarkEnd w:id="7257"/>
      <w:bookmarkEnd w:id="7258"/>
      <w:bookmarkEnd w:id="7259"/>
    </w:p>
    <w:tbl>
      <w:tblPr>
        <w:tblW w:w="7937" w:type="dxa"/>
        <w:tblLayout w:type="fixed"/>
        <w:tblLook w:val="0000" w:firstRow="0" w:lastRow="0" w:firstColumn="0" w:lastColumn="0" w:noHBand="0" w:noVBand="0"/>
        <w:tblCaption w:val="Table F.1: Summary of survey design"/>
        <w:tblDescription w:val="This table outlines how the survey of industry stakeholders was undertaken. "/>
      </w:tblPr>
      <w:tblGrid>
        <w:gridCol w:w="3968"/>
        <w:gridCol w:w="3969"/>
      </w:tblGrid>
      <w:tr w:rsidR="00612FD3" w:rsidTr="00301B6D">
        <w:trPr>
          <w:tblHeader/>
        </w:trPr>
        <w:tc>
          <w:tcPr>
            <w:tcW w:w="3968" w:type="dxa"/>
            <w:tcBorders>
              <w:bottom w:val="single" w:sz="8" w:space="0" w:color="FFFFFF" w:themeColor="background1"/>
            </w:tcBorders>
            <w:shd w:val="clear" w:color="auto" w:fill="6F6652"/>
            <w:tcMar>
              <w:left w:w="57" w:type="dxa"/>
              <w:right w:w="57" w:type="dxa"/>
            </w:tcMar>
          </w:tcPr>
          <w:p w:rsidR="00612FD3" w:rsidRDefault="00612FD3" w:rsidP="00301B6D">
            <w:pPr>
              <w:pStyle w:val="TableTextColumnHeading"/>
            </w:pPr>
            <w:r>
              <w:t>Question</w:t>
            </w:r>
          </w:p>
        </w:tc>
        <w:tc>
          <w:tcPr>
            <w:tcW w:w="3969" w:type="dxa"/>
            <w:tcBorders>
              <w:bottom w:val="single" w:sz="8" w:space="0" w:color="FFFFFF" w:themeColor="background1"/>
            </w:tcBorders>
            <w:shd w:val="clear" w:color="auto" w:fill="6F6652"/>
            <w:tcMar>
              <w:left w:w="57" w:type="dxa"/>
              <w:right w:w="57" w:type="dxa"/>
            </w:tcMar>
          </w:tcPr>
          <w:p w:rsidR="00612FD3" w:rsidRDefault="00612FD3" w:rsidP="00301B6D">
            <w:pPr>
              <w:pStyle w:val="TableTextColumnHeading"/>
            </w:pPr>
            <w:r>
              <w:t>Answer choices</w:t>
            </w:r>
          </w:p>
        </w:tc>
      </w:tr>
      <w:tr w:rsidR="00612FD3" w:rsidTr="00301B6D">
        <w:tc>
          <w:tcPr>
            <w:tcW w:w="3968"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pPr>
            <w:r>
              <w:t>Introductory questions</w:t>
            </w:r>
          </w:p>
        </w:tc>
        <w:tc>
          <w:tcPr>
            <w:tcW w:w="396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pPr>
          </w:p>
        </w:tc>
      </w:tr>
      <w:tr w:rsidR="00612FD3" w:rsidTr="00301B6D">
        <w:tc>
          <w:tcPr>
            <w:tcW w:w="396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TextEntries"/>
            </w:pPr>
            <w:r>
              <w:t>What state/territory do you most operate in?</w:t>
            </w:r>
          </w:p>
        </w:tc>
        <w:tc>
          <w:tcPr>
            <w:tcW w:w="396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ListBullet"/>
            </w:pPr>
            <w:r>
              <w:t>New South Wales</w:t>
            </w:r>
          </w:p>
          <w:p w:rsidR="00612FD3" w:rsidRDefault="00612FD3" w:rsidP="00301B6D">
            <w:pPr>
              <w:pStyle w:val="TableListBullet"/>
            </w:pPr>
            <w:r>
              <w:t>Victoria</w:t>
            </w:r>
          </w:p>
          <w:p w:rsidR="00612FD3" w:rsidRDefault="00612FD3" w:rsidP="00301B6D">
            <w:pPr>
              <w:pStyle w:val="TableListBullet"/>
            </w:pPr>
            <w:r>
              <w:t>Queensland</w:t>
            </w:r>
          </w:p>
          <w:p w:rsidR="00612FD3" w:rsidRDefault="00612FD3" w:rsidP="00301B6D">
            <w:pPr>
              <w:pStyle w:val="TableListBullet"/>
            </w:pPr>
            <w:r>
              <w:t>Western Australia</w:t>
            </w:r>
          </w:p>
          <w:p w:rsidR="00612FD3" w:rsidRDefault="00612FD3" w:rsidP="00301B6D">
            <w:pPr>
              <w:pStyle w:val="TableListBullet"/>
            </w:pPr>
            <w:r>
              <w:t>South Australia</w:t>
            </w:r>
          </w:p>
          <w:p w:rsidR="00612FD3" w:rsidRDefault="00612FD3" w:rsidP="00301B6D">
            <w:pPr>
              <w:pStyle w:val="TableListBullet"/>
            </w:pPr>
            <w:r>
              <w:t>Tasmania</w:t>
            </w:r>
          </w:p>
          <w:p w:rsidR="00612FD3" w:rsidRDefault="00612FD3" w:rsidP="00301B6D">
            <w:pPr>
              <w:pStyle w:val="TableListBullet"/>
            </w:pPr>
            <w:r>
              <w:t>Australian Capital Territory</w:t>
            </w:r>
          </w:p>
          <w:p w:rsidR="00612FD3" w:rsidRDefault="00612FD3" w:rsidP="00301B6D">
            <w:pPr>
              <w:pStyle w:val="TableListBullet"/>
            </w:pPr>
            <w:r>
              <w:t>Northern Territory</w:t>
            </w:r>
          </w:p>
        </w:tc>
      </w:tr>
      <w:tr w:rsidR="00612FD3" w:rsidTr="00301B6D">
        <w:tc>
          <w:tcPr>
            <w:tcW w:w="396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TextEntries"/>
            </w:pPr>
            <w:r>
              <w:t>What area do you mostly operate in?</w:t>
            </w:r>
          </w:p>
        </w:tc>
        <w:tc>
          <w:tcPr>
            <w:tcW w:w="396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ListBullet"/>
            </w:pPr>
            <w:r>
              <w:t>Capital city</w:t>
            </w:r>
          </w:p>
          <w:p w:rsidR="00612FD3" w:rsidRDefault="00612FD3" w:rsidP="00301B6D">
            <w:pPr>
              <w:pStyle w:val="TableListBullet"/>
            </w:pPr>
            <w:r>
              <w:t>Regional</w:t>
            </w:r>
          </w:p>
        </w:tc>
      </w:tr>
      <w:tr w:rsidR="00612FD3" w:rsidTr="00301B6D">
        <w:tc>
          <w:tcPr>
            <w:tcW w:w="396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TextEntries"/>
            </w:pPr>
            <w:r>
              <w:t xml:space="preserve">What ABCB </w:t>
            </w:r>
            <w:r w:rsidR="00E31EE8">
              <w:t>Climate Zone</w:t>
            </w:r>
            <w:r>
              <w:t xml:space="preserve"> do you mostly operate in?</w:t>
            </w:r>
          </w:p>
        </w:tc>
        <w:tc>
          <w:tcPr>
            <w:tcW w:w="396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E31EE8" w:rsidP="00301B6D">
            <w:pPr>
              <w:pStyle w:val="TableListBullet"/>
            </w:pPr>
            <w:r>
              <w:t>Climate Zone</w:t>
            </w:r>
            <w:r w:rsidR="00612FD3">
              <w:t xml:space="preserve"> 1</w:t>
            </w:r>
          </w:p>
          <w:p w:rsidR="00612FD3" w:rsidRDefault="00E31EE8" w:rsidP="00301B6D">
            <w:pPr>
              <w:pStyle w:val="TableListBullet"/>
            </w:pPr>
            <w:r>
              <w:t>Climate Zone</w:t>
            </w:r>
            <w:r w:rsidR="00612FD3">
              <w:t xml:space="preserve"> 2</w:t>
            </w:r>
          </w:p>
          <w:p w:rsidR="00612FD3" w:rsidRDefault="00E31EE8" w:rsidP="00301B6D">
            <w:pPr>
              <w:pStyle w:val="TableListBullet"/>
            </w:pPr>
            <w:r>
              <w:t>Climate Zone</w:t>
            </w:r>
            <w:r w:rsidR="00612FD3">
              <w:t xml:space="preserve"> 3</w:t>
            </w:r>
          </w:p>
          <w:p w:rsidR="00612FD3" w:rsidRDefault="00E31EE8" w:rsidP="00301B6D">
            <w:pPr>
              <w:pStyle w:val="TableListBullet"/>
            </w:pPr>
            <w:r>
              <w:t>Climate Zone</w:t>
            </w:r>
            <w:r w:rsidR="00612FD3">
              <w:t xml:space="preserve"> 4</w:t>
            </w:r>
          </w:p>
          <w:p w:rsidR="00612FD3" w:rsidRDefault="00E31EE8" w:rsidP="00301B6D">
            <w:pPr>
              <w:pStyle w:val="TableListBullet"/>
            </w:pPr>
            <w:r>
              <w:t>Climate Zone</w:t>
            </w:r>
            <w:r w:rsidR="00612FD3">
              <w:t xml:space="preserve"> 5</w:t>
            </w:r>
          </w:p>
          <w:p w:rsidR="00612FD3" w:rsidRDefault="00E31EE8" w:rsidP="00301B6D">
            <w:pPr>
              <w:pStyle w:val="TableListBullet"/>
            </w:pPr>
            <w:r>
              <w:t>Climate Zone</w:t>
            </w:r>
            <w:r w:rsidR="00612FD3">
              <w:t xml:space="preserve"> 6</w:t>
            </w:r>
          </w:p>
          <w:p w:rsidR="00612FD3" w:rsidRDefault="00E31EE8" w:rsidP="00301B6D">
            <w:pPr>
              <w:pStyle w:val="TableListBullet"/>
            </w:pPr>
            <w:r>
              <w:t>Climate Zone</w:t>
            </w:r>
            <w:r w:rsidR="00612FD3">
              <w:t xml:space="preserve"> 7</w:t>
            </w:r>
          </w:p>
          <w:p w:rsidR="00612FD3" w:rsidRDefault="00E31EE8" w:rsidP="00301B6D">
            <w:pPr>
              <w:pStyle w:val="TableListBullet"/>
            </w:pPr>
            <w:r>
              <w:t>Climate Zone</w:t>
            </w:r>
            <w:r w:rsidR="00612FD3">
              <w:t xml:space="preserve"> 8</w:t>
            </w:r>
          </w:p>
        </w:tc>
      </w:tr>
      <w:tr w:rsidR="00612FD3" w:rsidTr="00301B6D">
        <w:tc>
          <w:tcPr>
            <w:tcW w:w="3968"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pPr>
            <w:r>
              <w:t>Questions for each building type</w:t>
            </w:r>
          </w:p>
        </w:tc>
        <w:tc>
          <w:tcPr>
            <w:tcW w:w="396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pPr>
          </w:p>
        </w:tc>
      </w:tr>
      <w:tr w:rsidR="00612FD3" w:rsidTr="00301B6D">
        <w:tc>
          <w:tcPr>
            <w:tcW w:w="396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TextEntries"/>
            </w:pPr>
            <w:r>
              <w:t>The following set of questions were asked for each of the following building types:</w:t>
            </w:r>
          </w:p>
          <w:p w:rsidR="00612FD3" w:rsidRDefault="00612FD3" w:rsidP="00301B6D">
            <w:pPr>
              <w:pStyle w:val="TableListBullet"/>
            </w:pPr>
            <w:r>
              <w:t>Premium high rise office buildings</w:t>
            </w:r>
          </w:p>
          <w:p w:rsidR="00612FD3" w:rsidRDefault="00612FD3" w:rsidP="00301B6D">
            <w:pPr>
              <w:pStyle w:val="TableListBullet"/>
            </w:pPr>
            <w:r>
              <w:t>Other office buildings</w:t>
            </w:r>
          </w:p>
          <w:p w:rsidR="00612FD3" w:rsidRDefault="00612FD3" w:rsidP="00301B6D">
            <w:pPr>
              <w:pStyle w:val="TableListBullet"/>
            </w:pPr>
            <w:r>
              <w:t>Shopping centres</w:t>
            </w:r>
          </w:p>
          <w:p w:rsidR="00612FD3" w:rsidRDefault="00612FD3" w:rsidP="00301B6D">
            <w:pPr>
              <w:pStyle w:val="TableListBullet"/>
            </w:pPr>
            <w:r>
              <w:t>Other retail buildings</w:t>
            </w:r>
          </w:p>
          <w:p w:rsidR="00612FD3" w:rsidRDefault="00612FD3" w:rsidP="00301B6D">
            <w:pPr>
              <w:pStyle w:val="TableListBullet"/>
            </w:pPr>
            <w:r>
              <w:t>Hospitals</w:t>
            </w:r>
          </w:p>
          <w:p w:rsidR="00612FD3" w:rsidRDefault="00612FD3" w:rsidP="00301B6D">
            <w:pPr>
              <w:pStyle w:val="TableListBullet"/>
            </w:pPr>
            <w:r>
              <w:t>Schools</w:t>
            </w:r>
          </w:p>
          <w:p w:rsidR="00612FD3" w:rsidRDefault="00612FD3" w:rsidP="00301B6D">
            <w:pPr>
              <w:pStyle w:val="TableListBullet"/>
            </w:pPr>
            <w:r>
              <w:t>VET/university buildings</w:t>
            </w:r>
          </w:p>
          <w:p w:rsidR="00612FD3" w:rsidRDefault="00612FD3" w:rsidP="00301B6D">
            <w:pPr>
              <w:pStyle w:val="TableListBullet"/>
            </w:pPr>
            <w:r>
              <w:t>Hotels</w:t>
            </w:r>
          </w:p>
        </w:tc>
        <w:tc>
          <w:tcPr>
            <w:tcW w:w="396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TextEntries"/>
            </w:pPr>
          </w:p>
        </w:tc>
      </w:tr>
      <w:tr w:rsidR="00612FD3" w:rsidTr="00301B6D">
        <w:tc>
          <w:tcPr>
            <w:tcW w:w="396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TextEntries"/>
            </w:pPr>
            <w:r>
              <w:t>In the past three years, have you certified any &lt;building type&gt;?</w:t>
            </w:r>
          </w:p>
        </w:tc>
        <w:tc>
          <w:tcPr>
            <w:tcW w:w="396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ListBullet"/>
            </w:pPr>
            <w:r>
              <w:t>Yes</w:t>
            </w:r>
          </w:p>
          <w:p w:rsidR="00612FD3" w:rsidRDefault="00612FD3" w:rsidP="00301B6D">
            <w:pPr>
              <w:pStyle w:val="TableListBullet"/>
            </w:pPr>
            <w:r>
              <w:t>No</w:t>
            </w:r>
          </w:p>
        </w:tc>
      </w:tr>
      <w:tr w:rsidR="00612FD3" w:rsidTr="00301B6D">
        <w:tc>
          <w:tcPr>
            <w:tcW w:w="396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TextEntries"/>
            </w:pPr>
            <w:r>
              <w:t>Approximately how many new &lt;building type&gt; have you certified in the past three years?</w:t>
            </w:r>
          </w:p>
        </w:tc>
        <w:tc>
          <w:tcPr>
            <w:tcW w:w="396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TextEntries"/>
            </w:pPr>
            <w:r>
              <w:t>Open ended</w:t>
            </w:r>
          </w:p>
        </w:tc>
      </w:tr>
      <w:tr w:rsidR="00612FD3" w:rsidTr="00301B6D">
        <w:tc>
          <w:tcPr>
            <w:tcW w:w="396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TextEntries"/>
            </w:pPr>
            <w:r>
              <w:t>Please indicate approximately what proportion of new &lt;building type&gt; you certified were designed to achieve the following energy efficiency outcomes (responses must sum to 100%)</w:t>
            </w:r>
          </w:p>
          <w:p w:rsidR="00612FD3" w:rsidRDefault="00612FD3" w:rsidP="00301B6D">
            <w:pPr>
              <w:pStyle w:val="TableTextEntries"/>
            </w:pPr>
            <w:r>
              <w:t>The energy efficiency standards of the NCC were met by:</w:t>
            </w:r>
          </w:p>
          <w:p w:rsidR="00612FD3" w:rsidRDefault="00612FD3" w:rsidP="00301B6D">
            <w:pPr>
              <w:pStyle w:val="TableListBullet"/>
            </w:pPr>
            <w:r>
              <w:t>Adopting Deemed-to-Satisfy solutions to achieve the minimum (i.e. no more efficient than necessary) (%)</w:t>
            </w:r>
          </w:p>
          <w:p w:rsidR="00612FD3" w:rsidRDefault="00612FD3" w:rsidP="00301B6D">
            <w:pPr>
              <w:pStyle w:val="TableListBullet"/>
            </w:pPr>
            <w:r>
              <w:t>Adopting solutions under a Deemed</w:t>
            </w:r>
            <w:r>
              <w:noBreakHyphen/>
              <w:t>to</w:t>
            </w:r>
            <w:r>
              <w:noBreakHyphen/>
              <w:t>Satisfy pathway that were significantly more efficient (%)</w:t>
            </w:r>
          </w:p>
          <w:p w:rsidR="00612FD3" w:rsidRDefault="00612FD3" w:rsidP="00301B6D">
            <w:pPr>
              <w:pStyle w:val="TableListBullet"/>
            </w:pPr>
            <w:r>
              <w:t>A Performance Solution (using a Verification Method such as JV3) to achieve equivalence to the Deemed</w:t>
            </w:r>
            <w:r>
              <w:noBreakHyphen/>
              <w:t>to</w:t>
            </w:r>
            <w:r>
              <w:noBreakHyphen/>
              <w:t>Satisfy but not exceed it (i.e. equivalent, but no more efficient) (%)</w:t>
            </w:r>
          </w:p>
          <w:p w:rsidR="00612FD3" w:rsidRDefault="00612FD3" w:rsidP="00301B6D">
            <w:pPr>
              <w:pStyle w:val="TableListBullet"/>
            </w:pPr>
            <w:r>
              <w:t>A Performance Solution to achieve annual energy consumption that is 0-10% lower than NCC minimum standards (%)</w:t>
            </w:r>
          </w:p>
          <w:p w:rsidR="00612FD3" w:rsidRDefault="00612FD3" w:rsidP="00301B6D">
            <w:pPr>
              <w:pStyle w:val="TableListBullet"/>
            </w:pPr>
            <w:r>
              <w:t>A Performance Solution to achieve annual energy consumption that is 10-20% lower than the NCC minimum standards (%)</w:t>
            </w:r>
          </w:p>
          <w:p w:rsidR="00612FD3" w:rsidRDefault="00612FD3" w:rsidP="00301B6D">
            <w:pPr>
              <w:pStyle w:val="TableListBullet"/>
            </w:pPr>
            <w:r>
              <w:t>A Performance Solution to achieve annual energy consumption that is 20-30% lower than the NCC minimum standards (%)</w:t>
            </w:r>
          </w:p>
          <w:p w:rsidR="00612FD3" w:rsidRDefault="00612FD3" w:rsidP="00301B6D">
            <w:pPr>
              <w:pStyle w:val="TableListBullet"/>
            </w:pPr>
            <w:r>
              <w:t>A Performance Solution to achieve annual energy consumption that is 30-40% lower than the NCC minimum standards (%)</w:t>
            </w:r>
          </w:p>
          <w:p w:rsidR="00612FD3" w:rsidRDefault="00612FD3" w:rsidP="00301B6D">
            <w:pPr>
              <w:pStyle w:val="TableListBullet"/>
            </w:pPr>
            <w:r>
              <w:t>A Performance Solution to achieve annual energy consumption that is more than 40% lower than the NCC minimum standards (%)</w:t>
            </w:r>
          </w:p>
        </w:tc>
        <w:tc>
          <w:tcPr>
            <w:tcW w:w="396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TextEntries"/>
            </w:pPr>
            <w:r>
              <w:t>Numerical response summing to 100%</w:t>
            </w:r>
          </w:p>
        </w:tc>
      </w:tr>
      <w:tr w:rsidR="00612FD3" w:rsidTr="00301B6D">
        <w:tc>
          <w:tcPr>
            <w:tcW w:w="3968" w:type="dxa"/>
            <w:tcBorders>
              <w:top w:val="single" w:sz="8" w:space="0" w:color="FFFFFF" w:themeColor="background1"/>
              <w:bottom w:val="single" w:sz="6" w:space="0" w:color="6F6652"/>
            </w:tcBorders>
            <w:shd w:val="clear" w:color="auto" w:fill="E9E8E5" w:themeFill="background2"/>
            <w:tcMar>
              <w:left w:w="57" w:type="dxa"/>
              <w:right w:w="57" w:type="dxa"/>
            </w:tcMar>
          </w:tcPr>
          <w:p w:rsidR="00612FD3" w:rsidRDefault="00612FD3" w:rsidP="00301B6D">
            <w:pPr>
              <w:pStyle w:val="TableTextEntries"/>
            </w:pPr>
            <w:r>
              <w:t>Do you have comments in relation to your responses to the above questions?</w:t>
            </w:r>
          </w:p>
        </w:tc>
        <w:tc>
          <w:tcPr>
            <w:tcW w:w="3969" w:type="dxa"/>
            <w:tcBorders>
              <w:top w:val="single" w:sz="8" w:space="0" w:color="FFFFFF" w:themeColor="background1"/>
              <w:bottom w:val="single" w:sz="6" w:space="0" w:color="6F6652"/>
            </w:tcBorders>
            <w:shd w:val="clear" w:color="auto" w:fill="E9E8E5" w:themeFill="background2"/>
            <w:tcMar>
              <w:left w:w="57" w:type="dxa"/>
              <w:right w:w="57" w:type="dxa"/>
            </w:tcMar>
          </w:tcPr>
          <w:p w:rsidR="00612FD3" w:rsidRDefault="00612FD3" w:rsidP="00301B6D">
            <w:pPr>
              <w:pStyle w:val="TableTextEntries"/>
            </w:pPr>
            <w:r>
              <w:t>Open ended</w:t>
            </w:r>
          </w:p>
        </w:tc>
      </w:tr>
    </w:tbl>
    <w:p w:rsidR="00612FD3" w:rsidRDefault="00612FD3" w:rsidP="00612FD3">
      <w:pPr>
        <w:pStyle w:val="Source"/>
      </w:pPr>
      <w:r>
        <w:rPr>
          <w:i/>
        </w:rPr>
        <w:t>Source</w:t>
      </w:r>
      <w:r w:rsidRPr="00E4232C">
        <w:rPr>
          <w:i/>
        </w:rPr>
        <w:t>:</w:t>
      </w:r>
      <w:r>
        <w:t xml:space="preserve"> CIE.</w:t>
      </w:r>
    </w:p>
    <w:p w:rsidR="00612FD3" w:rsidRDefault="00612FD3" w:rsidP="00612FD3">
      <w:pPr>
        <w:pStyle w:val="BodyText"/>
      </w:pPr>
      <w:r>
        <w:t>The survey was forwarded to the membership of the Australian Institute of Building Surveyors via email in December 2017.</w:t>
      </w:r>
    </w:p>
    <w:p w:rsidR="00612FD3" w:rsidRDefault="00612FD3" w:rsidP="00612FD3">
      <w:pPr>
        <w:pStyle w:val="BodyText"/>
      </w:pPr>
      <w:r>
        <w:t>The survey was also forwarded to the ABCB’s mailing list of building surveying stakeholders on 12 January 2018.</w:t>
      </w:r>
    </w:p>
    <w:p w:rsidR="00612FD3" w:rsidRDefault="00612FD3" w:rsidP="00612FD3">
      <w:pPr>
        <w:pStyle w:val="Heading2"/>
        <w:numPr>
          <w:ilvl w:val="1"/>
          <w:numId w:val="5"/>
        </w:numPr>
      </w:pPr>
      <w:bookmarkStart w:id="7260" w:name="_Toc509220823"/>
      <w:bookmarkStart w:id="7261" w:name="_Toc529869885"/>
      <w:bookmarkStart w:id="7262" w:name="_Toc530748603"/>
      <w:r>
        <w:t>Response rate</w:t>
      </w:r>
      <w:bookmarkEnd w:id="7260"/>
      <w:bookmarkEnd w:id="7261"/>
      <w:bookmarkEnd w:id="7262"/>
    </w:p>
    <w:p w:rsidR="00612FD3" w:rsidRDefault="00612FD3" w:rsidP="00612FD3">
      <w:pPr>
        <w:pStyle w:val="BodyText"/>
      </w:pPr>
      <w:r>
        <w:t>As at 23 January 2018, we had received 158 separate responses. The number of responses by building type and the number of buildings reported is shown in table </w:t>
      </w:r>
      <w:r>
        <w:rPr>
          <w:noProof/>
        </w:rPr>
        <w:fldChar w:fldCharType="begin"/>
      </w:r>
      <w:r>
        <w:rPr>
          <w:noProof/>
        </w:rPr>
        <w:instrText xml:space="preserve"> REF _Caption7723 </w:instrText>
      </w:r>
      <w:r>
        <w:rPr>
          <w:noProof/>
        </w:rPr>
        <w:fldChar w:fldCharType="separate"/>
      </w:r>
      <w:r w:rsidR="006B79B8">
        <w:rPr>
          <w:noProof/>
        </w:rPr>
        <w:t>F</w:t>
      </w:r>
      <w:r w:rsidR="006B79B8" w:rsidRPr="00695C93">
        <w:rPr>
          <w:noProof/>
        </w:rPr>
        <w:t>.</w:t>
      </w:r>
      <w:r w:rsidR="006B79B8">
        <w:rPr>
          <w:noProof/>
        </w:rPr>
        <w:t>2</w:t>
      </w:r>
      <w:r>
        <w:rPr>
          <w:noProof/>
        </w:rPr>
        <w:fldChar w:fldCharType="end"/>
      </w:r>
      <w:r>
        <w:t>.</w:t>
      </w:r>
    </w:p>
    <w:p w:rsidR="00612FD3" w:rsidRDefault="00612FD3" w:rsidP="00612FD3">
      <w:pPr>
        <w:pStyle w:val="Caption"/>
      </w:pPr>
      <w:r w:rsidRPr="00695C93">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sidR="00B833F1">
        <w:rPr>
          <w:noProof/>
        </w:rPr>
        <w:instrText>F</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0</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w:instrText>
      </w:r>
      <w:r w:rsidRPr="00695C93">
        <w:fldChar w:fldCharType="end"/>
      </w:r>
      <w:r w:rsidRPr="00695C93">
        <w:instrText>" "</w:instrText>
      </w:r>
      <w:r>
        <w:rPr>
          <w:noProof/>
        </w:rPr>
        <w:fldChar w:fldCharType="begin"/>
      </w:r>
      <w:r>
        <w:rPr>
          <w:noProof/>
        </w:rPr>
        <w:instrText xml:space="preserve"> STYLEREF "Heading 6" \l \n </w:instrText>
      </w:r>
      <w:r>
        <w:rPr>
          <w:noProof/>
        </w:rPr>
        <w:fldChar w:fldCharType="separate"/>
      </w:r>
      <w:r w:rsidR="00B833F1">
        <w:rPr>
          <w:noProof/>
        </w:rPr>
        <w:instrText>F</w:instrText>
      </w:r>
      <w:r>
        <w:rPr>
          <w:noProof/>
        </w:rPr>
        <w:fldChar w:fldCharType="end"/>
      </w:r>
      <w:r w:rsidRPr="00695C93">
        <w:instrText xml:space="preserve">." </w:instrText>
      </w:r>
      <w:r w:rsidRPr="00695C93">
        <w:fldChar w:fldCharType="separate"/>
      </w:r>
      <w:r w:rsidR="00B833F1">
        <w:rPr>
          <w:noProof/>
        </w:rPr>
        <w:instrText>F</w:instrText>
      </w:r>
      <w:r w:rsidR="00B833F1" w:rsidRPr="00695C93">
        <w:rPr>
          <w:noProof/>
        </w:rPr>
        <w:instrText>.</w:instrText>
      </w:r>
      <w:r w:rsidRPr="00695C93">
        <w:fldChar w:fldCharType="end"/>
      </w:r>
      <w:r>
        <w:instrText>2</w:instrText>
      </w:r>
      <w:r w:rsidRPr="00695C93">
        <w:instrText xml:space="preserve">" "" </w:instrText>
      </w:r>
      <w:r w:rsidRPr="00695C93">
        <w:fldChar w:fldCharType="separate"/>
      </w:r>
      <w:bookmarkStart w:id="7263" w:name="_Caption2488"/>
      <w:bookmarkStart w:id="7264" w:name="_Caption8095"/>
      <w:bookmarkStart w:id="7265" w:name="_Caption1071"/>
      <w:bookmarkStart w:id="7266" w:name="_Caption3195"/>
      <w:bookmarkStart w:id="7267" w:name="_Caption2583"/>
      <w:bookmarkStart w:id="7268" w:name="_Caption9218"/>
      <w:bookmarkStart w:id="7269" w:name="_Caption3377"/>
      <w:bookmarkStart w:id="7270" w:name="_Caption9143"/>
      <w:bookmarkStart w:id="7271" w:name="_Caption5389"/>
      <w:bookmarkStart w:id="7272" w:name="_Caption5386"/>
      <w:bookmarkStart w:id="7273" w:name="_Caption7356"/>
      <w:bookmarkStart w:id="7274" w:name="_Caption9477"/>
      <w:bookmarkStart w:id="7275" w:name="_Caption9522"/>
      <w:bookmarkStart w:id="7276" w:name="_Caption2896"/>
      <w:bookmarkStart w:id="7277" w:name="_Caption9068"/>
      <w:bookmarkStart w:id="7278" w:name="_Caption6448"/>
      <w:bookmarkStart w:id="7279" w:name="_Caption8162"/>
      <w:bookmarkStart w:id="7280" w:name="_Caption6394"/>
      <w:bookmarkStart w:id="7281" w:name="_Caption0889"/>
      <w:bookmarkStart w:id="7282" w:name="_Caption1443"/>
      <w:bookmarkStart w:id="7283" w:name="_Caption9896"/>
      <w:bookmarkStart w:id="7284" w:name="_Caption7530"/>
      <w:bookmarkStart w:id="7285" w:name="_Caption4108"/>
      <w:bookmarkStart w:id="7286" w:name="_Caption1448"/>
      <w:bookmarkStart w:id="7287" w:name="_Caption3000"/>
      <w:bookmarkStart w:id="7288" w:name="_Caption4187"/>
      <w:bookmarkStart w:id="7289" w:name="_Caption1434"/>
      <w:bookmarkStart w:id="7290" w:name="_Caption3023"/>
      <w:bookmarkStart w:id="7291" w:name="_Caption2412"/>
      <w:bookmarkStart w:id="7292" w:name="_Caption6035"/>
      <w:bookmarkStart w:id="7293" w:name="_Caption8152"/>
      <w:bookmarkStart w:id="7294" w:name="_Caption4529"/>
      <w:bookmarkStart w:id="7295" w:name="_Caption5630"/>
      <w:bookmarkStart w:id="7296" w:name="_Caption6108"/>
      <w:bookmarkStart w:id="7297" w:name="_Caption4404"/>
      <w:bookmarkStart w:id="7298" w:name="_Caption2099"/>
      <w:bookmarkStart w:id="7299" w:name="_Caption8616"/>
      <w:bookmarkStart w:id="7300" w:name="_Caption0490"/>
      <w:bookmarkStart w:id="7301" w:name="_Caption9482"/>
      <w:bookmarkStart w:id="7302" w:name="_Caption8960"/>
      <w:bookmarkStart w:id="7303" w:name="_Caption4599"/>
      <w:bookmarkStart w:id="7304" w:name="_Caption6846"/>
      <w:bookmarkStart w:id="7305" w:name="_Caption8462"/>
      <w:bookmarkStart w:id="7306" w:name="_Caption8987"/>
      <w:bookmarkStart w:id="7307" w:name="_Caption7918"/>
      <w:bookmarkStart w:id="7308" w:name="_Caption9357"/>
      <w:bookmarkStart w:id="7309" w:name="_Caption6884"/>
      <w:bookmarkStart w:id="7310" w:name="_Caption2483"/>
      <w:bookmarkStart w:id="7311" w:name="_Caption1585"/>
      <w:bookmarkStart w:id="7312" w:name="_Caption6012"/>
      <w:bookmarkStart w:id="7313" w:name="_Caption4456"/>
      <w:bookmarkStart w:id="7314" w:name="_Caption8111"/>
      <w:bookmarkStart w:id="7315" w:name="_Caption9446"/>
      <w:bookmarkStart w:id="7316" w:name="_Caption7037"/>
      <w:bookmarkStart w:id="7317" w:name="_Caption9916"/>
      <w:bookmarkStart w:id="7318" w:name="_Caption3068"/>
      <w:bookmarkStart w:id="7319" w:name="_Caption6281"/>
      <w:bookmarkStart w:id="7320" w:name="_Caption6704"/>
      <w:bookmarkStart w:id="7321" w:name="_Caption5225"/>
      <w:bookmarkStart w:id="7322" w:name="_Caption7723"/>
      <w:bookmarkStart w:id="7323" w:name="_Caption0776"/>
      <w:bookmarkStart w:id="7324" w:name="_Caption9306"/>
      <w:bookmarkStart w:id="7325" w:name="_Caption3862"/>
      <w:bookmarkStart w:id="7326" w:name="_Caption1893"/>
      <w:bookmarkStart w:id="7327" w:name="_Caption3034"/>
      <w:bookmarkStart w:id="7328" w:name="_Caption9922"/>
      <w:bookmarkStart w:id="7329" w:name="_Caption5729"/>
      <w:bookmarkStart w:id="7330" w:name="_Caption2917"/>
      <w:bookmarkStart w:id="7331" w:name="_Caption6635"/>
      <w:bookmarkStart w:id="7332" w:name="_Caption5549"/>
      <w:bookmarkStart w:id="7333" w:name="_Caption7533"/>
      <w:bookmarkStart w:id="7334" w:name="_Caption0215"/>
      <w:bookmarkStart w:id="7335" w:name="_Caption5397"/>
      <w:bookmarkStart w:id="7336" w:name="_Caption7975"/>
      <w:bookmarkStart w:id="7337" w:name="_Caption5902"/>
      <w:bookmarkStart w:id="7338" w:name="_Caption6559"/>
      <w:bookmarkStart w:id="7339" w:name="_Caption0441"/>
      <w:bookmarkStart w:id="7340" w:name="_Caption3198"/>
      <w:bookmarkStart w:id="7341" w:name="_Caption0025"/>
      <w:bookmarkStart w:id="7342" w:name="_Caption1468"/>
      <w:bookmarkStart w:id="7343" w:name="_Caption3196"/>
      <w:bookmarkStart w:id="7344" w:name="_Caption9139"/>
      <w:bookmarkStart w:id="7345" w:name="_Caption2251"/>
      <w:bookmarkStart w:id="7346" w:name="_Caption8612"/>
      <w:bookmarkStart w:id="7347" w:name="_Caption2335"/>
      <w:bookmarkStart w:id="7348" w:name="_Caption3094"/>
      <w:bookmarkStart w:id="7349" w:name="_Caption7346"/>
      <w:bookmarkStart w:id="7350" w:name="_Caption8970"/>
      <w:bookmarkStart w:id="7351" w:name="_Caption3345"/>
      <w:bookmarkStart w:id="7352" w:name="_Caption4870"/>
      <w:bookmarkStart w:id="7353" w:name="_Caption4488"/>
      <w:bookmarkStart w:id="7354" w:name="_Caption2110"/>
      <w:bookmarkStart w:id="7355" w:name="_Caption0204"/>
      <w:bookmarkStart w:id="7356" w:name="_Caption2474"/>
      <w:bookmarkStart w:id="7357" w:name="_Caption8959"/>
      <w:bookmarkStart w:id="7358" w:name="_Caption7526"/>
      <w:bookmarkStart w:id="7359" w:name="_Caption2970"/>
      <w:bookmarkStart w:id="7360" w:name="_Caption7403"/>
      <w:bookmarkStart w:id="7361" w:name="_Caption4627"/>
      <w:bookmarkStart w:id="7362" w:name="_Caption9467"/>
      <w:bookmarkStart w:id="7363" w:name="_Caption6961"/>
      <w:bookmarkStart w:id="7364" w:name="_Caption0885"/>
      <w:bookmarkStart w:id="7365" w:name="_Caption7950"/>
      <w:bookmarkStart w:id="7366" w:name="_Caption7068"/>
      <w:bookmarkStart w:id="7367" w:name="_Caption0648"/>
      <w:bookmarkStart w:id="7368" w:name="_Caption3565"/>
      <w:bookmarkStart w:id="7369" w:name="_Toc505120691"/>
      <w:bookmarkStart w:id="7370" w:name="_Toc509220893"/>
      <w:bookmarkStart w:id="7371" w:name="_Toc529869995"/>
      <w:bookmarkStart w:id="7372" w:name="_Toc530748491"/>
      <w:r w:rsidR="00EA42ED">
        <w:rPr>
          <w:noProof/>
        </w:rPr>
        <w:t>F</w:t>
      </w:r>
      <w:r w:rsidR="00EA42ED" w:rsidRPr="00695C93">
        <w:rPr>
          <w:noProof/>
        </w:rPr>
        <w:t>.</w:t>
      </w:r>
      <w:r w:rsidR="00EA42ED">
        <w:rPr>
          <w:noProof/>
        </w:rPr>
        <w:t>2</w:t>
      </w:r>
      <w:bookmarkStart w:id="7373" w:name="_Toc507523844"/>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r w:rsidRPr="00695C93">
        <w:fldChar w:fldCharType="end"/>
      </w:r>
      <w:r w:rsidRPr="00695C93">
        <w:tab/>
      </w:r>
      <w:r>
        <w:t>Response rates by building type</w:t>
      </w:r>
      <w:bookmarkEnd w:id="7369"/>
      <w:bookmarkEnd w:id="7370"/>
      <w:bookmarkEnd w:id="7371"/>
      <w:bookmarkEnd w:id="7372"/>
      <w:bookmarkEnd w:id="7373"/>
    </w:p>
    <w:tbl>
      <w:tblPr>
        <w:tblW w:w="7937" w:type="dxa"/>
        <w:tblLayout w:type="fixed"/>
        <w:tblLook w:val="0000" w:firstRow="0" w:lastRow="0" w:firstColumn="0" w:lastColumn="0" w:noHBand="0" w:noVBand="0"/>
        <w:tblCaption w:val="Table F.2: Response rates by building type"/>
        <w:tblDescription w:val="This table shows the response rates of instustry stakeholders to the survey."/>
      </w:tblPr>
      <w:tblGrid>
        <w:gridCol w:w="3133"/>
        <w:gridCol w:w="2403"/>
        <w:gridCol w:w="2401"/>
      </w:tblGrid>
      <w:tr w:rsidR="00612FD3" w:rsidTr="00301B6D">
        <w:trPr>
          <w:trHeight w:val="461"/>
        </w:trPr>
        <w:tc>
          <w:tcPr>
            <w:tcW w:w="3133" w:type="dxa"/>
            <w:shd w:val="clear" w:color="auto" w:fill="6F6652"/>
            <w:tcMar>
              <w:left w:w="57" w:type="dxa"/>
              <w:right w:w="57" w:type="dxa"/>
            </w:tcMar>
          </w:tcPr>
          <w:p w:rsidR="00612FD3" w:rsidRDefault="00612FD3" w:rsidP="00301B6D">
            <w:pPr>
              <w:pStyle w:val="TableDataColumnHeading"/>
              <w:jc w:val="left"/>
              <w:rPr>
                <w:lang w:val="en-GB"/>
              </w:rPr>
            </w:pPr>
          </w:p>
        </w:tc>
        <w:tc>
          <w:tcPr>
            <w:tcW w:w="2403" w:type="dxa"/>
            <w:shd w:val="clear" w:color="auto" w:fill="6F6652"/>
            <w:tcMar>
              <w:left w:w="57" w:type="dxa"/>
              <w:right w:w="57" w:type="dxa"/>
            </w:tcMar>
          </w:tcPr>
          <w:p w:rsidR="00612FD3" w:rsidRDefault="00612FD3" w:rsidP="00301B6D">
            <w:pPr>
              <w:pStyle w:val="TableDataColumnHeading"/>
              <w:rPr>
                <w:lang w:val="en-GB"/>
              </w:rPr>
            </w:pPr>
            <w:r>
              <w:rPr>
                <w:lang w:val="en-GB"/>
              </w:rPr>
              <w:t>Number of responses</w:t>
            </w:r>
          </w:p>
        </w:tc>
        <w:tc>
          <w:tcPr>
            <w:tcW w:w="2401" w:type="dxa"/>
            <w:shd w:val="clear" w:color="auto" w:fill="6F6652"/>
            <w:tcMar>
              <w:left w:w="57" w:type="dxa"/>
              <w:right w:w="57" w:type="dxa"/>
            </w:tcMar>
          </w:tcPr>
          <w:p w:rsidR="00612FD3" w:rsidRDefault="00612FD3" w:rsidP="00301B6D">
            <w:pPr>
              <w:pStyle w:val="TableDataColumnHeading"/>
              <w:rPr>
                <w:lang w:val="en-GB"/>
              </w:rPr>
            </w:pPr>
            <w:r>
              <w:rPr>
                <w:lang w:val="en-GB"/>
              </w:rPr>
              <w:t>Number of buildings reported</w:t>
            </w:r>
          </w:p>
        </w:tc>
      </w:tr>
      <w:tr w:rsidR="00612FD3" w:rsidTr="00301B6D">
        <w:trPr>
          <w:trHeight w:val="230"/>
        </w:trPr>
        <w:tc>
          <w:tcPr>
            <w:tcW w:w="313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jc w:val="left"/>
              <w:rPr>
                <w:lang w:val="en-GB"/>
              </w:rPr>
            </w:pPr>
          </w:p>
        </w:tc>
        <w:tc>
          <w:tcPr>
            <w:tcW w:w="240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No.</w:t>
            </w:r>
          </w:p>
        </w:tc>
        <w:tc>
          <w:tcPr>
            <w:tcW w:w="2401"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No.</w:t>
            </w:r>
          </w:p>
        </w:tc>
      </w:tr>
      <w:tr w:rsidR="00612FD3" w:rsidTr="00301B6D">
        <w:trPr>
          <w:trHeight w:val="230"/>
        </w:trPr>
        <w:tc>
          <w:tcPr>
            <w:tcW w:w="313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jc w:val="left"/>
              <w:rPr>
                <w:lang w:val="en-GB"/>
              </w:rPr>
            </w:pPr>
            <w:r>
              <w:rPr>
                <w:lang w:val="en-GB"/>
              </w:rPr>
              <w:t>Premium office</w:t>
            </w:r>
          </w:p>
        </w:tc>
        <w:tc>
          <w:tcPr>
            <w:tcW w:w="240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11</w:t>
            </w:r>
          </w:p>
        </w:tc>
        <w:tc>
          <w:tcPr>
            <w:tcW w:w="240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60</w:t>
            </w:r>
          </w:p>
        </w:tc>
      </w:tr>
      <w:tr w:rsidR="00612FD3" w:rsidTr="00301B6D">
        <w:trPr>
          <w:trHeight w:val="230"/>
        </w:trPr>
        <w:tc>
          <w:tcPr>
            <w:tcW w:w="313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jc w:val="left"/>
              <w:rPr>
                <w:lang w:val="en-GB"/>
              </w:rPr>
            </w:pPr>
            <w:r>
              <w:rPr>
                <w:lang w:val="en-GB"/>
              </w:rPr>
              <w:t>Other office</w:t>
            </w:r>
          </w:p>
        </w:tc>
        <w:tc>
          <w:tcPr>
            <w:tcW w:w="240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63</w:t>
            </w:r>
          </w:p>
        </w:tc>
        <w:tc>
          <w:tcPr>
            <w:tcW w:w="240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800</w:t>
            </w:r>
          </w:p>
        </w:tc>
      </w:tr>
      <w:tr w:rsidR="00612FD3" w:rsidTr="00301B6D">
        <w:trPr>
          <w:trHeight w:val="230"/>
        </w:trPr>
        <w:tc>
          <w:tcPr>
            <w:tcW w:w="313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jc w:val="left"/>
              <w:rPr>
                <w:lang w:val="en-GB"/>
              </w:rPr>
            </w:pPr>
            <w:r>
              <w:rPr>
                <w:lang w:val="en-GB"/>
              </w:rPr>
              <w:t>Shopping centre</w:t>
            </w:r>
          </w:p>
        </w:tc>
        <w:tc>
          <w:tcPr>
            <w:tcW w:w="240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13</w:t>
            </w:r>
          </w:p>
        </w:tc>
        <w:tc>
          <w:tcPr>
            <w:tcW w:w="240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42</w:t>
            </w:r>
          </w:p>
        </w:tc>
      </w:tr>
      <w:tr w:rsidR="00612FD3" w:rsidTr="00301B6D">
        <w:trPr>
          <w:trHeight w:val="230"/>
        </w:trPr>
        <w:tc>
          <w:tcPr>
            <w:tcW w:w="313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jc w:val="left"/>
              <w:rPr>
                <w:lang w:val="en-GB"/>
              </w:rPr>
            </w:pPr>
            <w:r>
              <w:rPr>
                <w:lang w:val="en-GB"/>
              </w:rPr>
              <w:t>Other retail</w:t>
            </w:r>
          </w:p>
        </w:tc>
        <w:tc>
          <w:tcPr>
            <w:tcW w:w="240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56</w:t>
            </w:r>
          </w:p>
        </w:tc>
        <w:tc>
          <w:tcPr>
            <w:tcW w:w="240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506</w:t>
            </w:r>
          </w:p>
        </w:tc>
      </w:tr>
      <w:tr w:rsidR="00612FD3" w:rsidTr="00301B6D">
        <w:trPr>
          <w:trHeight w:val="230"/>
        </w:trPr>
        <w:tc>
          <w:tcPr>
            <w:tcW w:w="313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jc w:val="left"/>
              <w:rPr>
                <w:lang w:val="en-GB"/>
              </w:rPr>
            </w:pPr>
            <w:r>
              <w:rPr>
                <w:lang w:val="en-GB"/>
              </w:rPr>
              <w:t>Hospitals</w:t>
            </w:r>
          </w:p>
        </w:tc>
        <w:tc>
          <w:tcPr>
            <w:tcW w:w="240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4</w:t>
            </w:r>
          </w:p>
        </w:tc>
        <w:tc>
          <w:tcPr>
            <w:tcW w:w="240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5</w:t>
            </w:r>
          </w:p>
        </w:tc>
      </w:tr>
      <w:tr w:rsidR="00612FD3" w:rsidTr="00301B6D">
        <w:trPr>
          <w:trHeight w:val="230"/>
        </w:trPr>
        <w:tc>
          <w:tcPr>
            <w:tcW w:w="313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jc w:val="left"/>
              <w:rPr>
                <w:lang w:val="en-GB"/>
              </w:rPr>
            </w:pPr>
            <w:r>
              <w:rPr>
                <w:lang w:val="en-GB"/>
              </w:rPr>
              <w:t>Schools</w:t>
            </w:r>
          </w:p>
        </w:tc>
        <w:tc>
          <w:tcPr>
            <w:tcW w:w="240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33</w:t>
            </w:r>
          </w:p>
        </w:tc>
        <w:tc>
          <w:tcPr>
            <w:tcW w:w="240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150</w:t>
            </w:r>
          </w:p>
        </w:tc>
      </w:tr>
      <w:tr w:rsidR="00612FD3" w:rsidTr="00301B6D">
        <w:trPr>
          <w:trHeight w:val="230"/>
        </w:trPr>
        <w:tc>
          <w:tcPr>
            <w:tcW w:w="313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jc w:val="left"/>
              <w:rPr>
                <w:lang w:val="en-GB"/>
              </w:rPr>
            </w:pPr>
            <w:r>
              <w:rPr>
                <w:lang w:val="en-GB"/>
              </w:rPr>
              <w:t>Universities/VET buildings</w:t>
            </w:r>
          </w:p>
        </w:tc>
        <w:tc>
          <w:tcPr>
            <w:tcW w:w="240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14</w:t>
            </w:r>
          </w:p>
        </w:tc>
        <w:tc>
          <w:tcPr>
            <w:tcW w:w="240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29</w:t>
            </w:r>
          </w:p>
        </w:tc>
      </w:tr>
      <w:tr w:rsidR="00612FD3" w:rsidTr="00301B6D">
        <w:trPr>
          <w:trHeight w:val="230"/>
        </w:trPr>
        <w:tc>
          <w:tcPr>
            <w:tcW w:w="3133" w:type="dxa"/>
            <w:tcBorders>
              <w:top w:val="single" w:sz="8" w:space="0" w:color="FFFFFF" w:themeColor="background1"/>
              <w:bottom w:val="single" w:sz="6" w:space="0" w:color="6F6652"/>
            </w:tcBorders>
            <w:shd w:val="clear" w:color="auto" w:fill="E9E8E5" w:themeFill="background2"/>
            <w:tcMar>
              <w:left w:w="57" w:type="dxa"/>
              <w:right w:w="57" w:type="dxa"/>
            </w:tcMar>
          </w:tcPr>
          <w:p w:rsidR="00612FD3" w:rsidRDefault="00612FD3" w:rsidP="00301B6D">
            <w:pPr>
              <w:pStyle w:val="TableDataEntries"/>
              <w:jc w:val="left"/>
              <w:rPr>
                <w:lang w:val="en-GB"/>
              </w:rPr>
            </w:pPr>
            <w:r>
              <w:rPr>
                <w:lang w:val="en-GB"/>
              </w:rPr>
              <w:t>Hotels</w:t>
            </w:r>
          </w:p>
        </w:tc>
        <w:tc>
          <w:tcPr>
            <w:tcW w:w="2403" w:type="dxa"/>
            <w:tcBorders>
              <w:top w:val="single" w:sz="8" w:space="0" w:color="FFFFFF" w:themeColor="background1"/>
              <w:bottom w:val="single" w:sz="6" w:space="0" w:color="6F6652"/>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14</w:t>
            </w:r>
          </w:p>
        </w:tc>
        <w:tc>
          <w:tcPr>
            <w:tcW w:w="2401" w:type="dxa"/>
            <w:tcBorders>
              <w:top w:val="single" w:sz="8" w:space="0" w:color="FFFFFF" w:themeColor="background1"/>
              <w:bottom w:val="single" w:sz="6" w:space="0" w:color="6F6652"/>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28</w:t>
            </w:r>
          </w:p>
        </w:tc>
      </w:tr>
    </w:tbl>
    <w:p w:rsidR="00612FD3" w:rsidRDefault="00612FD3" w:rsidP="00612FD3">
      <w:pPr>
        <w:pStyle w:val="Source"/>
      </w:pPr>
      <w:r>
        <w:rPr>
          <w:i/>
        </w:rPr>
        <w:t>Source</w:t>
      </w:r>
      <w:r w:rsidRPr="00E4232C">
        <w:rPr>
          <w:i/>
        </w:rPr>
        <w:t>:</w:t>
      </w:r>
      <w:r>
        <w:t xml:space="preserve"> CIE.</w:t>
      </w:r>
    </w:p>
    <w:p w:rsidR="00612FD3" w:rsidRDefault="00612FD3" w:rsidP="00612FD3">
      <w:pPr>
        <w:pStyle w:val="Heading2"/>
        <w:numPr>
          <w:ilvl w:val="1"/>
          <w:numId w:val="5"/>
        </w:numPr>
      </w:pPr>
      <w:bookmarkStart w:id="7374" w:name="_Toc509220824"/>
      <w:bookmarkStart w:id="7375" w:name="_Toc529869886"/>
      <w:bookmarkStart w:id="7376" w:name="_Toc530748604"/>
      <w:r>
        <w:t>Results</w:t>
      </w:r>
      <w:bookmarkEnd w:id="7374"/>
      <w:bookmarkEnd w:id="7375"/>
      <w:bookmarkEnd w:id="7376"/>
    </w:p>
    <w:p w:rsidR="00612FD3" w:rsidRDefault="00612FD3" w:rsidP="00612FD3">
      <w:pPr>
        <w:pStyle w:val="BodyText"/>
      </w:pPr>
      <w:r>
        <w:t>Survey results for each building type, weighted by the number of buildings certified are shown in table F.3. There were no responses indicating that buildings exceed minimum standards by more than 20 per cent.</w:t>
      </w:r>
    </w:p>
    <w:p w:rsidR="00612FD3" w:rsidRDefault="00612FD3" w:rsidP="00612FD3">
      <w:pPr>
        <w:pStyle w:val="Caption"/>
      </w:pPr>
      <w:r w:rsidRPr="00695C93">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sidR="00B833F1">
        <w:rPr>
          <w:noProof/>
        </w:rPr>
        <w:instrText>F</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0</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w:instrText>
      </w:r>
      <w:r w:rsidRPr="00695C93">
        <w:fldChar w:fldCharType="end"/>
      </w:r>
      <w:r w:rsidRPr="00695C93">
        <w:instrText>" "</w:instrText>
      </w:r>
      <w:r>
        <w:rPr>
          <w:noProof/>
        </w:rPr>
        <w:fldChar w:fldCharType="begin"/>
      </w:r>
      <w:r>
        <w:rPr>
          <w:noProof/>
        </w:rPr>
        <w:instrText xml:space="preserve"> STYLEREF "Heading 6" \l \n </w:instrText>
      </w:r>
      <w:r>
        <w:rPr>
          <w:noProof/>
        </w:rPr>
        <w:fldChar w:fldCharType="separate"/>
      </w:r>
      <w:r w:rsidR="00B833F1">
        <w:rPr>
          <w:noProof/>
        </w:rPr>
        <w:instrText>F</w:instrText>
      </w:r>
      <w:r>
        <w:rPr>
          <w:noProof/>
        </w:rPr>
        <w:fldChar w:fldCharType="end"/>
      </w:r>
      <w:r w:rsidRPr="00695C93">
        <w:instrText xml:space="preserve">." </w:instrText>
      </w:r>
      <w:r w:rsidRPr="00695C93">
        <w:fldChar w:fldCharType="separate"/>
      </w:r>
      <w:r w:rsidR="00B833F1">
        <w:rPr>
          <w:noProof/>
        </w:rPr>
        <w:instrText>F</w:instrText>
      </w:r>
      <w:r w:rsidR="00B833F1" w:rsidRPr="00695C93">
        <w:rPr>
          <w:noProof/>
        </w:rPr>
        <w:instrText>.</w:instrText>
      </w:r>
      <w:r w:rsidRPr="00695C93">
        <w:fldChar w:fldCharType="end"/>
      </w:r>
      <w:r>
        <w:instrText>3</w:instrText>
      </w:r>
      <w:r w:rsidRPr="00695C93">
        <w:instrText xml:space="preserve">" "" </w:instrText>
      </w:r>
      <w:r w:rsidRPr="00695C93">
        <w:fldChar w:fldCharType="separate"/>
      </w:r>
      <w:bookmarkStart w:id="7377" w:name="_Caption7534"/>
      <w:bookmarkStart w:id="7378" w:name="_Caption5528"/>
      <w:bookmarkStart w:id="7379" w:name="_Caption8202"/>
      <w:bookmarkStart w:id="7380" w:name="_Caption3626"/>
      <w:bookmarkStart w:id="7381" w:name="_Caption7404"/>
      <w:bookmarkStart w:id="7382" w:name="_Caption9083"/>
      <w:bookmarkStart w:id="7383" w:name="_Caption9973"/>
      <w:bookmarkStart w:id="7384" w:name="_Caption3216"/>
      <w:bookmarkStart w:id="7385" w:name="_Caption9261"/>
      <w:bookmarkStart w:id="7386" w:name="_Caption2351"/>
      <w:bookmarkStart w:id="7387" w:name="_Caption3724"/>
      <w:bookmarkStart w:id="7388" w:name="_Caption3406"/>
      <w:bookmarkStart w:id="7389" w:name="_Caption5200"/>
      <w:bookmarkStart w:id="7390" w:name="_Caption1987"/>
      <w:bookmarkStart w:id="7391" w:name="_Caption4567"/>
      <w:bookmarkStart w:id="7392" w:name="_Caption8253"/>
      <w:bookmarkStart w:id="7393" w:name="_Caption4134"/>
      <w:bookmarkStart w:id="7394" w:name="_Caption1816"/>
      <w:bookmarkStart w:id="7395" w:name="_Caption9128"/>
      <w:bookmarkStart w:id="7396" w:name="_Caption3100"/>
      <w:bookmarkStart w:id="7397" w:name="_Caption9067"/>
      <w:bookmarkStart w:id="7398" w:name="_Caption6517"/>
      <w:bookmarkStart w:id="7399" w:name="_Caption8141"/>
      <w:bookmarkStart w:id="7400" w:name="_Caption8590"/>
      <w:bookmarkStart w:id="7401" w:name="_Caption3549"/>
      <w:bookmarkStart w:id="7402" w:name="_Caption3953"/>
      <w:bookmarkStart w:id="7403" w:name="_Caption6148"/>
      <w:bookmarkStart w:id="7404" w:name="_Caption4066"/>
      <w:bookmarkStart w:id="7405" w:name="_Caption4401"/>
      <w:bookmarkStart w:id="7406" w:name="_Caption1549"/>
      <w:bookmarkStart w:id="7407" w:name="_Caption5268"/>
      <w:bookmarkStart w:id="7408" w:name="_Caption5317"/>
      <w:bookmarkStart w:id="7409" w:name="_Caption4031"/>
      <w:bookmarkStart w:id="7410" w:name="_Caption5496"/>
      <w:bookmarkStart w:id="7411" w:name="_Caption0270"/>
      <w:bookmarkStart w:id="7412" w:name="_Caption6187"/>
      <w:bookmarkStart w:id="7413" w:name="_Caption0597"/>
      <w:bookmarkStart w:id="7414" w:name="_Caption0106"/>
      <w:bookmarkStart w:id="7415" w:name="_Caption0150"/>
      <w:bookmarkStart w:id="7416" w:name="_Caption5852"/>
      <w:bookmarkStart w:id="7417" w:name="_Caption1887"/>
      <w:bookmarkStart w:id="7418" w:name="_Caption6671"/>
      <w:bookmarkStart w:id="7419" w:name="_Caption8713"/>
      <w:bookmarkStart w:id="7420" w:name="_Caption5642"/>
      <w:bookmarkStart w:id="7421" w:name="_Caption6036"/>
      <w:bookmarkStart w:id="7422" w:name="_Caption7603"/>
      <w:bookmarkStart w:id="7423" w:name="_Caption4408"/>
      <w:bookmarkStart w:id="7424" w:name="_Caption9641"/>
      <w:bookmarkStart w:id="7425" w:name="_Caption3590"/>
      <w:bookmarkStart w:id="7426" w:name="_Caption6550"/>
      <w:bookmarkStart w:id="7427" w:name="_Caption6068"/>
      <w:bookmarkStart w:id="7428" w:name="_Caption7488"/>
      <w:bookmarkStart w:id="7429" w:name="_Caption3333"/>
      <w:bookmarkStart w:id="7430" w:name="_Caption6070"/>
      <w:bookmarkStart w:id="7431" w:name="_Caption4874"/>
      <w:bookmarkStart w:id="7432" w:name="_Caption2040"/>
      <w:bookmarkStart w:id="7433" w:name="_Caption9051"/>
      <w:bookmarkStart w:id="7434" w:name="_Caption1490"/>
      <w:bookmarkStart w:id="7435" w:name="_Caption6447"/>
      <w:bookmarkStart w:id="7436" w:name="_Caption5060"/>
      <w:bookmarkStart w:id="7437" w:name="_Caption8663"/>
      <w:bookmarkStart w:id="7438" w:name="_Caption2454"/>
      <w:bookmarkStart w:id="7439" w:name="_Caption2016"/>
      <w:bookmarkStart w:id="7440" w:name="_Caption5340"/>
      <w:bookmarkStart w:id="7441" w:name="_Caption5674"/>
      <w:bookmarkStart w:id="7442" w:name="_Caption3886"/>
      <w:bookmarkStart w:id="7443" w:name="_Caption1040"/>
      <w:bookmarkStart w:id="7444" w:name="_Caption0565"/>
      <w:bookmarkStart w:id="7445" w:name="_Caption2649"/>
      <w:bookmarkStart w:id="7446" w:name="_Caption1196"/>
      <w:bookmarkStart w:id="7447" w:name="_Caption2178"/>
      <w:bookmarkStart w:id="7448" w:name="_Caption6522"/>
      <w:bookmarkStart w:id="7449" w:name="_Caption0778"/>
      <w:bookmarkStart w:id="7450" w:name="_Caption2982"/>
      <w:bookmarkStart w:id="7451" w:name="_Caption6286"/>
      <w:bookmarkStart w:id="7452" w:name="_Caption0741"/>
      <w:bookmarkStart w:id="7453" w:name="_Caption0666"/>
      <w:bookmarkStart w:id="7454" w:name="_Caption2765"/>
      <w:bookmarkStart w:id="7455" w:name="_Caption6344"/>
      <w:bookmarkStart w:id="7456" w:name="_Caption7764"/>
      <w:bookmarkStart w:id="7457" w:name="_Caption5343"/>
      <w:bookmarkStart w:id="7458" w:name="_Caption5861"/>
      <w:bookmarkStart w:id="7459" w:name="_Caption4652"/>
      <w:bookmarkStart w:id="7460" w:name="_Caption1706"/>
      <w:bookmarkStart w:id="7461" w:name="_Caption3368"/>
      <w:bookmarkStart w:id="7462" w:name="_Caption4045"/>
      <w:bookmarkStart w:id="7463" w:name="_Caption6038"/>
      <w:bookmarkStart w:id="7464" w:name="_Caption0292"/>
      <w:bookmarkStart w:id="7465" w:name="_Caption1599"/>
      <w:bookmarkStart w:id="7466" w:name="_Caption0286"/>
      <w:bookmarkStart w:id="7467" w:name="_Caption0469"/>
      <w:bookmarkStart w:id="7468" w:name="_Caption1874"/>
      <w:bookmarkStart w:id="7469" w:name="_Caption5798"/>
      <w:bookmarkStart w:id="7470" w:name="_Caption7795"/>
      <w:bookmarkStart w:id="7471" w:name="_Caption6215"/>
      <w:bookmarkStart w:id="7472" w:name="_Caption4438"/>
      <w:bookmarkStart w:id="7473" w:name="_Caption7320"/>
      <w:bookmarkStart w:id="7474" w:name="_Caption9872"/>
      <w:bookmarkStart w:id="7475" w:name="_Caption1926"/>
      <w:bookmarkStart w:id="7476" w:name="_Caption4256"/>
      <w:bookmarkStart w:id="7477" w:name="_Caption5202"/>
      <w:bookmarkStart w:id="7478" w:name="_Caption9833"/>
      <w:bookmarkStart w:id="7479" w:name="_Caption3844"/>
      <w:bookmarkStart w:id="7480" w:name="_Caption0167"/>
      <w:bookmarkStart w:id="7481" w:name="_Toc505120692"/>
      <w:bookmarkStart w:id="7482" w:name="_Toc509220894"/>
      <w:bookmarkStart w:id="7483" w:name="_Toc529869996"/>
      <w:bookmarkStart w:id="7484" w:name="_Toc530748492"/>
      <w:r w:rsidR="00EA42ED">
        <w:rPr>
          <w:noProof/>
        </w:rPr>
        <w:t>F</w:t>
      </w:r>
      <w:r w:rsidR="00EA42ED" w:rsidRPr="00695C93">
        <w:rPr>
          <w:noProof/>
        </w:rPr>
        <w:t>.</w:t>
      </w:r>
      <w:r w:rsidR="00EA42ED">
        <w:rPr>
          <w:noProof/>
        </w:rPr>
        <w:t>3</w:t>
      </w:r>
      <w:bookmarkStart w:id="7485" w:name="_Toc507523845"/>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r w:rsidRPr="00695C93">
        <w:fldChar w:fldCharType="end"/>
      </w:r>
      <w:r w:rsidRPr="00695C93">
        <w:tab/>
      </w:r>
      <w:r>
        <w:t>Survey results</w:t>
      </w:r>
      <w:bookmarkEnd w:id="7481"/>
      <w:bookmarkEnd w:id="7482"/>
      <w:bookmarkEnd w:id="7483"/>
      <w:bookmarkEnd w:id="7484"/>
      <w:bookmarkEnd w:id="7485"/>
    </w:p>
    <w:tbl>
      <w:tblPr>
        <w:tblW w:w="7936" w:type="dxa"/>
        <w:tblLayout w:type="fixed"/>
        <w:tblLook w:val="0000" w:firstRow="0" w:lastRow="0" w:firstColumn="0" w:lastColumn="0" w:noHBand="0" w:noVBand="0"/>
        <w:tblCaption w:val="Table F.3: Survey results"/>
        <w:tblDescription w:val="This table shows the results to the survey by industry stakeholders."/>
      </w:tblPr>
      <w:tblGrid>
        <w:gridCol w:w="2083"/>
        <w:gridCol w:w="1170"/>
        <w:gridCol w:w="1171"/>
        <w:gridCol w:w="1171"/>
        <w:gridCol w:w="1170"/>
        <w:gridCol w:w="1171"/>
      </w:tblGrid>
      <w:tr w:rsidR="00612FD3" w:rsidTr="00301B6D">
        <w:trPr>
          <w:trHeight w:val="691"/>
          <w:tblHeader/>
        </w:trPr>
        <w:tc>
          <w:tcPr>
            <w:tcW w:w="2083" w:type="dxa"/>
            <w:shd w:val="clear" w:color="auto" w:fill="6F6652"/>
            <w:tcMar>
              <w:left w:w="57" w:type="dxa"/>
              <w:right w:w="57" w:type="dxa"/>
            </w:tcMar>
          </w:tcPr>
          <w:p w:rsidR="00612FD3" w:rsidRDefault="00612FD3" w:rsidP="00301B6D">
            <w:pPr>
              <w:pStyle w:val="TableDataColumnHeading"/>
              <w:jc w:val="left"/>
              <w:rPr>
                <w:lang w:val="en-GB"/>
              </w:rPr>
            </w:pPr>
          </w:p>
        </w:tc>
        <w:tc>
          <w:tcPr>
            <w:tcW w:w="1170" w:type="dxa"/>
            <w:shd w:val="clear" w:color="auto" w:fill="6F6652"/>
            <w:tcMar>
              <w:left w:w="57" w:type="dxa"/>
              <w:right w:w="57" w:type="dxa"/>
            </w:tcMar>
          </w:tcPr>
          <w:p w:rsidR="00612FD3" w:rsidRPr="005D41BB" w:rsidRDefault="00612FD3" w:rsidP="00301B6D">
            <w:pPr>
              <w:pStyle w:val="TableDataColumnHeading"/>
              <w:rPr>
                <w:bCs/>
                <w:lang w:val="en-GB"/>
              </w:rPr>
            </w:pPr>
            <w:r w:rsidRPr="005D41BB">
              <w:rPr>
                <w:bCs/>
                <w:lang w:val="en-GB"/>
              </w:rPr>
              <w:t>DTS to NCC minimum standard</w:t>
            </w:r>
          </w:p>
        </w:tc>
        <w:tc>
          <w:tcPr>
            <w:tcW w:w="1171" w:type="dxa"/>
            <w:shd w:val="clear" w:color="auto" w:fill="6F6652"/>
            <w:tcMar>
              <w:left w:w="57" w:type="dxa"/>
              <w:right w:w="57" w:type="dxa"/>
            </w:tcMar>
          </w:tcPr>
          <w:p w:rsidR="00612FD3" w:rsidRPr="005D41BB" w:rsidRDefault="00612FD3" w:rsidP="00301B6D">
            <w:pPr>
              <w:pStyle w:val="TableDataColumnHeading"/>
              <w:rPr>
                <w:bCs/>
                <w:lang w:val="en-GB"/>
              </w:rPr>
            </w:pPr>
            <w:r w:rsidRPr="005D41BB">
              <w:rPr>
                <w:bCs/>
                <w:lang w:val="en-GB"/>
              </w:rPr>
              <w:t>DTS exceeding  NCC minimum standard</w:t>
            </w:r>
          </w:p>
        </w:tc>
        <w:tc>
          <w:tcPr>
            <w:tcW w:w="1171" w:type="dxa"/>
            <w:shd w:val="clear" w:color="auto" w:fill="6F6652"/>
            <w:tcMar>
              <w:left w:w="57" w:type="dxa"/>
              <w:right w:w="57" w:type="dxa"/>
            </w:tcMar>
          </w:tcPr>
          <w:p w:rsidR="00612FD3" w:rsidRPr="005D41BB" w:rsidRDefault="00612FD3" w:rsidP="00301B6D">
            <w:pPr>
              <w:pStyle w:val="TableDataColumnHeading"/>
              <w:rPr>
                <w:bCs/>
                <w:lang w:val="en-GB"/>
              </w:rPr>
            </w:pPr>
            <w:r w:rsidRPr="005D41BB">
              <w:rPr>
                <w:bCs/>
                <w:lang w:val="en-GB"/>
              </w:rPr>
              <w:t>Performance solution to NCC minimum standard</w:t>
            </w:r>
          </w:p>
        </w:tc>
        <w:tc>
          <w:tcPr>
            <w:tcW w:w="1170" w:type="dxa"/>
            <w:shd w:val="clear" w:color="auto" w:fill="6F6652"/>
            <w:tcMar>
              <w:left w:w="57" w:type="dxa"/>
              <w:right w:w="57" w:type="dxa"/>
            </w:tcMar>
          </w:tcPr>
          <w:p w:rsidR="00612FD3" w:rsidRPr="005D41BB" w:rsidRDefault="00612FD3" w:rsidP="00301B6D">
            <w:pPr>
              <w:pStyle w:val="TableDataColumnHeading"/>
              <w:rPr>
                <w:bCs/>
                <w:lang w:val="en-GB"/>
              </w:rPr>
            </w:pPr>
            <w:r w:rsidRPr="005D41BB">
              <w:rPr>
                <w:bCs/>
                <w:lang w:val="en-GB"/>
              </w:rPr>
              <w:t xml:space="preserve">Performance solution </w:t>
            </w:r>
            <w:r>
              <w:rPr>
                <w:bCs/>
                <w:lang w:val="en-GB"/>
              </w:rPr>
              <w:t xml:space="preserve">exceeding minimum performance </w:t>
            </w:r>
            <w:r w:rsidRPr="005D41BB">
              <w:rPr>
                <w:bCs/>
                <w:lang w:val="en-GB"/>
              </w:rPr>
              <w:t xml:space="preserve">0-10% </w:t>
            </w:r>
          </w:p>
        </w:tc>
        <w:tc>
          <w:tcPr>
            <w:tcW w:w="1171" w:type="dxa"/>
            <w:shd w:val="clear" w:color="auto" w:fill="6F6652"/>
            <w:tcMar>
              <w:left w:w="57" w:type="dxa"/>
              <w:right w:w="57" w:type="dxa"/>
            </w:tcMar>
          </w:tcPr>
          <w:p w:rsidR="00612FD3" w:rsidRPr="005D41BB" w:rsidRDefault="00612FD3" w:rsidP="00301B6D">
            <w:pPr>
              <w:pStyle w:val="TableDataColumnHeading"/>
              <w:rPr>
                <w:bCs/>
                <w:lang w:val="en-GB"/>
              </w:rPr>
            </w:pPr>
            <w:r w:rsidRPr="005D41BB">
              <w:rPr>
                <w:bCs/>
                <w:lang w:val="en-GB"/>
              </w:rPr>
              <w:t xml:space="preserve">Performance solution </w:t>
            </w:r>
            <w:r>
              <w:rPr>
                <w:bCs/>
                <w:lang w:val="en-GB"/>
              </w:rPr>
              <w:t xml:space="preserve">exceeding minimum performance </w:t>
            </w:r>
            <w:r w:rsidRPr="005D41BB">
              <w:rPr>
                <w:bCs/>
                <w:lang w:val="en-GB"/>
              </w:rPr>
              <w:t xml:space="preserve">10-20% </w:t>
            </w:r>
          </w:p>
        </w:tc>
      </w:tr>
      <w:tr w:rsidR="00612FD3" w:rsidTr="00301B6D">
        <w:trPr>
          <w:trHeight w:val="230"/>
          <w:tblHeader/>
        </w:trPr>
        <w:tc>
          <w:tcPr>
            <w:tcW w:w="20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jc w:val="left"/>
              <w:rPr>
                <w:lang w:val="en-GB"/>
              </w:rPr>
            </w:pPr>
          </w:p>
        </w:tc>
        <w:tc>
          <w:tcPr>
            <w:tcW w:w="1170"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Per cent</w:t>
            </w:r>
          </w:p>
        </w:tc>
        <w:tc>
          <w:tcPr>
            <w:tcW w:w="1171"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Per cent</w:t>
            </w:r>
          </w:p>
        </w:tc>
        <w:tc>
          <w:tcPr>
            <w:tcW w:w="1171"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Per cent</w:t>
            </w:r>
          </w:p>
        </w:tc>
        <w:tc>
          <w:tcPr>
            <w:tcW w:w="1170"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Per cent</w:t>
            </w:r>
          </w:p>
        </w:tc>
        <w:tc>
          <w:tcPr>
            <w:tcW w:w="1171"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Per cent</w:t>
            </w:r>
          </w:p>
        </w:tc>
      </w:tr>
      <w:tr w:rsidR="00612FD3" w:rsidTr="00301B6D">
        <w:trPr>
          <w:trHeight w:val="230"/>
        </w:trPr>
        <w:tc>
          <w:tcPr>
            <w:tcW w:w="20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jc w:val="left"/>
              <w:rPr>
                <w:lang w:val="en-GB"/>
              </w:rPr>
            </w:pPr>
            <w:r>
              <w:rPr>
                <w:lang w:val="en-GB"/>
              </w:rPr>
              <w:t>Premium office</w:t>
            </w:r>
          </w:p>
        </w:tc>
        <w:tc>
          <w:tcPr>
            <w:tcW w:w="117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67.9</w:t>
            </w:r>
          </w:p>
        </w:tc>
        <w:tc>
          <w:tcPr>
            <w:tcW w:w="117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3.8</w:t>
            </w:r>
          </w:p>
        </w:tc>
        <w:tc>
          <w:tcPr>
            <w:tcW w:w="117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21.7</w:t>
            </w:r>
          </w:p>
        </w:tc>
        <w:tc>
          <w:tcPr>
            <w:tcW w:w="117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6.7</w:t>
            </w:r>
          </w:p>
        </w:tc>
        <w:tc>
          <w:tcPr>
            <w:tcW w:w="117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0.0</w:t>
            </w:r>
          </w:p>
        </w:tc>
      </w:tr>
      <w:tr w:rsidR="00612FD3" w:rsidTr="00301B6D">
        <w:trPr>
          <w:trHeight w:val="230"/>
        </w:trPr>
        <w:tc>
          <w:tcPr>
            <w:tcW w:w="20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jc w:val="left"/>
              <w:rPr>
                <w:lang w:val="en-GB"/>
              </w:rPr>
            </w:pPr>
            <w:r>
              <w:rPr>
                <w:lang w:val="en-GB"/>
              </w:rPr>
              <w:t>Other office</w:t>
            </w:r>
          </w:p>
        </w:tc>
        <w:tc>
          <w:tcPr>
            <w:tcW w:w="117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62.6</w:t>
            </w:r>
          </w:p>
        </w:tc>
        <w:tc>
          <w:tcPr>
            <w:tcW w:w="117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5.8</w:t>
            </w:r>
          </w:p>
        </w:tc>
        <w:tc>
          <w:tcPr>
            <w:tcW w:w="117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17.2</w:t>
            </w:r>
          </w:p>
        </w:tc>
        <w:tc>
          <w:tcPr>
            <w:tcW w:w="117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14.3</w:t>
            </w:r>
          </w:p>
        </w:tc>
        <w:tc>
          <w:tcPr>
            <w:tcW w:w="117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0.1</w:t>
            </w:r>
          </w:p>
        </w:tc>
      </w:tr>
      <w:tr w:rsidR="00612FD3" w:rsidTr="00301B6D">
        <w:trPr>
          <w:trHeight w:val="230"/>
        </w:trPr>
        <w:tc>
          <w:tcPr>
            <w:tcW w:w="20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jc w:val="left"/>
              <w:rPr>
                <w:lang w:val="en-GB"/>
              </w:rPr>
            </w:pPr>
            <w:r>
              <w:rPr>
                <w:lang w:val="en-GB"/>
              </w:rPr>
              <w:t>Shopping centre</w:t>
            </w:r>
          </w:p>
        </w:tc>
        <w:tc>
          <w:tcPr>
            <w:tcW w:w="117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26.2</w:t>
            </w:r>
          </w:p>
        </w:tc>
        <w:tc>
          <w:tcPr>
            <w:tcW w:w="117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0.0</w:t>
            </w:r>
          </w:p>
        </w:tc>
        <w:tc>
          <w:tcPr>
            <w:tcW w:w="117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21.4</w:t>
            </w:r>
          </w:p>
        </w:tc>
        <w:tc>
          <w:tcPr>
            <w:tcW w:w="117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52.4</w:t>
            </w:r>
          </w:p>
        </w:tc>
        <w:tc>
          <w:tcPr>
            <w:tcW w:w="117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0.0</w:t>
            </w:r>
          </w:p>
        </w:tc>
      </w:tr>
      <w:tr w:rsidR="00612FD3" w:rsidTr="00301B6D">
        <w:trPr>
          <w:trHeight w:val="230"/>
        </w:trPr>
        <w:tc>
          <w:tcPr>
            <w:tcW w:w="20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jc w:val="left"/>
              <w:rPr>
                <w:lang w:val="en-GB"/>
              </w:rPr>
            </w:pPr>
            <w:r>
              <w:rPr>
                <w:lang w:val="en-GB"/>
              </w:rPr>
              <w:t>Other retail</w:t>
            </w:r>
          </w:p>
        </w:tc>
        <w:tc>
          <w:tcPr>
            <w:tcW w:w="117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55.8</w:t>
            </w:r>
          </w:p>
        </w:tc>
        <w:tc>
          <w:tcPr>
            <w:tcW w:w="117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2.4</w:t>
            </w:r>
          </w:p>
        </w:tc>
        <w:tc>
          <w:tcPr>
            <w:tcW w:w="117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17.0</w:t>
            </w:r>
          </w:p>
        </w:tc>
        <w:tc>
          <w:tcPr>
            <w:tcW w:w="117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24.7</w:t>
            </w:r>
          </w:p>
        </w:tc>
        <w:tc>
          <w:tcPr>
            <w:tcW w:w="117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0.0</w:t>
            </w:r>
          </w:p>
        </w:tc>
      </w:tr>
      <w:tr w:rsidR="00612FD3" w:rsidTr="00301B6D">
        <w:trPr>
          <w:trHeight w:val="230"/>
        </w:trPr>
        <w:tc>
          <w:tcPr>
            <w:tcW w:w="20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jc w:val="left"/>
              <w:rPr>
                <w:lang w:val="en-GB"/>
              </w:rPr>
            </w:pPr>
            <w:r>
              <w:rPr>
                <w:lang w:val="en-GB"/>
              </w:rPr>
              <w:t>Hospitals</w:t>
            </w:r>
          </w:p>
        </w:tc>
        <w:tc>
          <w:tcPr>
            <w:tcW w:w="117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40.0</w:t>
            </w:r>
          </w:p>
        </w:tc>
        <w:tc>
          <w:tcPr>
            <w:tcW w:w="117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0.0</w:t>
            </w:r>
          </w:p>
        </w:tc>
        <w:tc>
          <w:tcPr>
            <w:tcW w:w="117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60.0</w:t>
            </w:r>
          </w:p>
        </w:tc>
        <w:tc>
          <w:tcPr>
            <w:tcW w:w="117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0.0</w:t>
            </w:r>
          </w:p>
        </w:tc>
        <w:tc>
          <w:tcPr>
            <w:tcW w:w="117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0.0</w:t>
            </w:r>
          </w:p>
        </w:tc>
      </w:tr>
      <w:tr w:rsidR="00612FD3" w:rsidTr="00301B6D">
        <w:trPr>
          <w:trHeight w:val="230"/>
        </w:trPr>
        <w:tc>
          <w:tcPr>
            <w:tcW w:w="20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jc w:val="left"/>
              <w:rPr>
                <w:lang w:val="en-GB"/>
              </w:rPr>
            </w:pPr>
            <w:r>
              <w:rPr>
                <w:lang w:val="en-GB"/>
              </w:rPr>
              <w:t>Schools</w:t>
            </w:r>
          </w:p>
        </w:tc>
        <w:tc>
          <w:tcPr>
            <w:tcW w:w="117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53.3</w:t>
            </w:r>
          </w:p>
        </w:tc>
        <w:tc>
          <w:tcPr>
            <w:tcW w:w="117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5.3</w:t>
            </w:r>
          </w:p>
        </w:tc>
        <w:tc>
          <w:tcPr>
            <w:tcW w:w="117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13.3</w:t>
            </w:r>
          </w:p>
        </w:tc>
        <w:tc>
          <w:tcPr>
            <w:tcW w:w="117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28.0</w:t>
            </w:r>
          </w:p>
        </w:tc>
        <w:tc>
          <w:tcPr>
            <w:tcW w:w="117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0.0</w:t>
            </w:r>
          </w:p>
        </w:tc>
      </w:tr>
      <w:tr w:rsidR="00612FD3" w:rsidTr="00301B6D">
        <w:trPr>
          <w:trHeight w:val="230"/>
        </w:trPr>
        <w:tc>
          <w:tcPr>
            <w:tcW w:w="20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jc w:val="left"/>
              <w:rPr>
                <w:lang w:val="en-GB"/>
              </w:rPr>
            </w:pPr>
            <w:r>
              <w:rPr>
                <w:lang w:val="en-GB"/>
              </w:rPr>
              <w:t>Universities/VET buildings</w:t>
            </w:r>
          </w:p>
        </w:tc>
        <w:tc>
          <w:tcPr>
            <w:tcW w:w="117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72.3</w:t>
            </w:r>
          </w:p>
        </w:tc>
        <w:tc>
          <w:tcPr>
            <w:tcW w:w="117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3.4</w:t>
            </w:r>
          </w:p>
        </w:tc>
        <w:tc>
          <w:tcPr>
            <w:tcW w:w="117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7.0</w:t>
            </w:r>
          </w:p>
        </w:tc>
        <w:tc>
          <w:tcPr>
            <w:tcW w:w="117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17.2</w:t>
            </w:r>
          </w:p>
        </w:tc>
        <w:tc>
          <w:tcPr>
            <w:tcW w:w="117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0.0</w:t>
            </w:r>
          </w:p>
        </w:tc>
      </w:tr>
      <w:tr w:rsidR="00612FD3" w:rsidTr="00301B6D">
        <w:trPr>
          <w:trHeight w:val="230"/>
        </w:trPr>
        <w:tc>
          <w:tcPr>
            <w:tcW w:w="2083" w:type="dxa"/>
            <w:tcBorders>
              <w:top w:val="single" w:sz="8" w:space="0" w:color="FFFFFF" w:themeColor="background1"/>
              <w:bottom w:val="single" w:sz="6" w:space="0" w:color="6F6652"/>
            </w:tcBorders>
            <w:shd w:val="clear" w:color="auto" w:fill="E9E8E5" w:themeFill="background2"/>
            <w:tcMar>
              <w:left w:w="57" w:type="dxa"/>
              <w:right w:w="57" w:type="dxa"/>
            </w:tcMar>
          </w:tcPr>
          <w:p w:rsidR="00612FD3" w:rsidRDefault="00612FD3" w:rsidP="00301B6D">
            <w:pPr>
              <w:pStyle w:val="TableDataEntries"/>
              <w:jc w:val="left"/>
              <w:rPr>
                <w:lang w:val="en-GB"/>
              </w:rPr>
            </w:pPr>
            <w:r>
              <w:rPr>
                <w:lang w:val="en-GB"/>
              </w:rPr>
              <w:t>Hotels</w:t>
            </w:r>
          </w:p>
        </w:tc>
        <w:tc>
          <w:tcPr>
            <w:tcW w:w="1170" w:type="dxa"/>
            <w:tcBorders>
              <w:top w:val="single" w:sz="8" w:space="0" w:color="FFFFFF" w:themeColor="background1"/>
              <w:bottom w:val="single" w:sz="6" w:space="0" w:color="6F6652"/>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39.3</w:t>
            </w:r>
          </w:p>
        </w:tc>
        <w:tc>
          <w:tcPr>
            <w:tcW w:w="1171" w:type="dxa"/>
            <w:tcBorders>
              <w:top w:val="single" w:sz="8" w:space="0" w:color="FFFFFF" w:themeColor="background1"/>
              <w:bottom w:val="single" w:sz="6" w:space="0" w:color="6F6652"/>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14.3</w:t>
            </w:r>
          </w:p>
        </w:tc>
        <w:tc>
          <w:tcPr>
            <w:tcW w:w="1171" w:type="dxa"/>
            <w:tcBorders>
              <w:top w:val="single" w:sz="8" w:space="0" w:color="FFFFFF" w:themeColor="background1"/>
              <w:bottom w:val="single" w:sz="6" w:space="0" w:color="6F6652"/>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3.6</w:t>
            </w:r>
          </w:p>
        </w:tc>
        <w:tc>
          <w:tcPr>
            <w:tcW w:w="1170" w:type="dxa"/>
            <w:tcBorders>
              <w:top w:val="single" w:sz="8" w:space="0" w:color="FFFFFF" w:themeColor="background1"/>
              <w:bottom w:val="single" w:sz="6" w:space="0" w:color="6F6652"/>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42.9</w:t>
            </w:r>
          </w:p>
        </w:tc>
        <w:tc>
          <w:tcPr>
            <w:tcW w:w="1171" w:type="dxa"/>
            <w:tcBorders>
              <w:top w:val="single" w:sz="8" w:space="0" w:color="FFFFFF" w:themeColor="background1"/>
              <w:bottom w:val="single" w:sz="6" w:space="0" w:color="6F6652"/>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0.0</w:t>
            </w:r>
          </w:p>
        </w:tc>
      </w:tr>
    </w:tbl>
    <w:p w:rsidR="00612FD3" w:rsidRDefault="00612FD3" w:rsidP="00612FD3">
      <w:pPr>
        <w:pStyle w:val="Source"/>
      </w:pPr>
      <w:r>
        <w:rPr>
          <w:i/>
        </w:rPr>
        <w:t>Source</w:t>
      </w:r>
      <w:r w:rsidRPr="00E4232C">
        <w:rPr>
          <w:i/>
        </w:rPr>
        <w:t>:</w:t>
      </w:r>
      <w:r>
        <w:t xml:space="preserve"> CIE survey of building surveyors.</w:t>
      </w:r>
    </w:p>
    <w:p w:rsidR="00612FD3" w:rsidRDefault="00612FD3" w:rsidP="00612FD3">
      <w:pPr>
        <w:pStyle w:val="BodyText"/>
      </w:pPr>
      <w:r>
        <w:t>Although there is no way of knowing whether these results are representative of the broader industry, these results imply that a significant share of commercial buildings demonstrate compliance with Section J of the NCC through Deemed-to</w:t>
      </w:r>
      <w:r>
        <w:noBreakHyphen/>
        <w:t>Satisfy solutions (chart </w:t>
      </w:r>
      <w:r>
        <w:rPr>
          <w:noProof/>
        </w:rPr>
        <w:fldChar w:fldCharType="begin"/>
      </w:r>
      <w:r>
        <w:rPr>
          <w:noProof/>
        </w:rPr>
        <w:instrText xml:space="preserve"> REF _Caption9864 </w:instrText>
      </w:r>
      <w:r>
        <w:rPr>
          <w:noProof/>
        </w:rPr>
        <w:fldChar w:fldCharType="separate"/>
      </w:r>
      <w:r w:rsidR="006B79B8" w:rsidRPr="00D00F02">
        <w:rPr>
          <w:noProof/>
        </w:rPr>
        <w:t>F.4</w:t>
      </w:r>
      <w:r>
        <w:rPr>
          <w:noProof/>
        </w:rPr>
        <w:fldChar w:fldCharType="end"/>
      </w:r>
      <w:r>
        <w:t>). For those commercial buildings using the Performance Solution pathway, the modelled negative costs may not occur as by definition the Performance Solution allows trade-offs between components as long as the overall energy performance is met. This means that the benefit (that is negative cost) through trade-offs between glazing U-Value and wall U-Value and the substitution between glazing SHGC and U-Value with cheaper windows may already be exhausted in the baseline.</w:t>
      </w:r>
    </w:p>
    <w:p w:rsidR="00612FD3" w:rsidRPr="00D00F02" w:rsidRDefault="00612FD3" w:rsidP="00612FD3">
      <w:pPr>
        <w:pStyle w:val="Caption"/>
        <w:numPr>
          <w:ilvl w:val="0"/>
          <w:numId w:val="7"/>
        </w:numPr>
      </w:pPr>
      <w:r w:rsidRPr="00D00F02">
        <w:fldChar w:fldCharType="begin"/>
      </w:r>
      <w:r w:rsidRPr="00D00F02">
        <w:instrText xml:space="preserve"> IF 1 = 1 "</w:instrText>
      </w:r>
      <w:r w:rsidRPr="00D00F02">
        <w:fldChar w:fldCharType="begin"/>
      </w:r>
      <w:r w:rsidRPr="00D00F02">
        <w:instrText xml:space="preserve"> IF </w:instrText>
      </w:r>
      <w:r w:rsidRPr="00D00F02">
        <w:rPr>
          <w:noProof/>
        </w:rPr>
        <w:fldChar w:fldCharType="begin"/>
      </w:r>
      <w:r w:rsidRPr="00D00F02">
        <w:rPr>
          <w:noProof/>
        </w:rPr>
        <w:instrText xml:space="preserve"> STYLEREF "Heading 6" \l \n </w:instrText>
      </w:r>
      <w:r w:rsidRPr="00D00F02">
        <w:rPr>
          <w:noProof/>
        </w:rPr>
        <w:fldChar w:fldCharType="separate"/>
      </w:r>
      <w:r w:rsidR="00B833F1">
        <w:rPr>
          <w:noProof/>
        </w:rPr>
        <w:instrText>F</w:instrText>
      </w:r>
      <w:r w:rsidRPr="00D00F02">
        <w:rPr>
          <w:noProof/>
        </w:rPr>
        <w:fldChar w:fldCharType="end"/>
      </w:r>
      <w:r w:rsidRPr="00D00F02">
        <w:instrText xml:space="preserve"> = 0 "</w:instrText>
      </w:r>
      <w:r w:rsidRPr="00D00F02">
        <w:fldChar w:fldCharType="begin"/>
      </w:r>
      <w:r w:rsidRPr="00D00F02">
        <w:instrText xml:space="preserve"> IF </w:instrText>
      </w:r>
      <w:r w:rsidRPr="00D00F02">
        <w:fldChar w:fldCharType="begin"/>
      </w:r>
      <w:r w:rsidRPr="00D00F02">
        <w:instrText xml:space="preserve"> STYLEREF "Heading 1" \l \n </w:instrText>
      </w:r>
      <w:r w:rsidRPr="00D00F02">
        <w:fldChar w:fldCharType="separate"/>
      </w:r>
      <w:r w:rsidRPr="00D00F02">
        <w:rPr>
          <w:b/>
          <w:bCs/>
          <w:noProof/>
          <w:lang w:val="en-US"/>
        </w:rPr>
        <w:instrText>Error! No text of specified style in document.</w:instrText>
      </w:r>
      <w:r w:rsidRPr="00D00F02">
        <w:rPr>
          <w:noProof/>
        </w:rPr>
        <w:fldChar w:fldCharType="end"/>
      </w:r>
      <w:r w:rsidRPr="00D00F02">
        <w:instrText xml:space="preserve"> = 0 "" "</w:instrText>
      </w:r>
      <w:r w:rsidRPr="00D00F02">
        <w:fldChar w:fldCharType="begin"/>
      </w:r>
      <w:r w:rsidRPr="00D00F02">
        <w:instrText xml:space="preserve"> STYLEREF "Heading 1" \l \n </w:instrText>
      </w:r>
      <w:r w:rsidRPr="00D00F02">
        <w:fldChar w:fldCharType="separate"/>
      </w:r>
      <w:r w:rsidRPr="00D00F02">
        <w:rPr>
          <w:b/>
          <w:bCs/>
          <w:noProof/>
          <w:lang w:val="en-US"/>
        </w:rPr>
        <w:instrText>Error! No text of specified style in document.</w:instrText>
      </w:r>
      <w:r w:rsidRPr="00D00F02">
        <w:rPr>
          <w:noProof/>
        </w:rPr>
        <w:fldChar w:fldCharType="end"/>
      </w:r>
      <w:r w:rsidRPr="00D00F02">
        <w:instrText xml:space="preserve">." </w:instrText>
      </w:r>
      <w:r w:rsidRPr="00D00F02">
        <w:fldChar w:fldCharType="separate"/>
      </w:r>
      <w:r w:rsidRPr="00D00F02">
        <w:rPr>
          <w:b/>
          <w:bCs/>
          <w:noProof/>
          <w:lang w:val="en-US"/>
        </w:rPr>
        <w:instrText>Error! No text of specified style in document.</w:instrText>
      </w:r>
      <w:r w:rsidRPr="00D00F02">
        <w:rPr>
          <w:noProof/>
        </w:rPr>
        <w:instrText>.</w:instrText>
      </w:r>
      <w:r w:rsidRPr="00D00F02">
        <w:fldChar w:fldCharType="end"/>
      </w:r>
      <w:r w:rsidRPr="00D00F02">
        <w:instrText>" "</w:instrText>
      </w:r>
      <w:r w:rsidRPr="00D00F02">
        <w:rPr>
          <w:noProof/>
        </w:rPr>
        <w:fldChar w:fldCharType="begin"/>
      </w:r>
      <w:r w:rsidRPr="00D00F02">
        <w:rPr>
          <w:noProof/>
        </w:rPr>
        <w:instrText xml:space="preserve"> STYLEREF "Heading 6" \l \n </w:instrText>
      </w:r>
      <w:r w:rsidRPr="00D00F02">
        <w:rPr>
          <w:noProof/>
        </w:rPr>
        <w:fldChar w:fldCharType="separate"/>
      </w:r>
      <w:r w:rsidR="00B833F1">
        <w:rPr>
          <w:noProof/>
        </w:rPr>
        <w:instrText>F</w:instrText>
      </w:r>
      <w:r w:rsidRPr="00D00F02">
        <w:rPr>
          <w:noProof/>
        </w:rPr>
        <w:fldChar w:fldCharType="end"/>
      </w:r>
      <w:r w:rsidRPr="00D00F02">
        <w:instrText xml:space="preserve">." </w:instrText>
      </w:r>
      <w:r w:rsidRPr="00D00F02">
        <w:fldChar w:fldCharType="separate"/>
      </w:r>
      <w:r w:rsidR="00B833F1">
        <w:rPr>
          <w:noProof/>
        </w:rPr>
        <w:instrText>F</w:instrText>
      </w:r>
      <w:r w:rsidR="00B833F1" w:rsidRPr="00D00F02">
        <w:rPr>
          <w:noProof/>
        </w:rPr>
        <w:instrText>.</w:instrText>
      </w:r>
      <w:r w:rsidRPr="00D00F02">
        <w:fldChar w:fldCharType="end"/>
      </w:r>
      <w:r w:rsidRPr="00D00F02">
        <w:instrText xml:space="preserve">4" "" </w:instrText>
      </w:r>
      <w:r w:rsidRPr="00D00F02">
        <w:fldChar w:fldCharType="separate"/>
      </w:r>
      <w:bookmarkStart w:id="7486" w:name="_Caption9696"/>
      <w:bookmarkStart w:id="7487" w:name="_Caption4619"/>
      <w:bookmarkStart w:id="7488" w:name="_Caption4287"/>
      <w:bookmarkStart w:id="7489" w:name="_Caption1088"/>
      <w:bookmarkStart w:id="7490" w:name="_Caption1238"/>
      <w:bookmarkStart w:id="7491" w:name="_Caption9603"/>
      <w:bookmarkStart w:id="7492" w:name="_Caption7292"/>
      <w:bookmarkStart w:id="7493" w:name="_Caption0540"/>
      <w:bookmarkStart w:id="7494" w:name="_Caption5614"/>
      <w:bookmarkStart w:id="7495" w:name="_Caption6892"/>
      <w:bookmarkStart w:id="7496" w:name="_Caption5378"/>
      <w:bookmarkStart w:id="7497" w:name="_Caption3738"/>
      <w:bookmarkStart w:id="7498" w:name="_Caption7203"/>
      <w:bookmarkStart w:id="7499" w:name="_Caption7371"/>
      <w:bookmarkStart w:id="7500" w:name="_Caption1348"/>
      <w:bookmarkStart w:id="7501" w:name="_Caption3504"/>
      <w:bookmarkStart w:id="7502" w:name="_Caption7177"/>
      <w:bookmarkStart w:id="7503" w:name="_Caption0447"/>
      <w:bookmarkStart w:id="7504" w:name="_Caption8751"/>
      <w:bookmarkStart w:id="7505" w:name="_Caption4396"/>
      <w:bookmarkStart w:id="7506" w:name="_Caption6128"/>
      <w:bookmarkStart w:id="7507" w:name="_Caption8770"/>
      <w:bookmarkStart w:id="7508" w:name="_Caption2825"/>
      <w:bookmarkStart w:id="7509" w:name="_Caption8118"/>
      <w:bookmarkStart w:id="7510" w:name="_Caption0146"/>
      <w:bookmarkStart w:id="7511" w:name="_Caption0829"/>
      <w:bookmarkStart w:id="7512" w:name="_Caption8726"/>
      <w:bookmarkStart w:id="7513" w:name="_Caption2972"/>
      <w:bookmarkStart w:id="7514" w:name="_Caption5712"/>
      <w:bookmarkStart w:id="7515" w:name="_Caption9080"/>
      <w:bookmarkStart w:id="7516" w:name="_Caption2652"/>
      <w:bookmarkStart w:id="7517" w:name="_Caption4985"/>
      <w:bookmarkStart w:id="7518" w:name="_Caption3379"/>
      <w:bookmarkStart w:id="7519" w:name="_Caption1674"/>
      <w:bookmarkStart w:id="7520" w:name="_Caption7204"/>
      <w:bookmarkStart w:id="7521" w:name="_Caption0309"/>
      <w:bookmarkStart w:id="7522" w:name="_Caption1347"/>
      <w:bookmarkStart w:id="7523" w:name="_Caption2951"/>
      <w:bookmarkStart w:id="7524" w:name="_Caption7523"/>
      <w:bookmarkStart w:id="7525" w:name="_Caption5377"/>
      <w:bookmarkStart w:id="7526" w:name="_Caption9333"/>
      <w:bookmarkStart w:id="7527" w:name="_Caption8409"/>
      <w:bookmarkStart w:id="7528" w:name="_Caption2490"/>
      <w:bookmarkStart w:id="7529" w:name="_Caption8696"/>
      <w:bookmarkStart w:id="7530" w:name="_Caption2054"/>
      <w:bookmarkStart w:id="7531" w:name="_Caption8204"/>
      <w:bookmarkStart w:id="7532" w:name="_Caption6002"/>
      <w:bookmarkStart w:id="7533" w:name="_Caption1192"/>
      <w:bookmarkStart w:id="7534" w:name="_Caption0366"/>
      <w:bookmarkStart w:id="7535" w:name="_Caption9951"/>
      <w:bookmarkStart w:id="7536" w:name="_Caption3290"/>
      <w:bookmarkStart w:id="7537" w:name="_Caption1553"/>
      <w:bookmarkStart w:id="7538" w:name="_Caption1026"/>
      <w:bookmarkStart w:id="7539" w:name="_Caption6092"/>
      <w:bookmarkStart w:id="7540" w:name="_Caption3605"/>
      <w:bookmarkStart w:id="7541" w:name="_Caption0495"/>
      <w:bookmarkStart w:id="7542" w:name="_Caption3885"/>
      <w:bookmarkStart w:id="7543" w:name="_Caption9864"/>
      <w:bookmarkStart w:id="7544" w:name="_Caption0480"/>
      <w:bookmarkStart w:id="7545" w:name="_Caption0048"/>
      <w:bookmarkStart w:id="7546" w:name="_Caption4949"/>
      <w:bookmarkStart w:id="7547" w:name="_Caption3762"/>
      <w:bookmarkStart w:id="7548" w:name="_Caption0289"/>
      <w:bookmarkStart w:id="7549" w:name="_Caption0082"/>
      <w:bookmarkStart w:id="7550" w:name="_Caption8436"/>
      <w:bookmarkStart w:id="7551" w:name="_Caption0255"/>
      <w:bookmarkStart w:id="7552" w:name="_Caption7400"/>
      <w:bookmarkStart w:id="7553" w:name="_Caption1938"/>
      <w:bookmarkStart w:id="7554" w:name="_Caption9438"/>
      <w:bookmarkStart w:id="7555" w:name="_Caption4206"/>
      <w:bookmarkStart w:id="7556" w:name="_Caption1834"/>
      <w:bookmarkStart w:id="7557" w:name="_Caption2521"/>
      <w:bookmarkStart w:id="7558" w:name="_Caption6150"/>
      <w:bookmarkStart w:id="7559" w:name="_Caption2466"/>
      <w:bookmarkStart w:id="7560" w:name="_Caption5307"/>
      <w:bookmarkStart w:id="7561" w:name="_Caption7643"/>
      <w:bookmarkStart w:id="7562" w:name="_Caption7782"/>
      <w:bookmarkStart w:id="7563" w:name="_Caption6331"/>
      <w:bookmarkStart w:id="7564" w:name="_Caption9575"/>
      <w:bookmarkStart w:id="7565" w:name="_Caption5699"/>
      <w:bookmarkStart w:id="7566" w:name="_Caption7619"/>
      <w:bookmarkStart w:id="7567" w:name="_Caption1305"/>
      <w:bookmarkStart w:id="7568" w:name="_Caption2929"/>
      <w:bookmarkStart w:id="7569" w:name="_Caption8319"/>
      <w:bookmarkStart w:id="7570" w:name="_Caption8678"/>
      <w:bookmarkStart w:id="7571" w:name="_Caption9013"/>
      <w:bookmarkStart w:id="7572" w:name="_Caption5692"/>
      <w:bookmarkStart w:id="7573" w:name="_Caption0682"/>
      <w:bookmarkStart w:id="7574" w:name="_Caption6152"/>
      <w:bookmarkStart w:id="7575" w:name="_Caption0001"/>
      <w:bookmarkStart w:id="7576" w:name="_Caption2218"/>
      <w:bookmarkStart w:id="7577" w:name="_Caption1590"/>
      <w:bookmarkStart w:id="7578" w:name="_Caption5333"/>
      <w:bookmarkStart w:id="7579" w:name="_Caption4966"/>
      <w:bookmarkStart w:id="7580" w:name="_Caption2167"/>
      <w:bookmarkStart w:id="7581" w:name="_Caption8445"/>
      <w:bookmarkStart w:id="7582" w:name="_Caption4638"/>
      <w:bookmarkStart w:id="7583" w:name="_Caption7934"/>
      <w:bookmarkStart w:id="7584" w:name="_Caption8715"/>
      <w:bookmarkStart w:id="7585" w:name="_Caption7851"/>
      <w:bookmarkStart w:id="7586" w:name="_Caption3940"/>
      <w:bookmarkStart w:id="7587" w:name="_Caption1557"/>
      <w:bookmarkStart w:id="7588" w:name="_Caption1359"/>
      <w:bookmarkStart w:id="7589" w:name="_Caption2506"/>
      <w:bookmarkStart w:id="7590" w:name="_Toc505120693"/>
      <w:bookmarkStart w:id="7591" w:name="_Toc509220895"/>
      <w:bookmarkStart w:id="7592" w:name="_Toc529869997"/>
      <w:bookmarkStart w:id="7593" w:name="_Toc530748493"/>
      <w:r w:rsidR="00EA42ED">
        <w:rPr>
          <w:noProof/>
        </w:rPr>
        <w:t>F</w:t>
      </w:r>
      <w:r w:rsidR="00EA42ED" w:rsidRPr="00D00F02">
        <w:rPr>
          <w:noProof/>
        </w:rPr>
        <w:t>.4</w:t>
      </w:r>
      <w:bookmarkStart w:id="7594" w:name="_Toc507523846"/>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r w:rsidRPr="00D00F02">
        <w:fldChar w:fldCharType="end"/>
      </w:r>
      <w:r w:rsidRPr="00D00F02">
        <w:tab/>
        <w:t>Compliance pathway by building type</w:t>
      </w:r>
      <w:bookmarkEnd w:id="7590"/>
      <w:bookmarkEnd w:id="7591"/>
      <w:bookmarkEnd w:id="7592"/>
      <w:bookmarkEnd w:id="7593"/>
      <w:bookmarkEnd w:id="7594"/>
    </w:p>
    <w:p w:rsidR="00612FD3" w:rsidRDefault="00612FD3" w:rsidP="00612FD3">
      <w:pPr>
        <w:pStyle w:val="Source"/>
      </w:pPr>
      <w:r w:rsidRPr="00DE30E6">
        <w:rPr>
          <w:noProof/>
          <w:lang w:eastAsia="en-AU"/>
        </w:rPr>
        <w:drawing>
          <wp:inline distT="0" distB="0" distL="0" distR="0" wp14:anchorId="4351EAA8" wp14:editId="38A41443">
            <wp:extent cx="5039995" cy="2437130"/>
            <wp:effectExtent l="0" t="0" r="8255" b="1270"/>
            <wp:docPr id="22" name="Picture 22" descr="This chart reports the survey results about compliance pathway by building type. The share of using DTS is around 70 per cent for Office buildings, about 25 per cent for shpping centres, close to 60 per cent for Other retail, 40 per cent for hospitals, close to 60 per cent for schools, 75 pr cent for university and VET buildings, and about 55 per cent for hotels." title="Compliance pathway by building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039995" cy="2437130"/>
                    </a:xfrm>
                    <a:prstGeom prst="rect">
                      <a:avLst/>
                    </a:prstGeom>
                    <a:solidFill>
                      <a:schemeClr val="bg2"/>
                    </a:solidFill>
                    <a:ln>
                      <a:noFill/>
                    </a:ln>
                  </pic:spPr>
                </pic:pic>
              </a:graphicData>
            </a:graphic>
          </wp:inline>
        </w:drawing>
      </w:r>
      <w:r>
        <w:rPr>
          <w:i/>
        </w:rPr>
        <w:t>Data source</w:t>
      </w:r>
      <w:r w:rsidRPr="00A67576">
        <w:rPr>
          <w:i/>
        </w:rPr>
        <w:t>:</w:t>
      </w:r>
      <w:r>
        <w:t xml:space="preserve"> CIE survey of building surveyors.</w:t>
      </w:r>
      <w:r w:rsidRPr="005F7D08">
        <w:rPr>
          <w:noProof/>
          <w:lang w:eastAsia="en-AU"/>
        </w:rPr>
        <w:t xml:space="preserve"> </w:t>
      </w:r>
    </w:p>
    <w:p w:rsidR="00612FD3" w:rsidRDefault="00612FD3" w:rsidP="00612FD3">
      <w:pPr>
        <w:pStyle w:val="BodyText"/>
      </w:pPr>
      <w:r>
        <w:t>The results also imply that for most building types covered by the survey, a relatively small proportion of buildings are designed to exceed NCC minimum standards (chart </w:t>
      </w:r>
      <w:r>
        <w:rPr>
          <w:noProof/>
        </w:rPr>
        <w:fldChar w:fldCharType="begin"/>
      </w:r>
      <w:r>
        <w:rPr>
          <w:noProof/>
        </w:rPr>
        <w:instrText xml:space="preserve"> REF _Caption7548 </w:instrText>
      </w:r>
      <w:r>
        <w:rPr>
          <w:noProof/>
        </w:rPr>
        <w:fldChar w:fldCharType="separate"/>
      </w:r>
      <w:r w:rsidR="006B79B8" w:rsidRPr="00D00F02">
        <w:rPr>
          <w:noProof/>
        </w:rPr>
        <w:t>F.5</w:t>
      </w:r>
      <w:r>
        <w:rPr>
          <w:noProof/>
        </w:rPr>
        <w:fldChar w:fldCharType="end"/>
      </w:r>
      <w:r>
        <w:t>). That said, more than half of shopping centres and hotels are designed to exceed NCC minimum standards. Furthermore, the results imply that where buildings are designed to exceed minimum standards, they are not designed to exceed minimum standards by much (generally 0-10 per cent).</w:t>
      </w:r>
    </w:p>
    <w:p w:rsidR="00612FD3" w:rsidRPr="00D00F02" w:rsidRDefault="00612FD3" w:rsidP="00612FD3">
      <w:pPr>
        <w:pStyle w:val="Caption"/>
        <w:numPr>
          <w:ilvl w:val="0"/>
          <w:numId w:val="7"/>
        </w:numPr>
      </w:pPr>
      <w:r w:rsidRPr="00D00F02">
        <w:fldChar w:fldCharType="begin"/>
      </w:r>
      <w:r w:rsidRPr="00D00F02">
        <w:instrText xml:space="preserve"> IF 1 = 1 "</w:instrText>
      </w:r>
      <w:r w:rsidRPr="00D00F02">
        <w:fldChar w:fldCharType="begin"/>
      </w:r>
      <w:r w:rsidRPr="00D00F02">
        <w:instrText xml:space="preserve"> IF </w:instrText>
      </w:r>
      <w:r w:rsidRPr="00D00F02">
        <w:rPr>
          <w:noProof/>
        </w:rPr>
        <w:fldChar w:fldCharType="begin"/>
      </w:r>
      <w:r w:rsidRPr="00D00F02">
        <w:rPr>
          <w:noProof/>
        </w:rPr>
        <w:instrText xml:space="preserve"> STYLEREF "Heading 6" \l \n </w:instrText>
      </w:r>
      <w:r w:rsidRPr="00D00F02">
        <w:rPr>
          <w:noProof/>
        </w:rPr>
        <w:fldChar w:fldCharType="separate"/>
      </w:r>
      <w:r w:rsidR="00B833F1">
        <w:rPr>
          <w:noProof/>
        </w:rPr>
        <w:instrText>F</w:instrText>
      </w:r>
      <w:r w:rsidRPr="00D00F02">
        <w:rPr>
          <w:noProof/>
        </w:rPr>
        <w:fldChar w:fldCharType="end"/>
      </w:r>
      <w:r w:rsidRPr="00D00F02">
        <w:instrText xml:space="preserve"> = 0 "</w:instrText>
      </w:r>
      <w:r w:rsidRPr="00D00F02">
        <w:fldChar w:fldCharType="begin"/>
      </w:r>
      <w:r w:rsidRPr="00D00F02">
        <w:instrText xml:space="preserve"> IF </w:instrText>
      </w:r>
      <w:r w:rsidRPr="00D00F02">
        <w:fldChar w:fldCharType="begin"/>
      </w:r>
      <w:r w:rsidRPr="00D00F02">
        <w:instrText xml:space="preserve"> STYLEREF "Heading 1" \l \n </w:instrText>
      </w:r>
      <w:r w:rsidRPr="00D00F02">
        <w:fldChar w:fldCharType="separate"/>
      </w:r>
      <w:r w:rsidRPr="00D00F02">
        <w:rPr>
          <w:b/>
          <w:bCs/>
          <w:noProof/>
          <w:lang w:val="en-US"/>
        </w:rPr>
        <w:instrText>Error! No text of specified style in document.</w:instrText>
      </w:r>
      <w:r w:rsidRPr="00D00F02">
        <w:rPr>
          <w:noProof/>
        </w:rPr>
        <w:fldChar w:fldCharType="end"/>
      </w:r>
      <w:r w:rsidRPr="00D00F02">
        <w:instrText xml:space="preserve"> = 0 "" "</w:instrText>
      </w:r>
      <w:r w:rsidRPr="00D00F02">
        <w:fldChar w:fldCharType="begin"/>
      </w:r>
      <w:r w:rsidRPr="00D00F02">
        <w:instrText xml:space="preserve"> STYLEREF "Heading 1" \l \n </w:instrText>
      </w:r>
      <w:r w:rsidRPr="00D00F02">
        <w:fldChar w:fldCharType="separate"/>
      </w:r>
      <w:r w:rsidRPr="00D00F02">
        <w:rPr>
          <w:b/>
          <w:bCs/>
          <w:noProof/>
          <w:lang w:val="en-US"/>
        </w:rPr>
        <w:instrText>Error! No text of specified style in document.</w:instrText>
      </w:r>
      <w:r w:rsidRPr="00D00F02">
        <w:rPr>
          <w:noProof/>
        </w:rPr>
        <w:fldChar w:fldCharType="end"/>
      </w:r>
      <w:r w:rsidRPr="00D00F02">
        <w:instrText xml:space="preserve">." </w:instrText>
      </w:r>
      <w:r w:rsidRPr="00D00F02">
        <w:fldChar w:fldCharType="separate"/>
      </w:r>
      <w:r w:rsidRPr="00D00F02">
        <w:rPr>
          <w:b/>
          <w:bCs/>
          <w:noProof/>
          <w:lang w:val="en-US"/>
        </w:rPr>
        <w:instrText>Error! No text of specified style in document.</w:instrText>
      </w:r>
      <w:r w:rsidRPr="00D00F02">
        <w:rPr>
          <w:noProof/>
        </w:rPr>
        <w:instrText>.</w:instrText>
      </w:r>
      <w:r w:rsidRPr="00D00F02">
        <w:fldChar w:fldCharType="end"/>
      </w:r>
      <w:r w:rsidRPr="00D00F02">
        <w:instrText>" "</w:instrText>
      </w:r>
      <w:r w:rsidRPr="00D00F02">
        <w:rPr>
          <w:noProof/>
        </w:rPr>
        <w:fldChar w:fldCharType="begin"/>
      </w:r>
      <w:r w:rsidRPr="00D00F02">
        <w:rPr>
          <w:noProof/>
        </w:rPr>
        <w:instrText xml:space="preserve"> STYLEREF "Heading 6" \l \n </w:instrText>
      </w:r>
      <w:r w:rsidRPr="00D00F02">
        <w:rPr>
          <w:noProof/>
        </w:rPr>
        <w:fldChar w:fldCharType="separate"/>
      </w:r>
      <w:r w:rsidR="00B833F1">
        <w:rPr>
          <w:noProof/>
        </w:rPr>
        <w:instrText>F</w:instrText>
      </w:r>
      <w:r w:rsidRPr="00D00F02">
        <w:rPr>
          <w:noProof/>
        </w:rPr>
        <w:fldChar w:fldCharType="end"/>
      </w:r>
      <w:r w:rsidRPr="00D00F02">
        <w:instrText xml:space="preserve">." </w:instrText>
      </w:r>
      <w:r w:rsidRPr="00D00F02">
        <w:fldChar w:fldCharType="separate"/>
      </w:r>
      <w:r w:rsidR="00B833F1">
        <w:rPr>
          <w:noProof/>
        </w:rPr>
        <w:instrText>F</w:instrText>
      </w:r>
      <w:r w:rsidR="00B833F1" w:rsidRPr="00D00F02">
        <w:rPr>
          <w:noProof/>
        </w:rPr>
        <w:instrText>.</w:instrText>
      </w:r>
      <w:r w:rsidRPr="00D00F02">
        <w:fldChar w:fldCharType="end"/>
      </w:r>
      <w:r w:rsidRPr="00D00F02">
        <w:instrText xml:space="preserve">5" "" </w:instrText>
      </w:r>
      <w:r w:rsidRPr="00D00F02">
        <w:fldChar w:fldCharType="separate"/>
      </w:r>
      <w:bookmarkStart w:id="7595" w:name="_Caption3153"/>
      <w:bookmarkStart w:id="7596" w:name="_Caption7970"/>
      <w:bookmarkStart w:id="7597" w:name="_Caption2618"/>
      <w:bookmarkStart w:id="7598" w:name="_Caption4972"/>
      <w:bookmarkStart w:id="7599" w:name="_Caption8354"/>
      <w:bookmarkStart w:id="7600" w:name="_Caption1676"/>
      <w:bookmarkStart w:id="7601" w:name="_Caption2658"/>
      <w:bookmarkStart w:id="7602" w:name="_Caption8724"/>
      <w:bookmarkStart w:id="7603" w:name="_Caption5147"/>
      <w:bookmarkStart w:id="7604" w:name="_Caption6422"/>
      <w:bookmarkStart w:id="7605" w:name="_Caption1533"/>
      <w:bookmarkStart w:id="7606" w:name="_Caption7343"/>
      <w:bookmarkStart w:id="7607" w:name="_Caption1170"/>
      <w:bookmarkStart w:id="7608" w:name="_Caption4660"/>
      <w:bookmarkStart w:id="7609" w:name="_Caption0788"/>
      <w:bookmarkStart w:id="7610" w:name="_Caption5854"/>
      <w:bookmarkStart w:id="7611" w:name="_Caption5534"/>
      <w:bookmarkStart w:id="7612" w:name="_Caption8778"/>
      <w:bookmarkStart w:id="7613" w:name="_Caption5627"/>
      <w:bookmarkStart w:id="7614" w:name="_Caption9884"/>
      <w:bookmarkStart w:id="7615" w:name="_Caption7823"/>
      <w:bookmarkStart w:id="7616" w:name="_Caption4177"/>
      <w:bookmarkStart w:id="7617" w:name="_Caption2357"/>
      <w:bookmarkStart w:id="7618" w:name="_Caption0280"/>
      <w:bookmarkStart w:id="7619" w:name="_Caption5659"/>
      <w:bookmarkStart w:id="7620" w:name="_Caption4262"/>
      <w:bookmarkStart w:id="7621" w:name="_Caption0369"/>
      <w:bookmarkStart w:id="7622" w:name="_Caption4375"/>
      <w:bookmarkStart w:id="7623" w:name="_Caption3255"/>
      <w:bookmarkStart w:id="7624" w:name="_Caption3206"/>
      <w:bookmarkStart w:id="7625" w:name="_Caption5831"/>
      <w:bookmarkStart w:id="7626" w:name="_Caption2702"/>
      <w:bookmarkStart w:id="7627" w:name="_Caption3739"/>
      <w:bookmarkStart w:id="7628" w:name="_Caption2957"/>
      <w:bookmarkStart w:id="7629" w:name="_Caption8291"/>
      <w:bookmarkStart w:id="7630" w:name="_Caption6945"/>
      <w:bookmarkStart w:id="7631" w:name="_Caption8548"/>
      <w:bookmarkStart w:id="7632" w:name="_Caption8392"/>
      <w:bookmarkStart w:id="7633" w:name="_Caption8888"/>
      <w:bookmarkStart w:id="7634" w:name="_Caption6203"/>
      <w:bookmarkStart w:id="7635" w:name="_Caption0373"/>
      <w:bookmarkStart w:id="7636" w:name="_Caption9495"/>
      <w:bookmarkStart w:id="7637" w:name="_Caption2888"/>
      <w:bookmarkStart w:id="7638" w:name="_Caption5188"/>
      <w:bookmarkStart w:id="7639" w:name="_Caption0276"/>
      <w:bookmarkStart w:id="7640" w:name="_Caption0924"/>
      <w:bookmarkStart w:id="7641" w:name="_Caption7644"/>
      <w:bookmarkStart w:id="7642" w:name="_Caption3937"/>
      <w:bookmarkStart w:id="7643" w:name="_Caption9902"/>
      <w:bookmarkStart w:id="7644" w:name="_Caption9498"/>
      <w:bookmarkStart w:id="7645" w:name="_Caption3866"/>
      <w:bookmarkStart w:id="7646" w:name="_Caption9974"/>
      <w:bookmarkStart w:id="7647" w:name="_Caption2611"/>
      <w:bookmarkStart w:id="7648" w:name="_Caption8641"/>
      <w:bookmarkStart w:id="7649" w:name="_Caption7420"/>
      <w:bookmarkStart w:id="7650" w:name="_Caption8327"/>
      <w:bookmarkStart w:id="7651" w:name="_Caption7548"/>
      <w:bookmarkStart w:id="7652" w:name="_Caption0708"/>
      <w:bookmarkStart w:id="7653" w:name="_Caption8026"/>
      <w:bookmarkStart w:id="7654" w:name="_Caption6308"/>
      <w:bookmarkStart w:id="7655" w:name="_Caption2543"/>
      <w:bookmarkStart w:id="7656" w:name="_Caption8698"/>
      <w:bookmarkStart w:id="7657" w:name="_Caption5306"/>
      <w:bookmarkStart w:id="7658" w:name="_Caption9767"/>
      <w:bookmarkStart w:id="7659" w:name="_Caption0468"/>
      <w:bookmarkStart w:id="7660" w:name="_Caption4371"/>
      <w:bookmarkStart w:id="7661" w:name="_Caption6656"/>
      <w:bookmarkStart w:id="7662" w:name="_Caption2866"/>
      <w:bookmarkStart w:id="7663" w:name="_Caption8640"/>
      <w:bookmarkStart w:id="7664" w:name="_Caption5547"/>
      <w:bookmarkStart w:id="7665" w:name="_Caption4779"/>
      <w:bookmarkStart w:id="7666" w:name="_Caption4397"/>
      <w:bookmarkStart w:id="7667" w:name="_Caption2146"/>
      <w:bookmarkStart w:id="7668" w:name="_Caption0277"/>
      <w:bookmarkStart w:id="7669" w:name="_Caption9246"/>
      <w:bookmarkStart w:id="7670" w:name="_Caption9089"/>
      <w:bookmarkStart w:id="7671" w:name="_Caption7238"/>
      <w:bookmarkStart w:id="7672" w:name="_Caption0846"/>
      <w:bookmarkStart w:id="7673" w:name="_Caption3608"/>
      <w:bookmarkStart w:id="7674" w:name="_Caption2399"/>
      <w:bookmarkStart w:id="7675" w:name="_Caption8976"/>
      <w:bookmarkStart w:id="7676" w:name="_Caption0064"/>
      <w:bookmarkStart w:id="7677" w:name="_Caption9318"/>
      <w:bookmarkStart w:id="7678" w:name="_Caption6048"/>
      <w:bookmarkStart w:id="7679" w:name="_Caption7385"/>
      <w:bookmarkStart w:id="7680" w:name="_Caption5556"/>
      <w:bookmarkStart w:id="7681" w:name="_Caption7544"/>
      <w:bookmarkStart w:id="7682" w:name="_Caption0089"/>
      <w:bookmarkStart w:id="7683" w:name="_Caption1527"/>
      <w:bookmarkStart w:id="7684" w:name="_Caption2524"/>
      <w:bookmarkStart w:id="7685" w:name="_Caption5716"/>
      <w:bookmarkStart w:id="7686" w:name="_Caption8884"/>
      <w:bookmarkStart w:id="7687" w:name="_Caption4406"/>
      <w:bookmarkStart w:id="7688" w:name="_Caption5903"/>
      <w:bookmarkStart w:id="7689" w:name="_Caption4146"/>
      <w:bookmarkStart w:id="7690" w:name="_Caption3104"/>
      <w:bookmarkStart w:id="7691" w:name="_Caption5125"/>
      <w:bookmarkStart w:id="7692" w:name="_Caption7971"/>
      <w:bookmarkStart w:id="7693" w:name="_Caption4738"/>
      <w:bookmarkStart w:id="7694" w:name="_Caption1951"/>
      <w:bookmarkStart w:id="7695" w:name="_Caption4547"/>
      <w:bookmarkStart w:id="7696" w:name="_Caption4298"/>
      <w:bookmarkStart w:id="7697" w:name="_Caption2598"/>
      <w:bookmarkStart w:id="7698" w:name="_Toc505120694"/>
      <w:bookmarkStart w:id="7699" w:name="_Toc509220896"/>
      <w:bookmarkStart w:id="7700" w:name="_Toc529869998"/>
      <w:bookmarkStart w:id="7701" w:name="_Toc530748494"/>
      <w:r w:rsidR="00EA42ED">
        <w:rPr>
          <w:noProof/>
        </w:rPr>
        <w:t>F</w:t>
      </w:r>
      <w:r w:rsidR="00EA42ED" w:rsidRPr="00D00F02">
        <w:rPr>
          <w:noProof/>
        </w:rPr>
        <w:t>.5</w:t>
      </w:r>
      <w:bookmarkStart w:id="7702" w:name="_Toc507523847"/>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r w:rsidRPr="00D00F02">
        <w:fldChar w:fldCharType="end"/>
      </w:r>
      <w:r w:rsidRPr="00D00F02">
        <w:tab/>
        <w:t>Building design relative to NCC minimum standards</w:t>
      </w:r>
      <w:bookmarkEnd w:id="7698"/>
      <w:bookmarkEnd w:id="7699"/>
      <w:bookmarkEnd w:id="7700"/>
      <w:bookmarkEnd w:id="7701"/>
      <w:bookmarkEnd w:id="7702"/>
    </w:p>
    <w:p w:rsidR="00612FD3" w:rsidRDefault="00612FD3" w:rsidP="00612FD3">
      <w:pPr>
        <w:pStyle w:val="Source"/>
      </w:pPr>
      <w:r w:rsidRPr="00DE30E6">
        <w:rPr>
          <w:noProof/>
          <w:lang w:eastAsia="en-AU"/>
        </w:rPr>
        <w:drawing>
          <wp:inline distT="0" distB="0" distL="0" distR="0" wp14:anchorId="09AA1108" wp14:editId="5C5C0658">
            <wp:extent cx="5039995" cy="2437130"/>
            <wp:effectExtent l="0" t="0" r="8255" b="1270"/>
            <wp:docPr id="32" name="Picture 32" descr="This chart reports the survey results about the building design relative to NCC minimum standards by building type. A majority of buildings are designed to meet NCC minimum standards except shopping centres (less than 50 per cent) and hotels (slightly higher than 40 per cent)." title="Building design relative to NCC minimum stand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039995" cy="2437130"/>
                    </a:xfrm>
                    <a:prstGeom prst="rect">
                      <a:avLst/>
                    </a:prstGeom>
                    <a:solidFill>
                      <a:schemeClr val="bg2"/>
                    </a:solidFill>
                    <a:ln>
                      <a:noFill/>
                    </a:ln>
                  </pic:spPr>
                </pic:pic>
              </a:graphicData>
            </a:graphic>
          </wp:inline>
        </w:drawing>
      </w:r>
      <w:r>
        <w:rPr>
          <w:i/>
        </w:rPr>
        <w:t>Data source</w:t>
      </w:r>
      <w:r w:rsidRPr="00A67576">
        <w:rPr>
          <w:i/>
        </w:rPr>
        <w:t>:</w:t>
      </w:r>
      <w:r>
        <w:t xml:space="preserve"> CIE survey of building surveyors.</w:t>
      </w:r>
      <w:r w:rsidRPr="005F7D08">
        <w:rPr>
          <w:noProof/>
          <w:lang w:eastAsia="en-AU"/>
        </w:rPr>
        <w:t xml:space="preserve"> </w:t>
      </w:r>
    </w:p>
    <w:p w:rsidR="00612FD3" w:rsidRPr="00DE30E6" w:rsidRDefault="00612FD3" w:rsidP="00612FD3">
      <w:pPr>
        <w:pStyle w:val="BodyText"/>
      </w:pPr>
    </w:p>
    <w:p w:rsidR="00612FD3" w:rsidRDefault="00612FD3" w:rsidP="00612FD3">
      <w:pPr>
        <w:pStyle w:val="Heading6"/>
        <w:numPr>
          <w:ilvl w:val="5"/>
          <w:numId w:val="5"/>
        </w:numPr>
      </w:pPr>
      <w:bookmarkStart w:id="7703" w:name="_Toc507523778"/>
      <w:bookmarkStart w:id="7704" w:name="_Toc509220825"/>
      <w:bookmarkStart w:id="7705" w:name="_Toc529869887"/>
      <w:bookmarkStart w:id="7706" w:name="_Toc530748605"/>
      <w:bookmarkEnd w:id="7144"/>
      <w:r>
        <w:t>Building details</w:t>
      </w:r>
      <w:bookmarkEnd w:id="7703"/>
      <w:bookmarkEnd w:id="7704"/>
      <w:bookmarkEnd w:id="7705"/>
      <w:bookmarkEnd w:id="7706"/>
    </w:p>
    <w:p w:rsidR="00612FD3" w:rsidRDefault="00612FD3" w:rsidP="00612FD3">
      <w:pPr>
        <w:pStyle w:val="BodyText"/>
        <w:rPr>
          <w:lang w:val="en-GB"/>
        </w:rPr>
      </w:pPr>
      <w:r>
        <w:rPr>
          <w:lang w:val="en-GB"/>
        </w:rPr>
        <w:t xml:space="preserve">The buildings modelled by </w:t>
      </w:r>
      <w:r w:rsidR="003F28DD">
        <w:rPr>
          <w:lang w:val="en-GB"/>
        </w:rPr>
        <w:t>EA</w:t>
      </w:r>
      <w:r>
        <w:rPr>
          <w:lang w:val="en-GB"/>
        </w:rPr>
        <w:t xml:space="preserve"> include:</w:t>
      </w:r>
    </w:p>
    <w:p w:rsidR="00612FD3" w:rsidRDefault="00612FD3" w:rsidP="00612FD3">
      <w:pPr>
        <w:pStyle w:val="ListBullet"/>
        <w:numPr>
          <w:ilvl w:val="0"/>
          <w:numId w:val="36"/>
        </w:numPr>
        <w:rPr>
          <w:lang w:val="en-GB"/>
        </w:rPr>
      </w:pPr>
      <w:r>
        <w:rPr>
          <w:lang w:val="en-GB"/>
        </w:rPr>
        <w:t>a hotel (3A);</w:t>
      </w:r>
    </w:p>
    <w:p w:rsidR="00612FD3" w:rsidRDefault="00612FD3" w:rsidP="00612FD3">
      <w:pPr>
        <w:pStyle w:val="ListBullet"/>
        <w:numPr>
          <w:ilvl w:val="0"/>
          <w:numId w:val="36"/>
        </w:numPr>
        <w:rPr>
          <w:lang w:val="en-GB"/>
        </w:rPr>
      </w:pPr>
      <w:r>
        <w:rPr>
          <w:lang w:val="en-GB"/>
        </w:rPr>
        <w:t>an office building (5A);</w:t>
      </w:r>
    </w:p>
    <w:p w:rsidR="00612FD3" w:rsidRDefault="00612FD3" w:rsidP="00612FD3">
      <w:pPr>
        <w:pStyle w:val="ListBullet"/>
        <w:numPr>
          <w:ilvl w:val="0"/>
          <w:numId w:val="36"/>
        </w:numPr>
        <w:rPr>
          <w:lang w:val="en-GB"/>
        </w:rPr>
      </w:pPr>
      <w:r>
        <w:rPr>
          <w:lang w:val="en-GB"/>
        </w:rPr>
        <w:t>a retail building (6B);</w:t>
      </w:r>
    </w:p>
    <w:p w:rsidR="00612FD3" w:rsidRDefault="00612FD3" w:rsidP="00612FD3">
      <w:pPr>
        <w:pStyle w:val="ListBullet"/>
        <w:numPr>
          <w:ilvl w:val="0"/>
          <w:numId w:val="36"/>
        </w:numPr>
        <w:rPr>
          <w:lang w:val="en-GB"/>
        </w:rPr>
      </w:pPr>
      <w:r>
        <w:rPr>
          <w:lang w:val="en-GB"/>
        </w:rPr>
        <w:t>a health-care clinic (9aC); and</w:t>
      </w:r>
    </w:p>
    <w:p w:rsidR="00612FD3" w:rsidRDefault="00612FD3" w:rsidP="00612FD3">
      <w:pPr>
        <w:pStyle w:val="ListBullet"/>
        <w:numPr>
          <w:ilvl w:val="0"/>
          <w:numId w:val="36"/>
        </w:numPr>
        <w:rPr>
          <w:lang w:val="en-GB"/>
        </w:rPr>
      </w:pPr>
      <w:r>
        <w:rPr>
          <w:lang w:val="en-GB"/>
        </w:rPr>
        <w:t>a school (9bH).</w:t>
      </w:r>
    </w:p>
    <w:p w:rsidR="00612FD3" w:rsidRDefault="00612FD3" w:rsidP="00612FD3">
      <w:pPr>
        <w:pStyle w:val="Heading2"/>
        <w:numPr>
          <w:ilvl w:val="1"/>
          <w:numId w:val="5"/>
        </w:numPr>
        <w:rPr>
          <w:lang w:val="en-GB"/>
        </w:rPr>
      </w:pPr>
      <w:bookmarkStart w:id="7707" w:name="_Toc509220826"/>
      <w:bookmarkStart w:id="7708" w:name="_Toc529869888"/>
      <w:bookmarkStart w:id="7709" w:name="_Toc530748606"/>
      <w:r>
        <w:rPr>
          <w:lang w:val="en-GB"/>
        </w:rPr>
        <w:t>Building geometry</w:t>
      </w:r>
      <w:bookmarkEnd w:id="7707"/>
      <w:bookmarkEnd w:id="7708"/>
      <w:bookmarkEnd w:id="7709"/>
    </w:p>
    <w:p w:rsidR="00612FD3" w:rsidRDefault="00612FD3" w:rsidP="00612FD3">
      <w:pPr>
        <w:pStyle w:val="BodyText"/>
        <w:rPr>
          <w:lang w:val="en-GB"/>
        </w:rPr>
      </w:pPr>
      <w:r>
        <w:rPr>
          <w:lang w:val="en-GB"/>
        </w:rPr>
        <w:t>Details of each of these building’s geometry is summarised in table </w:t>
      </w:r>
      <w:r>
        <w:rPr>
          <w:lang w:val="en-GB"/>
        </w:rPr>
        <w:fldChar w:fldCharType="begin"/>
      </w:r>
      <w:r>
        <w:rPr>
          <w:lang w:val="en-GB"/>
        </w:rPr>
        <w:instrText xml:space="preserve"> REF _Caption5249 </w:instrText>
      </w:r>
      <w:r>
        <w:rPr>
          <w:lang w:val="en-GB"/>
        </w:rPr>
        <w:fldChar w:fldCharType="separate"/>
      </w:r>
      <w:r w:rsidR="006B79B8">
        <w:rPr>
          <w:noProof/>
        </w:rPr>
        <w:t>G</w:t>
      </w:r>
      <w:r w:rsidR="006B79B8" w:rsidRPr="00695C93">
        <w:rPr>
          <w:noProof/>
        </w:rPr>
        <w:t>.</w:t>
      </w:r>
      <w:r w:rsidR="006B79B8">
        <w:rPr>
          <w:noProof/>
        </w:rPr>
        <w:t>1</w:t>
      </w:r>
      <w:r>
        <w:rPr>
          <w:lang w:val="en-GB"/>
        </w:rPr>
        <w:fldChar w:fldCharType="end"/>
      </w:r>
      <w:r>
        <w:rPr>
          <w:lang w:val="en-GB"/>
        </w:rPr>
        <w:t>.</w:t>
      </w:r>
    </w:p>
    <w:p w:rsidR="00612FD3" w:rsidRDefault="00612FD3" w:rsidP="00612FD3">
      <w:pPr>
        <w:pStyle w:val="Caption"/>
      </w:pPr>
      <w:r w:rsidRPr="00695C93">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sidR="00B833F1">
        <w:rPr>
          <w:noProof/>
        </w:rPr>
        <w:instrText>G</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0</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w:instrText>
      </w:r>
      <w:r w:rsidRPr="00695C93">
        <w:fldChar w:fldCharType="end"/>
      </w:r>
      <w:r w:rsidRPr="00695C93">
        <w:instrText>" "</w:instrText>
      </w:r>
      <w:r>
        <w:rPr>
          <w:noProof/>
        </w:rPr>
        <w:fldChar w:fldCharType="begin"/>
      </w:r>
      <w:r>
        <w:rPr>
          <w:noProof/>
        </w:rPr>
        <w:instrText xml:space="preserve"> STYLEREF "Heading 6" \l \n </w:instrText>
      </w:r>
      <w:r>
        <w:rPr>
          <w:noProof/>
        </w:rPr>
        <w:fldChar w:fldCharType="separate"/>
      </w:r>
      <w:r w:rsidR="00B833F1">
        <w:rPr>
          <w:noProof/>
        </w:rPr>
        <w:instrText>G</w:instrText>
      </w:r>
      <w:r>
        <w:rPr>
          <w:noProof/>
        </w:rPr>
        <w:fldChar w:fldCharType="end"/>
      </w:r>
      <w:r w:rsidRPr="00695C93">
        <w:instrText xml:space="preserve">." </w:instrText>
      </w:r>
      <w:r w:rsidRPr="00695C93">
        <w:fldChar w:fldCharType="separate"/>
      </w:r>
      <w:r w:rsidR="00B833F1">
        <w:rPr>
          <w:noProof/>
        </w:rPr>
        <w:instrText>G</w:instrText>
      </w:r>
      <w:r w:rsidR="00B833F1"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sidR="00B833F1">
        <w:rPr>
          <w:noProof/>
        </w:rPr>
        <w:instrText>G</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0</w:instrText>
      </w:r>
      <w:r>
        <w:rPr>
          <w:noProof/>
        </w:rPr>
        <w:fldChar w:fldCharType="end"/>
      </w:r>
      <w:r w:rsidRPr="00695C93">
        <w:instrText xml:space="preserve"> = 0 "" "1" </w:instrText>
      </w:r>
      <w:r w:rsidRPr="00695C93">
        <w:fldChar w:fldCharType="end"/>
      </w:r>
      <w:r w:rsidRPr="00695C93">
        <w:instrText xml:space="preserve">" "6" </w:instrText>
      </w:r>
      <w:r w:rsidRPr="00695C93">
        <w:fldChar w:fldCharType="separate"/>
      </w:r>
      <w:r w:rsidR="00B833F1" w:rsidRPr="00695C93">
        <w:rPr>
          <w:noProof/>
        </w:rPr>
        <w:instrText>6</w:instrText>
      </w:r>
      <w:r w:rsidRPr="00695C93">
        <w:fldChar w:fldCharType="end"/>
      </w:r>
      <w:r w:rsidRPr="00695C93">
        <w:instrText xml:space="preserve"> </w:instrText>
      </w:r>
      <w:r w:rsidRPr="00695C93">
        <w:fldChar w:fldCharType="separate"/>
      </w:r>
      <w:r w:rsidR="00B833F1">
        <w:rPr>
          <w:noProof/>
        </w:rPr>
        <w:instrText>1</w:instrText>
      </w:r>
      <w:r w:rsidRPr="00695C93">
        <w:fldChar w:fldCharType="end"/>
      </w:r>
      <w:r w:rsidRPr="00695C93">
        <w:instrText xml:space="preserve">" "" </w:instrText>
      </w:r>
      <w:r w:rsidRPr="00695C93">
        <w:fldChar w:fldCharType="separate"/>
      </w:r>
      <w:bookmarkStart w:id="7710" w:name="_Caption9349"/>
      <w:bookmarkStart w:id="7711" w:name="_Caption2604"/>
      <w:bookmarkStart w:id="7712" w:name="_Caption6143"/>
      <w:bookmarkStart w:id="7713" w:name="_Caption0460"/>
      <w:bookmarkStart w:id="7714" w:name="_Caption8938"/>
      <w:bookmarkStart w:id="7715" w:name="_Caption2663"/>
      <w:bookmarkStart w:id="7716" w:name="_Caption2852"/>
      <w:bookmarkStart w:id="7717" w:name="_Caption9166"/>
      <w:bookmarkStart w:id="7718" w:name="_Caption3891"/>
      <w:bookmarkStart w:id="7719" w:name="_Caption0307"/>
      <w:bookmarkStart w:id="7720" w:name="_Caption7886"/>
      <w:bookmarkStart w:id="7721" w:name="_Caption3247"/>
      <w:bookmarkStart w:id="7722" w:name="_Caption8739"/>
      <w:bookmarkStart w:id="7723" w:name="_Caption8104"/>
      <w:bookmarkStart w:id="7724" w:name="_Caption7996"/>
      <w:bookmarkStart w:id="7725" w:name="_Caption6296"/>
      <w:bookmarkStart w:id="7726" w:name="_Caption9660"/>
      <w:bookmarkStart w:id="7727" w:name="_Caption9647"/>
      <w:bookmarkStart w:id="7728" w:name="_Caption8044"/>
      <w:bookmarkStart w:id="7729" w:name="_Caption3435"/>
      <w:bookmarkStart w:id="7730" w:name="_Caption6434"/>
      <w:bookmarkStart w:id="7731" w:name="_Caption1709"/>
      <w:bookmarkStart w:id="7732" w:name="_Caption4869"/>
      <w:bookmarkStart w:id="7733" w:name="_Caption1761"/>
      <w:bookmarkStart w:id="7734" w:name="_Caption8563"/>
      <w:bookmarkStart w:id="7735" w:name="_Caption3341"/>
      <w:bookmarkStart w:id="7736" w:name="_Caption0129"/>
      <w:bookmarkStart w:id="7737" w:name="_Caption3454"/>
      <w:bookmarkStart w:id="7738" w:name="_Caption0626"/>
      <w:bookmarkStart w:id="7739" w:name="_Caption0830"/>
      <w:bookmarkStart w:id="7740" w:name="_Caption0984"/>
      <w:bookmarkStart w:id="7741" w:name="_Caption2208"/>
      <w:bookmarkStart w:id="7742" w:name="_Caption2657"/>
      <w:bookmarkStart w:id="7743" w:name="_Caption3518"/>
      <w:bookmarkStart w:id="7744" w:name="_Caption5217"/>
      <w:bookmarkStart w:id="7745" w:name="_Caption0226"/>
      <w:bookmarkStart w:id="7746" w:name="_Caption9507"/>
      <w:bookmarkStart w:id="7747" w:name="_Caption9629"/>
      <w:bookmarkStart w:id="7748" w:name="_Caption2272"/>
      <w:bookmarkStart w:id="7749" w:name="_Caption4818"/>
      <w:bookmarkStart w:id="7750" w:name="_Caption9968"/>
      <w:bookmarkStart w:id="7751" w:name="_Caption9071"/>
      <w:bookmarkStart w:id="7752" w:name="_Caption6337"/>
      <w:bookmarkStart w:id="7753" w:name="_Caption3057"/>
      <w:bookmarkStart w:id="7754" w:name="_Caption1679"/>
      <w:bookmarkStart w:id="7755" w:name="_Caption4542"/>
      <w:bookmarkStart w:id="7756" w:name="_Caption3324"/>
      <w:bookmarkStart w:id="7757" w:name="_Caption1132"/>
      <w:bookmarkStart w:id="7758" w:name="_Caption5240"/>
      <w:bookmarkStart w:id="7759" w:name="_Caption5249"/>
      <w:bookmarkStart w:id="7760" w:name="_Caption5474"/>
      <w:bookmarkStart w:id="7761" w:name="_Caption9433"/>
      <w:bookmarkStart w:id="7762" w:name="_Caption6589"/>
      <w:bookmarkStart w:id="7763" w:name="_Caption2301"/>
      <w:bookmarkStart w:id="7764" w:name="_Caption9420"/>
      <w:bookmarkStart w:id="7765" w:name="_Caption7980"/>
      <w:bookmarkStart w:id="7766" w:name="_Caption3557"/>
      <w:bookmarkStart w:id="7767" w:name="_Caption2389"/>
      <w:bookmarkStart w:id="7768" w:name="_Caption8513"/>
      <w:bookmarkStart w:id="7769" w:name="_Caption8532"/>
      <w:bookmarkStart w:id="7770" w:name="_Caption0478"/>
      <w:bookmarkStart w:id="7771" w:name="_Caption1828"/>
      <w:bookmarkStart w:id="7772" w:name="_Caption2265"/>
      <w:bookmarkStart w:id="7773" w:name="_Caption8512"/>
      <w:bookmarkStart w:id="7774" w:name="_Caption1845"/>
      <w:bookmarkStart w:id="7775" w:name="_Caption8952"/>
      <w:bookmarkStart w:id="7776" w:name="_Caption3048"/>
      <w:bookmarkStart w:id="7777" w:name="_Caption2186"/>
      <w:bookmarkStart w:id="7778" w:name="_Caption9250"/>
      <w:bookmarkStart w:id="7779" w:name="_Caption4007"/>
      <w:bookmarkStart w:id="7780" w:name="_Caption6838"/>
      <w:bookmarkStart w:id="7781" w:name="_Caption9614"/>
      <w:bookmarkStart w:id="7782" w:name="_Caption6564"/>
      <w:bookmarkStart w:id="7783" w:name="_Caption7438"/>
      <w:bookmarkStart w:id="7784" w:name="_Caption6970"/>
      <w:bookmarkStart w:id="7785" w:name="_Caption3686"/>
      <w:bookmarkStart w:id="7786" w:name="_Caption5039"/>
      <w:bookmarkStart w:id="7787" w:name="_Caption4111"/>
      <w:bookmarkStart w:id="7788" w:name="_Caption3125"/>
      <w:bookmarkStart w:id="7789" w:name="_Caption4710"/>
      <w:bookmarkStart w:id="7790" w:name="_Caption4131"/>
      <w:bookmarkStart w:id="7791" w:name="_Caption5339"/>
      <w:bookmarkStart w:id="7792" w:name="_Caption6262"/>
      <w:bookmarkStart w:id="7793" w:name="_Caption6061"/>
      <w:bookmarkStart w:id="7794" w:name="_Caption2577"/>
      <w:bookmarkStart w:id="7795" w:name="_Caption6525"/>
      <w:bookmarkStart w:id="7796" w:name="_Caption8028"/>
      <w:bookmarkStart w:id="7797" w:name="_Caption4119"/>
      <w:bookmarkStart w:id="7798" w:name="_Toc509220897"/>
      <w:bookmarkStart w:id="7799" w:name="_Toc529869999"/>
      <w:bookmarkStart w:id="7800" w:name="_Toc530748495"/>
      <w:r w:rsidR="00EA42ED">
        <w:rPr>
          <w:noProof/>
        </w:rPr>
        <w:t>G</w:t>
      </w:r>
      <w:r w:rsidR="00EA42ED" w:rsidRPr="00695C93">
        <w:rPr>
          <w:noProof/>
        </w:rPr>
        <w:t>.</w:t>
      </w:r>
      <w:r w:rsidR="00EA42ED">
        <w:rPr>
          <w:noProof/>
        </w:rPr>
        <w:t>1</w:t>
      </w:r>
      <w:bookmarkStart w:id="7801" w:name="_Toc507523848"/>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r w:rsidRPr="00695C93">
        <w:fldChar w:fldCharType="end"/>
      </w:r>
      <w:r w:rsidRPr="00695C93">
        <w:tab/>
      </w:r>
      <w:r>
        <w:t>Building geometry</w:t>
      </w:r>
      <w:bookmarkEnd w:id="7798"/>
      <w:bookmarkEnd w:id="7799"/>
      <w:bookmarkEnd w:id="7800"/>
      <w:bookmarkEnd w:id="7801"/>
    </w:p>
    <w:tbl>
      <w:tblPr>
        <w:tblW w:w="7939" w:type="dxa"/>
        <w:tblLayout w:type="fixed"/>
        <w:tblLook w:val="0000" w:firstRow="0" w:lastRow="0" w:firstColumn="0" w:lastColumn="0" w:noHBand="0" w:noVBand="0"/>
        <w:tblCaption w:val="Table G.1: Building geometry"/>
        <w:tblDescription w:val="This table shows the building geometry used for each building type assessed by Energy Action."/>
      </w:tblPr>
      <w:tblGrid>
        <w:gridCol w:w="2523"/>
        <w:gridCol w:w="1083"/>
        <w:gridCol w:w="1083"/>
        <w:gridCol w:w="1083"/>
        <w:gridCol w:w="1083"/>
        <w:gridCol w:w="1084"/>
      </w:tblGrid>
      <w:tr w:rsidR="00612FD3" w:rsidTr="00301B6D">
        <w:trPr>
          <w:trHeight w:val="230"/>
        </w:trPr>
        <w:tc>
          <w:tcPr>
            <w:tcW w:w="2523" w:type="dxa"/>
            <w:tcBorders>
              <w:bottom w:val="single" w:sz="8" w:space="0" w:color="FFFFFF" w:themeColor="background1"/>
            </w:tcBorders>
            <w:shd w:val="clear" w:color="auto" w:fill="6F6652"/>
            <w:tcMar>
              <w:left w:w="57" w:type="dxa"/>
              <w:right w:w="57" w:type="dxa"/>
            </w:tcMar>
          </w:tcPr>
          <w:p w:rsidR="00612FD3" w:rsidRDefault="00612FD3" w:rsidP="00301B6D">
            <w:pPr>
              <w:pStyle w:val="TableDataColumnHeading"/>
              <w:jc w:val="left"/>
              <w:rPr>
                <w:lang w:val="en-GB"/>
              </w:rPr>
            </w:pPr>
          </w:p>
        </w:tc>
        <w:tc>
          <w:tcPr>
            <w:tcW w:w="1083" w:type="dxa"/>
            <w:tcBorders>
              <w:bottom w:val="single" w:sz="8" w:space="0" w:color="FFFFFF" w:themeColor="background1"/>
            </w:tcBorders>
            <w:shd w:val="clear" w:color="auto" w:fill="6F6652"/>
            <w:tcMar>
              <w:left w:w="57" w:type="dxa"/>
              <w:right w:w="57" w:type="dxa"/>
            </w:tcMar>
          </w:tcPr>
          <w:p w:rsidR="00612FD3" w:rsidRDefault="00612FD3" w:rsidP="00301B6D">
            <w:pPr>
              <w:pStyle w:val="TableDataColumnHeading"/>
              <w:rPr>
                <w:lang w:val="en-GB"/>
              </w:rPr>
            </w:pPr>
            <w:r>
              <w:rPr>
                <w:lang w:val="en-GB"/>
              </w:rPr>
              <w:t>3A</w:t>
            </w:r>
          </w:p>
        </w:tc>
        <w:tc>
          <w:tcPr>
            <w:tcW w:w="1083" w:type="dxa"/>
            <w:tcBorders>
              <w:bottom w:val="single" w:sz="8" w:space="0" w:color="FFFFFF" w:themeColor="background1"/>
            </w:tcBorders>
            <w:shd w:val="clear" w:color="auto" w:fill="6F6652"/>
            <w:tcMar>
              <w:left w:w="57" w:type="dxa"/>
              <w:right w:w="57" w:type="dxa"/>
            </w:tcMar>
          </w:tcPr>
          <w:p w:rsidR="00612FD3" w:rsidRDefault="00612FD3" w:rsidP="00301B6D">
            <w:pPr>
              <w:pStyle w:val="TableDataColumnHeading"/>
              <w:rPr>
                <w:lang w:val="en-GB"/>
              </w:rPr>
            </w:pPr>
            <w:r>
              <w:rPr>
                <w:lang w:val="en-GB"/>
              </w:rPr>
              <w:t>5A</w:t>
            </w:r>
          </w:p>
        </w:tc>
        <w:tc>
          <w:tcPr>
            <w:tcW w:w="1083" w:type="dxa"/>
            <w:tcBorders>
              <w:bottom w:val="single" w:sz="8" w:space="0" w:color="FFFFFF" w:themeColor="background1"/>
            </w:tcBorders>
            <w:shd w:val="clear" w:color="auto" w:fill="6F6652"/>
            <w:tcMar>
              <w:left w:w="57" w:type="dxa"/>
              <w:right w:w="57" w:type="dxa"/>
            </w:tcMar>
          </w:tcPr>
          <w:p w:rsidR="00612FD3" w:rsidRDefault="00612FD3" w:rsidP="00301B6D">
            <w:pPr>
              <w:pStyle w:val="TableDataColumnHeading"/>
              <w:rPr>
                <w:lang w:val="en-GB"/>
              </w:rPr>
            </w:pPr>
            <w:r>
              <w:rPr>
                <w:lang w:val="en-GB"/>
              </w:rPr>
              <w:t>6B</w:t>
            </w:r>
          </w:p>
        </w:tc>
        <w:tc>
          <w:tcPr>
            <w:tcW w:w="1083" w:type="dxa"/>
            <w:tcBorders>
              <w:bottom w:val="single" w:sz="8" w:space="0" w:color="FFFFFF" w:themeColor="background1"/>
            </w:tcBorders>
            <w:shd w:val="clear" w:color="auto" w:fill="6F6652"/>
            <w:tcMar>
              <w:left w:w="57" w:type="dxa"/>
              <w:right w:w="57" w:type="dxa"/>
            </w:tcMar>
          </w:tcPr>
          <w:p w:rsidR="00612FD3" w:rsidRDefault="00612FD3" w:rsidP="00301B6D">
            <w:pPr>
              <w:pStyle w:val="TableDataColumnHeading"/>
              <w:rPr>
                <w:lang w:val="en-GB"/>
              </w:rPr>
            </w:pPr>
            <w:r>
              <w:rPr>
                <w:lang w:val="en-GB"/>
              </w:rPr>
              <w:t>9aC</w:t>
            </w:r>
          </w:p>
        </w:tc>
        <w:tc>
          <w:tcPr>
            <w:tcW w:w="1084" w:type="dxa"/>
            <w:tcBorders>
              <w:bottom w:val="single" w:sz="8" w:space="0" w:color="FFFFFF" w:themeColor="background1"/>
            </w:tcBorders>
            <w:shd w:val="clear" w:color="auto" w:fill="6F6652"/>
            <w:tcMar>
              <w:left w:w="57" w:type="dxa"/>
              <w:right w:w="57" w:type="dxa"/>
            </w:tcMar>
          </w:tcPr>
          <w:p w:rsidR="00612FD3" w:rsidRDefault="00612FD3" w:rsidP="00301B6D">
            <w:pPr>
              <w:pStyle w:val="TableDataColumnHeading"/>
              <w:rPr>
                <w:lang w:val="en-GB"/>
              </w:rPr>
            </w:pPr>
            <w:r>
              <w:rPr>
                <w:lang w:val="en-GB"/>
              </w:rPr>
              <w:t>9bH</w:t>
            </w:r>
          </w:p>
        </w:tc>
      </w:tr>
      <w:tr w:rsidR="00612FD3" w:rsidTr="00301B6D">
        <w:trPr>
          <w:trHeight w:val="230"/>
        </w:trPr>
        <w:tc>
          <w:tcPr>
            <w:tcW w:w="25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jc w:val="left"/>
              <w:rPr>
                <w:lang w:val="en-GB"/>
              </w:rPr>
            </w:pPr>
            <w:r>
              <w:rPr>
                <w:lang w:val="en-GB"/>
              </w:rPr>
              <w:t>Storeys (No.)</w:t>
            </w:r>
          </w:p>
        </w:tc>
        <w:tc>
          <w:tcPr>
            <w:tcW w:w="10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10</w:t>
            </w:r>
          </w:p>
        </w:tc>
        <w:tc>
          <w:tcPr>
            <w:tcW w:w="10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10</w:t>
            </w:r>
          </w:p>
        </w:tc>
        <w:tc>
          <w:tcPr>
            <w:tcW w:w="10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3</w:t>
            </w:r>
          </w:p>
        </w:tc>
        <w:tc>
          <w:tcPr>
            <w:tcW w:w="10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1</w:t>
            </w:r>
          </w:p>
        </w:tc>
        <w:tc>
          <w:tcPr>
            <w:tcW w:w="108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3</w:t>
            </w:r>
          </w:p>
        </w:tc>
      </w:tr>
      <w:tr w:rsidR="00612FD3" w:rsidTr="00301B6D">
        <w:trPr>
          <w:trHeight w:val="230"/>
        </w:trPr>
        <w:tc>
          <w:tcPr>
            <w:tcW w:w="25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jc w:val="left"/>
              <w:rPr>
                <w:lang w:val="en-GB"/>
              </w:rPr>
            </w:pPr>
            <w:r>
              <w:rPr>
                <w:lang w:val="en-GB"/>
              </w:rPr>
              <w:t>Net lettable area (m</w:t>
            </w:r>
            <w:r w:rsidRPr="00C82918">
              <w:rPr>
                <w:vertAlign w:val="superscript"/>
                <w:lang w:val="en-GB"/>
              </w:rPr>
              <w:t>2</w:t>
            </w:r>
            <w:r>
              <w:rPr>
                <w:lang w:val="en-GB"/>
              </w:rPr>
              <w:t>)</w:t>
            </w:r>
          </w:p>
        </w:tc>
        <w:tc>
          <w:tcPr>
            <w:tcW w:w="10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9 000</w:t>
            </w:r>
          </w:p>
        </w:tc>
        <w:tc>
          <w:tcPr>
            <w:tcW w:w="10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9 000</w:t>
            </w:r>
          </w:p>
        </w:tc>
        <w:tc>
          <w:tcPr>
            <w:tcW w:w="10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1 800</w:t>
            </w:r>
          </w:p>
        </w:tc>
        <w:tc>
          <w:tcPr>
            <w:tcW w:w="10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950</w:t>
            </w:r>
          </w:p>
        </w:tc>
        <w:tc>
          <w:tcPr>
            <w:tcW w:w="108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2 790</w:t>
            </w:r>
          </w:p>
        </w:tc>
      </w:tr>
      <w:tr w:rsidR="00612FD3" w:rsidTr="00301B6D">
        <w:trPr>
          <w:trHeight w:val="230"/>
        </w:trPr>
        <w:tc>
          <w:tcPr>
            <w:tcW w:w="25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jc w:val="left"/>
              <w:rPr>
                <w:lang w:val="en-GB"/>
              </w:rPr>
            </w:pPr>
            <w:r>
              <w:rPr>
                <w:lang w:val="en-GB"/>
              </w:rPr>
              <w:t>Floor length (m)</w:t>
            </w:r>
          </w:p>
        </w:tc>
        <w:tc>
          <w:tcPr>
            <w:tcW w:w="10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31.6</w:t>
            </w:r>
          </w:p>
        </w:tc>
        <w:tc>
          <w:tcPr>
            <w:tcW w:w="10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31.6</w:t>
            </w:r>
          </w:p>
        </w:tc>
        <w:tc>
          <w:tcPr>
            <w:tcW w:w="10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36.5</w:t>
            </w:r>
          </w:p>
        </w:tc>
        <w:tc>
          <w:tcPr>
            <w:tcW w:w="10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31.6</w:t>
            </w:r>
          </w:p>
        </w:tc>
        <w:tc>
          <w:tcPr>
            <w:tcW w:w="108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38.75</w:t>
            </w:r>
          </w:p>
        </w:tc>
      </w:tr>
      <w:tr w:rsidR="00612FD3" w:rsidTr="00301B6D">
        <w:trPr>
          <w:trHeight w:val="230"/>
        </w:trPr>
        <w:tc>
          <w:tcPr>
            <w:tcW w:w="25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jc w:val="left"/>
              <w:rPr>
                <w:lang w:val="en-GB"/>
              </w:rPr>
            </w:pPr>
            <w:r>
              <w:rPr>
                <w:lang w:val="en-GB"/>
              </w:rPr>
              <w:t>Floor depth (m)</w:t>
            </w:r>
          </w:p>
        </w:tc>
        <w:tc>
          <w:tcPr>
            <w:tcW w:w="10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31.6</w:t>
            </w:r>
          </w:p>
        </w:tc>
        <w:tc>
          <w:tcPr>
            <w:tcW w:w="10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31.6</w:t>
            </w:r>
          </w:p>
        </w:tc>
        <w:tc>
          <w:tcPr>
            <w:tcW w:w="10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18.3</w:t>
            </w:r>
          </w:p>
        </w:tc>
        <w:tc>
          <w:tcPr>
            <w:tcW w:w="10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31.6</w:t>
            </w:r>
          </w:p>
        </w:tc>
        <w:tc>
          <w:tcPr>
            <w:tcW w:w="108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30.0</w:t>
            </w:r>
          </w:p>
        </w:tc>
      </w:tr>
      <w:tr w:rsidR="00612FD3" w:rsidTr="00301B6D">
        <w:trPr>
          <w:trHeight w:val="230"/>
        </w:trPr>
        <w:tc>
          <w:tcPr>
            <w:tcW w:w="25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jc w:val="left"/>
              <w:rPr>
                <w:lang w:val="en-GB"/>
              </w:rPr>
            </w:pPr>
            <w:r>
              <w:rPr>
                <w:lang w:val="en-GB"/>
              </w:rPr>
              <w:t>Floor to floor height (m)</w:t>
            </w:r>
          </w:p>
        </w:tc>
        <w:tc>
          <w:tcPr>
            <w:tcW w:w="10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3.6</w:t>
            </w:r>
          </w:p>
        </w:tc>
        <w:tc>
          <w:tcPr>
            <w:tcW w:w="10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3.6</w:t>
            </w:r>
          </w:p>
        </w:tc>
        <w:tc>
          <w:tcPr>
            <w:tcW w:w="10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3.6</w:t>
            </w:r>
          </w:p>
        </w:tc>
        <w:tc>
          <w:tcPr>
            <w:tcW w:w="10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6.0</w:t>
            </w:r>
          </w:p>
        </w:tc>
        <w:tc>
          <w:tcPr>
            <w:tcW w:w="108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3.0</w:t>
            </w:r>
          </w:p>
        </w:tc>
      </w:tr>
      <w:tr w:rsidR="00612FD3" w:rsidTr="00301B6D">
        <w:trPr>
          <w:trHeight w:val="230"/>
        </w:trPr>
        <w:tc>
          <w:tcPr>
            <w:tcW w:w="2523" w:type="dxa"/>
            <w:tcBorders>
              <w:top w:val="single" w:sz="8" w:space="0" w:color="FFFFFF" w:themeColor="background1"/>
              <w:bottom w:val="single" w:sz="6" w:space="0" w:color="6F6652"/>
            </w:tcBorders>
            <w:shd w:val="clear" w:color="auto" w:fill="E9E8E5" w:themeFill="background2"/>
            <w:tcMar>
              <w:left w:w="57" w:type="dxa"/>
              <w:right w:w="57" w:type="dxa"/>
            </w:tcMar>
          </w:tcPr>
          <w:p w:rsidR="00612FD3" w:rsidRDefault="00612FD3" w:rsidP="00301B6D">
            <w:pPr>
              <w:pStyle w:val="TableDataEntries"/>
              <w:jc w:val="left"/>
              <w:rPr>
                <w:lang w:val="en-GB"/>
              </w:rPr>
            </w:pPr>
            <w:r>
              <w:rPr>
                <w:lang w:val="en-GB"/>
              </w:rPr>
              <w:t>Ceiling height (m)</w:t>
            </w:r>
          </w:p>
        </w:tc>
        <w:tc>
          <w:tcPr>
            <w:tcW w:w="1083" w:type="dxa"/>
            <w:tcBorders>
              <w:top w:val="single" w:sz="8" w:space="0" w:color="FFFFFF" w:themeColor="background1"/>
              <w:bottom w:val="single" w:sz="6" w:space="0" w:color="6F6652"/>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2.7</w:t>
            </w:r>
          </w:p>
        </w:tc>
        <w:tc>
          <w:tcPr>
            <w:tcW w:w="1083" w:type="dxa"/>
            <w:tcBorders>
              <w:top w:val="single" w:sz="8" w:space="0" w:color="FFFFFF" w:themeColor="background1"/>
              <w:bottom w:val="single" w:sz="6" w:space="0" w:color="6F6652"/>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2.7</w:t>
            </w:r>
          </w:p>
        </w:tc>
        <w:tc>
          <w:tcPr>
            <w:tcW w:w="1083" w:type="dxa"/>
            <w:tcBorders>
              <w:top w:val="single" w:sz="8" w:space="0" w:color="FFFFFF" w:themeColor="background1"/>
              <w:bottom w:val="single" w:sz="6" w:space="0" w:color="6F6652"/>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2.7</w:t>
            </w:r>
          </w:p>
        </w:tc>
        <w:tc>
          <w:tcPr>
            <w:tcW w:w="1083" w:type="dxa"/>
            <w:tcBorders>
              <w:top w:val="single" w:sz="8" w:space="0" w:color="FFFFFF" w:themeColor="background1"/>
              <w:bottom w:val="single" w:sz="6" w:space="0" w:color="6F6652"/>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4.8</w:t>
            </w:r>
          </w:p>
        </w:tc>
        <w:tc>
          <w:tcPr>
            <w:tcW w:w="1084" w:type="dxa"/>
            <w:tcBorders>
              <w:top w:val="single" w:sz="8" w:space="0" w:color="FFFFFF" w:themeColor="background1"/>
              <w:bottom w:val="single" w:sz="6" w:space="0" w:color="6F6652"/>
            </w:tcBorders>
            <w:shd w:val="clear" w:color="auto" w:fill="E9E8E5" w:themeFill="background2"/>
            <w:tcMar>
              <w:left w:w="57" w:type="dxa"/>
              <w:right w:w="57" w:type="dxa"/>
            </w:tcMar>
          </w:tcPr>
          <w:p w:rsidR="00612FD3" w:rsidRDefault="00612FD3" w:rsidP="00301B6D">
            <w:pPr>
              <w:pStyle w:val="TableDataEntries"/>
              <w:rPr>
                <w:lang w:val="en-GB"/>
              </w:rPr>
            </w:pPr>
            <w:r>
              <w:rPr>
                <w:lang w:val="en-GB"/>
              </w:rPr>
              <w:t>3.0</w:t>
            </w:r>
          </w:p>
        </w:tc>
      </w:tr>
    </w:tbl>
    <w:p w:rsidR="00612FD3" w:rsidRDefault="00612FD3" w:rsidP="00612FD3">
      <w:pPr>
        <w:pStyle w:val="Source"/>
        <w:rPr>
          <w:lang w:val="en-GB"/>
        </w:rPr>
      </w:pPr>
      <w:r w:rsidRPr="00AC3519">
        <w:rPr>
          <w:i/>
          <w:lang w:val="en-GB"/>
        </w:rPr>
        <w:t>Source:</w:t>
      </w:r>
      <w:r w:rsidRPr="00AC3519">
        <w:rPr>
          <w:lang w:val="en-GB"/>
        </w:rPr>
        <w:t xml:space="preserve"> </w:t>
      </w:r>
      <w:r w:rsidR="003F28DD">
        <w:rPr>
          <w:lang w:val="en-GB"/>
        </w:rPr>
        <w:t>EA</w:t>
      </w:r>
      <w:r>
        <w:rPr>
          <w:lang w:val="en-GB"/>
        </w:rPr>
        <w:t>.</w:t>
      </w:r>
    </w:p>
    <w:p w:rsidR="00612FD3" w:rsidRDefault="00612FD3" w:rsidP="00612FD3">
      <w:pPr>
        <w:pStyle w:val="BodyText"/>
        <w:rPr>
          <w:lang w:val="en-GB"/>
        </w:rPr>
      </w:pPr>
      <w:r>
        <w:rPr>
          <w:lang w:val="en-GB"/>
        </w:rPr>
        <w:t>Depictions of buildings 3A and 5A (chart </w:t>
      </w:r>
      <w:r>
        <w:rPr>
          <w:lang w:val="en-GB"/>
        </w:rPr>
        <w:fldChar w:fldCharType="begin"/>
      </w:r>
      <w:r>
        <w:rPr>
          <w:lang w:val="en-GB"/>
        </w:rPr>
        <w:instrText xml:space="preserve"> REF _Caption3860 </w:instrText>
      </w:r>
      <w:r>
        <w:rPr>
          <w:lang w:val="en-GB"/>
        </w:rPr>
        <w:fldChar w:fldCharType="separate"/>
      </w:r>
      <w:r w:rsidR="006B79B8" w:rsidRPr="00D00F02">
        <w:rPr>
          <w:noProof/>
        </w:rPr>
        <w:t>G.2</w:t>
      </w:r>
      <w:r>
        <w:rPr>
          <w:lang w:val="en-GB"/>
        </w:rPr>
        <w:fldChar w:fldCharType="end"/>
      </w:r>
      <w:r>
        <w:rPr>
          <w:lang w:val="en-GB"/>
        </w:rPr>
        <w:t>), 6B (chart </w:t>
      </w:r>
      <w:r>
        <w:rPr>
          <w:lang w:val="en-GB"/>
        </w:rPr>
        <w:fldChar w:fldCharType="begin"/>
      </w:r>
      <w:r>
        <w:rPr>
          <w:lang w:val="en-GB"/>
        </w:rPr>
        <w:instrText xml:space="preserve"> REF _Caption6992 </w:instrText>
      </w:r>
      <w:r>
        <w:rPr>
          <w:lang w:val="en-GB"/>
        </w:rPr>
        <w:fldChar w:fldCharType="separate"/>
      </w:r>
      <w:r w:rsidR="006B79B8" w:rsidRPr="00D00F02">
        <w:rPr>
          <w:noProof/>
        </w:rPr>
        <w:t>G.3</w:t>
      </w:r>
      <w:r>
        <w:rPr>
          <w:lang w:val="en-GB"/>
        </w:rPr>
        <w:fldChar w:fldCharType="end"/>
      </w:r>
      <w:r>
        <w:rPr>
          <w:lang w:val="en-GB"/>
        </w:rPr>
        <w:t>) and 9aC (chart </w:t>
      </w:r>
      <w:r>
        <w:rPr>
          <w:lang w:val="en-GB"/>
        </w:rPr>
        <w:fldChar w:fldCharType="begin"/>
      </w:r>
      <w:r>
        <w:rPr>
          <w:lang w:val="en-GB"/>
        </w:rPr>
        <w:instrText xml:space="preserve"> REF _Caption2061 </w:instrText>
      </w:r>
      <w:r>
        <w:rPr>
          <w:lang w:val="en-GB"/>
        </w:rPr>
        <w:fldChar w:fldCharType="separate"/>
      </w:r>
      <w:r w:rsidR="006B79B8" w:rsidRPr="00D00F02">
        <w:rPr>
          <w:noProof/>
        </w:rPr>
        <w:t>G.4</w:t>
      </w:r>
      <w:r>
        <w:rPr>
          <w:lang w:val="en-GB"/>
        </w:rPr>
        <w:fldChar w:fldCharType="end"/>
      </w:r>
      <w:r>
        <w:rPr>
          <w:lang w:val="en-GB"/>
        </w:rPr>
        <w:t xml:space="preserve">) </w:t>
      </w:r>
      <w:r w:rsidR="00ED7012">
        <w:rPr>
          <w:lang w:val="en-GB"/>
        </w:rPr>
        <w:t>and 9bH (chart </w:t>
      </w:r>
      <w:r w:rsidR="00ED7012">
        <w:rPr>
          <w:lang w:val="en-GB"/>
        </w:rPr>
        <w:fldChar w:fldCharType="begin"/>
      </w:r>
      <w:r w:rsidR="00ED7012">
        <w:rPr>
          <w:lang w:val="en-GB"/>
        </w:rPr>
        <w:instrText xml:space="preserve"> REF _Caption1758 </w:instrText>
      </w:r>
      <w:r w:rsidR="00ED7012">
        <w:rPr>
          <w:lang w:val="en-GB"/>
        </w:rPr>
        <w:fldChar w:fldCharType="separate"/>
      </w:r>
      <w:r w:rsidR="006B79B8" w:rsidRPr="00D00F02">
        <w:rPr>
          <w:noProof/>
        </w:rPr>
        <w:t>G.5</w:t>
      </w:r>
      <w:r w:rsidR="00ED7012">
        <w:rPr>
          <w:lang w:val="en-GB"/>
        </w:rPr>
        <w:fldChar w:fldCharType="end"/>
      </w:r>
      <w:r w:rsidR="00ED7012">
        <w:rPr>
          <w:lang w:val="en-GB"/>
        </w:rPr>
        <w:t xml:space="preserve">) </w:t>
      </w:r>
      <w:r>
        <w:rPr>
          <w:lang w:val="en-GB"/>
        </w:rPr>
        <w:t>are shown below.</w:t>
      </w:r>
    </w:p>
    <w:p w:rsidR="00612FD3" w:rsidRPr="00D00F02" w:rsidRDefault="00612FD3" w:rsidP="00612FD3">
      <w:pPr>
        <w:pStyle w:val="Caption"/>
        <w:numPr>
          <w:ilvl w:val="0"/>
          <w:numId w:val="7"/>
        </w:numPr>
      </w:pPr>
      <w:r w:rsidRPr="00D00F02">
        <w:fldChar w:fldCharType="begin"/>
      </w:r>
      <w:r w:rsidRPr="00D00F02">
        <w:instrText xml:space="preserve"> IF 1 = 1 "</w:instrText>
      </w:r>
      <w:r w:rsidRPr="00D00F02">
        <w:fldChar w:fldCharType="begin"/>
      </w:r>
      <w:r w:rsidRPr="00D00F02">
        <w:instrText xml:space="preserve"> IF </w:instrText>
      </w:r>
      <w:r w:rsidRPr="00D00F02">
        <w:rPr>
          <w:noProof/>
        </w:rPr>
        <w:fldChar w:fldCharType="begin"/>
      </w:r>
      <w:r w:rsidRPr="00D00F02">
        <w:rPr>
          <w:noProof/>
        </w:rPr>
        <w:instrText xml:space="preserve"> STYLEREF "Heading 6" \l \n </w:instrText>
      </w:r>
      <w:r w:rsidRPr="00D00F02">
        <w:rPr>
          <w:noProof/>
        </w:rPr>
        <w:fldChar w:fldCharType="separate"/>
      </w:r>
      <w:r w:rsidR="00B833F1">
        <w:rPr>
          <w:noProof/>
        </w:rPr>
        <w:instrText>G</w:instrText>
      </w:r>
      <w:r w:rsidRPr="00D00F02">
        <w:rPr>
          <w:noProof/>
        </w:rPr>
        <w:fldChar w:fldCharType="end"/>
      </w:r>
      <w:r w:rsidRPr="00D00F02">
        <w:instrText xml:space="preserve"> = 0 "</w:instrText>
      </w:r>
      <w:r w:rsidRPr="00D00F02">
        <w:fldChar w:fldCharType="begin"/>
      </w:r>
      <w:r w:rsidRPr="00D00F02">
        <w:instrText xml:space="preserve"> IF </w:instrText>
      </w:r>
      <w:r w:rsidRPr="00D00F02">
        <w:fldChar w:fldCharType="begin"/>
      </w:r>
      <w:r w:rsidRPr="00D00F02">
        <w:instrText xml:space="preserve"> STYLEREF "Heading 1" \l \n </w:instrText>
      </w:r>
      <w:r w:rsidRPr="00D00F02">
        <w:fldChar w:fldCharType="separate"/>
      </w:r>
      <w:r w:rsidRPr="00D00F02">
        <w:rPr>
          <w:b/>
          <w:bCs/>
          <w:noProof/>
          <w:lang w:val="en-US"/>
        </w:rPr>
        <w:instrText>Error! No text of specified style in document.</w:instrText>
      </w:r>
      <w:r w:rsidRPr="00D00F02">
        <w:rPr>
          <w:noProof/>
        </w:rPr>
        <w:fldChar w:fldCharType="end"/>
      </w:r>
      <w:r w:rsidRPr="00D00F02">
        <w:instrText xml:space="preserve"> = 0 "" "</w:instrText>
      </w:r>
      <w:r w:rsidRPr="00D00F02">
        <w:fldChar w:fldCharType="begin"/>
      </w:r>
      <w:r w:rsidRPr="00D00F02">
        <w:instrText xml:space="preserve"> STYLEREF "Heading 1" \l \n </w:instrText>
      </w:r>
      <w:r w:rsidRPr="00D00F02">
        <w:fldChar w:fldCharType="separate"/>
      </w:r>
      <w:r w:rsidRPr="00D00F02">
        <w:rPr>
          <w:b/>
          <w:bCs/>
          <w:noProof/>
          <w:lang w:val="en-US"/>
        </w:rPr>
        <w:instrText>Error! No text of specified style in document.</w:instrText>
      </w:r>
      <w:r w:rsidRPr="00D00F02">
        <w:rPr>
          <w:noProof/>
        </w:rPr>
        <w:fldChar w:fldCharType="end"/>
      </w:r>
      <w:r w:rsidRPr="00D00F02">
        <w:instrText xml:space="preserve">." </w:instrText>
      </w:r>
      <w:r w:rsidRPr="00D00F02">
        <w:fldChar w:fldCharType="separate"/>
      </w:r>
      <w:r w:rsidRPr="00D00F02">
        <w:rPr>
          <w:b/>
          <w:bCs/>
          <w:noProof/>
          <w:lang w:val="en-US"/>
        </w:rPr>
        <w:instrText>Error! No text of specified style in document.</w:instrText>
      </w:r>
      <w:r w:rsidRPr="00D00F02">
        <w:rPr>
          <w:noProof/>
        </w:rPr>
        <w:instrText>.</w:instrText>
      </w:r>
      <w:r w:rsidRPr="00D00F02">
        <w:fldChar w:fldCharType="end"/>
      </w:r>
      <w:r w:rsidRPr="00D00F02">
        <w:instrText>" "</w:instrText>
      </w:r>
      <w:r w:rsidRPr="00D00F02">
        <w:rPr>
          <w:noProof/>
        </w:rPr>
        <w:fldChar w:fldCharType="begin"/>
      </w:r>
      <w:r w:rsidRPr="00D00F02">
        <w:rPr>
          <w:noProof/>
        </w:rPr>
        <w:instrText xml:space="preserve"> STYLEREF "Heading 6" \l \n </w:instrText>
      </w:r>
      <w:r w:rsidRPr="00D00F02">
        <w:rPr>
          <w:noProof/>
        </w:rPr>
        <w:fldChar w:fldCharType="separate"/>
      </w:r>
      <w:r w:rsidR="00B833F1">
        <w:rPr>
          <w:noProof/>
        </w:rPr>
        <w:instrText>G</w:instrText>
      </w:r>
      <w:r w:rsidRPr="00D00F02">
        <w:rPr>
          <w:noProof/>
        </w:rPr>
        <w:fldChar w:fldCharType="end"/>
      </w:r>
      <w:r w:rsidRPr="00D00F02">
        <w:instrText xml:space="preserve">." </w:instrText>
      </w:r>
      <w:r w:rsidRPr="00D00F02">
        <w:fldChar w:fldCharType="separate"/>
      </w:r>
      <w:r w:rsidR="00B833F1">
        <w:rPr>
          <w:noProof/>
        </w:rPr>
        <w:instrText>G</w:instrText>
      </w:r>
      <w:r w:rsidR="00B833F1" w:rsidRPr="00D00F02">
        <w:rPr>
          <w:noProof/>
        </w:rPr>
        <w:instrText>.</w:instrText>
      </w:r>
      <w:r w:rsidRPr="00D00F02">
        <w:fldChar w:fldCharType="end"/>
      </w:r>
      <w:r w:rsidRPr="00D00F02">
        <w:fldChar w:fldCharType="begin"/>
      </w:r>
      <w:r w:rsidRPr="00D00F02">
        <w:instrText xml:space="preserve"> SEQ Item \* ARABIC \s </w:instrText>
      </w:r>
      <w:r w:rsidRPr="00D00F02">
        <w:fldChar w:fldCharType="begin"/>
      </w:r>
      <w:r w:rsidRPr="00D00F02">
        <w:instrText xml:space="preserve"> IF </w:instrText>
      </w:r>
      <w:r w:rsidRPr="00D00F02">
        <w:rPr>
          <w:noProof/>
        </w:rPr>
        <w:fldChar w:fldCharType="begin"/>
      </w:r>
      <w:r w:rsidRPr="00D00F02">
        <w:rPr>
          <w:noProof/>
        </w:rPr>
        <w:instrText xml:space="preserve"> STYLEREF "Heading 6" \l \n </w:instrText>
      </w:r>
      <w:r w:rsidRPr="00D00F02">
        <w:rPr>
          <w:noProof/>
        </w:rPr>
        <w:fldChar w:fldCharType="separate"/>
      </w:r>
      <w:r w:rsidR="00B833F1">
        <w:rPr>
          <w:noProof/>
        </w:rPr>
        <w:instrText>G</w:instrText>
      </w:r>
      <w:r w:rsidRPr="00D00F02">
        <w:rPr>
          <w:noProof/>
        </w:rPr>
        <w:fldChar w:fldCharType="end"/>
      </w:r>
      <w:r w:rsidRPr="00D00F02">
        <w:instrText xml:space="preserve"> = 0 "</w:instrText>
      </w:r>
      <w:r w:rsidRPr="00D00F02">
        <w:fldChar w:fldCharType="begin"/>
      </w:r>
      <w:r w:rsidRPr="00D00F02">
        <w:instrText xml:space="preserve"> IF </w:instrText>
      </w:r>
      <w:r w:rsidRPr="00D00F02">
        <w:fldChar w:fldCharType="begin"/>
      </w:r>
      <w:r w:rsidRPr="00D00F02">
        <w:instrText xml:space="preserve"> STYLEREF "Heading 1" \l \n </w:instrText>
      </w:r>
      <w:r w:rsidRPr="00D00F02">
        <w:fldChar w:fldCharType="separate"/>
      </w:r>
      <w:r w:rsidRPr="00D00F02">
        <w:rPr>
          <w:b/>
          <w:bCs/>
          <w:noProof/>
          <w:lang w:val="en-US"/>
        </w:rPr>
        <w:instrText>Error! No text of specified style in document.</w:instrText>
      </w:r>
      <w:r w:rsidRPr="00D00F02">
        <w:rPr>
          <w:noProof/>
        </w:rPr>
        <w:fldChar w:fldCharType="end"/>
      </w:r>
      <w:r w:rsidRPr="00D00F02">
        <w:instrText xml:space="preserve"> = 0 "" "1" </w:instrText>
      </w:r>
      <w:r w:rsidRPr="00D00F02">
        <w:fldChar w:fldCharType="separate"/>
      </w:r>
      <w:r w:rsidRPr="00D00F02">
        <w:rPr>
          <w:noProof/>
        </w:rPr>
        <w:instrText>1</w:instrText>
      </w:r>
      <w:r w:rsidRPr="00D00F02">
        <w:fldChar w:fldCharType="end"/>
      </w:r>
      <w:r w:rsidRPr="00D00F02">
        <w:instrText xml:space="preserve">" "6" </w:instrText>
      </w:r>
      <w:r w:rsidRPr="00D00F02">
        <w:fldChar w:fldCharType="separate"/>
      </w:r>
      <w:r w:rsidR="00B833F1" w:rsidRPr="00D00F02">
        <w:rPr>
          <w:noProof/>
        </w:rPr>
        <w:instrText>6</w:instrText>
      </w:r>
      <w:r w:rsidRPr="00D00F02">
        <w:fldChar w:fldCharType="end"/>
      </w:r>
      <w:r w:rsidRPr="00D00F02">
        <w:instrText xml:space="preserve"> </w:instrText>
      </w:r>
      <w:r w:rsidRPr="00D00F02">
        <w:fldChar w:fldCharType="separate"/>
      </w:r>
      <w:r w:rsidR="00B833F1">
        <w:rPr>
          <w:noProof/>
        </w:rPr>
        <w:instrText>2</w:instrText>
      </w:r>
      <w:r w:rsidRPr="00D00F02">
        <w:fldChar w:fldCharType="end"/>
      </w:r>
      <w:r w:rsidRPr="00D00F02">
        <w:instrText xml:space="preserve">" "" </w:instrText>
      </w:r>
      <w:r w:rsidRPr="00D00F02">
        <w:fldChar w:fldCharType="separate"/>
      </w:r>
      <w:bookmarkStart w:id="7802" w:name="_Caption4582"/>
      <w:bookmarkStart w:id="7803" w:name="_Caption8577"/>
      <w:bookmarkStart w:id="7804" w:name="_Caption5326"/>
      <w:bookmarkStart w:id="7805" w:name="_Caption9724"/>
      <w:bookmarkStart w:id="7806" w:name="_Caption9379"/>
      <w:bookmarkStart w:id="7807" w:name="_Caption8918"/>
      <w:bookmarkStart w:id="7808" w:name="_Caption3908"/>
      <w:bookmarkStart w:id="7809" w:name="_Caption2451"/>
      <w:bookmarkStart w:id="7810" w:name="_Caption6186"/>
      <w:bookmarkStart w:id="7811" w:name="_Caption4768"/>
      <w:bookmarkStart w:id="7812" w:name="_Caption0851"/>
      <w:bookmarkStart w:id="7813" w:name="_Caption5851"/>
      <w:bookmarkStart w:id="7814" w:name="_Caption1551"/>
      <w:bookmarkStart w:id="7815" w:name="_Caption1378"/>
      <w:bookmarkStart w:id="7816" w:name="_Caption8404"/>
      <w:bookmarkStart w:id="7817" w:name="_Caption8709"/>
      <w:bookmarkStart w:id="7818" w:name="_Caption2595"/>
      <w:bookmarkStart w:id="7819" w:name="_Caption9073"/>
      <w:bookmarkStart w:id="7820" w:name="_Caption8139"/>
      <w:bookmarkStart w:id="7821" w:name="_Caption8144"/>
      <w:bookmarkStart w:id="7822" w:name="_Caption1485"/>
      <w:bookmarkStart w:id="7823" w:name="_Caption5101"/>
      <w:bookmarkStart w:id="7824" w:name="_Caption0077"/>
      <w:bookmarkStart w:id="7825" w:name="_Caption7367"/>
      <w:bookmarkStart w:id="7826" w:name="_Caption8003"/>
      <w:bookmarkStart w:id="7827" w:name="_Caption0792"/>
      <w:bookmarkStart w:id="7828" w:name="_Caption9141"/>
      <w:bookmarkStart w:id="7829" w:name="_Caption7166"/>
      <w:bookmarkStart w:id="7830" w:name="_Caption3204"/>
      <w:bookmarkStart w:id="7831" w:name="_Caption1236"/>
      <w:bookmarkStart w:id="7832" w:name="_Caption9330"/>
      <w:bookmarkStart w:id="7833" w:name="_Caption1902"/>
      <w:bookmarkStart w:id="7834" w:name="_Caption4588"/>
      <w:bookmarkStart w:id="7835" w:name="_Caption4507"/>
      <w:bookmarkStart w:id="7836" w:name="_Caption4222"/>
      <w:bookmarkStart w:id="7837" w:name="_Caption4724"/>
      <w:bookmarkStart w:id="7838" w:name="_Caption0639"/>
      <w:bookmarkStart w:id="7839" w:name="_Caption9114"/>
      <w:bookmarkStart w:id="7840" w:name="_Caption9521"/>
      <w:bookmarkStart w:id="7841" w:name="_Caption5752"/>
      <w:bookmarkStart w:id="7842" w:name="_Caption8476"/>
      <w:bookmarkStart w:id="7843" w:name="_Caption1595"/>
      <w:bookmarkStart w:id="7844" w:name="_Caption1466"/>
      <w:bookmarkStart w:id="7845" w:name="_Caption4832"/>
      <w:bookmarkStart w:id="7846" w:name="_Caption3232"/>
      <w:bookmarkStart w:id="7847" w:name="_Caption5235"/>
      <w:bookmarkStart w:id="7848" w:name="_Caption6612"/>
      <w:bookmarkStart w:id="7849" w:name="_Caption0108"/>
      <w:bookmarkStart w:id="7850" w:name="_Caption3860"/>
      <w:bookmarkStart w:id="7851" w:name="_Caption8697"/>
      <w:bookmarkStart w:id="7852" w:name="_Caption4623"/>
      <w:bookmarkStart w:id="7853" w:name="_Caption3896"/>
      <w:bookmarkStart w:id="7854" w:name="_Caption1605"/>
      <w:bookmarkStart w:id="7855" w:name="_Caption2022"/>
      <w:bookmarkStart w:id="7856" w:name="_Caption5092"/>
      <w:bookmarkStart w:id="7857" w:name="_Caption6334"/>
      <w:bookmarkStart w:id="7858" w:name="_Caption0142"/>
      <w:bookmarkStart w:id="7859" w:name="_Caption4462"/>
      <w:bookmarkStart w:id="7860" w:name="_Caption9338"/>
      <w:bookmarkStart w:id="7861" w:name="_Caption1589"/>
      <w:bookmarkStart w:id="7862" w:name="_Caption0214"/>
      <w:bookmarkStart w:id="7863" w:name="_Caption8852"/>
      <w:bookmarkStart w:id="7864" w:name="_Caption7798"/>
      <w:bookmarkStart w:id="7865" w:name="_Caption3380"/>
      <w:bookmarkStart w:id="7866" w:name="_Caption7648"/>
      <w:bookmarkStart w:id="7867" w:name="_Caption6668"/>
      <w:bookmarkStart w:id="7868" w:name="_Caption1942"/>
      <w:bookmarkStart w:id="7869" w:name="_Caption8562"/>
      <w:bookmarkStart w:id="7870" w:name="_Caption6060"/>
      <w:bookmarkStart w:id="7871" w:name="_Caption4867"/>
      <w:bookmarkStart w:id="7872" w:name="_Caption6451"/>
      <w:bookmarkStart w:id="7873" w:name="_Caption5437"/>
      <w:bookmarkStart w:id="7874" w:name="_Caption7191"/>
      <w:bookmarkStart w:id="7875" w:name="_Caption5110"/>
      <w:bookmarkStart w:id="7876" w:name="_Caption0882"/>
      <w:bookmarkStart w:id="7877" w:name="_Caption4062"/>
      <w:bookmarkStart w:id="7878" w:name="_Caption0299"/>
      <w:bookmarkStart w:id="7879" w:name="_Caption6170"/>
      <w:bookmarkStart w:id="7880" w:name="_Caption1645"/>
      <w:bookmarkStart w:id="7881" w:name="_Caption8367"/>
      <w:bookmarkStart w:id="7882" w:name="_Caption1328"/>
      <w:bookmarkStart w:id="7883" w:name="_Caption4793"/>
      <w:bookmarkStart w:id="7884" w:name="_Caption5647"/>
      <w:bookmarkStart w:id="7885" w:name="_Caption3638"/>
      <w:bookmarkStart w:id="7886" w:name="_Caption8333"/>
      <w:bookmarkStart w:id="7887" w:name="_Caption6250"/>
      <w:bookmarkStart w:id="7888" w:name="_Caption8923"/>
      <w:bookmarkStart w:id="7889" w:name="_Caption3404"/>
      <w:bookmarkStart w:id="7890" w:name="_Toc509220898"/>
      <w:bookmarkStart w:id="7891" w:name="_Toc529870000"/>
      <w:bookmarkStart w:id="7892" w:name="_Toc530748496"/>
      <w:r w:rsidR="00EA42ED">
        <w:rPr>
          <w:noProof/>
        </w:rPr>
        <w:t>G</w:t>
      </w:r>
      <w:r w:rsidR="00EA42ED" w:rsidRPr="00D00F02">
        <w:rPr>
          <w:noProof/>
        </w:rPr>
        <w:t>.</w:t>
      </w:r>
      <w:r w:rsidR="00EA42ED">
        <w:rPr>
          <w:noProof/>
        </w:rPr>
        <w:t>2</w:t>
      </w:r>
      <w:bookmarkStart w:id="7893" w:name="_Toc507523849"/>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r w:rsidRPr="00D00F02">
        <w:fldChar w:fldCharType="end"/>
      </w:r>
      <w:r w:rsidRPr="00D00F02">
        <w:tab/>
        <w:t>Hotel and office building (3A and 5A)</w:t>
      </w:r>
      <w:bookmarkEnd w:id="7890"/>
      <w:bookmarkEnd w:id="7891"/>
      <w:bookmarkEnd w:id="7892"/>
      <w:bookmarkEnd w:id="7893"/>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8"/>
      </w:tblGrid>
      <w:tr w:rsidR="00E75AC2" w:rsidTr="00817952">
        <w:trPr>
          <w:cantSplit/>
        </w:trPr>
        <w:tc>
          <w:tcPr>
            <w:tcW w:w="7938" w:type="dxa"/>
            <w:shd w:val="clear" w:color="auto" w:fill="E9E8E5" w:themeFill="background2"/>
          </w:tcPr>
          <w:p w:rsidR="00E75AC2" w:rsidRDefault="00E75AC2" w:rsidP="00E75AC2">
            <w:pPr>
              <w:pStyle w:val="Chart"/>
              <w:spacing w:before="120" w:after="120"/>
              <w:jc w:val="center"/>
            </w:pPr>
            <w:r>
              <w:rPr>
                <w:noProof/>
                <w:lang w:eastAsia="en-AU"/>
              </w:rPr>
              <w:drawing>
                <wp:inline distT="0" distB="0" distL="0" distR="0" wp14:anchorId="516C3EC6" wp14:editId="40B125D8">
                  <wp:extent cx="4860000" cy="3281953"/>
                  <wp:effectExtent l="0" t="0" r="0" b="0"/>
                  <wp:docPr id="10" name="Picture 10" descr="This chart depicts the geometry of hotel and office building - a 10-storey square buil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860000" cy="3281953"/>
                          </a:xfrm>
                          <a:prstGeom prst="rect">
                            <a:avLst/>
                          </a:prstGeom>
                        </pic:spPr>
                      </pic:pic>
                    </a:graphicData>
                  </a:graphic>
                </wp:inline>
              </w:drawing>
            </w:r>
          </w:p>
        </w:tc>
      </w:tr>
    </w:tbl>
    <w:p w:rsidR="00E75AC2" w:rsidRDefault="00E75AC2" w:rsidP="00817952">
      <w:pPr>
        <w:pStyle w:val="Source"/>
      </w:pPr>
      <w:r w:rsidRPr="00E75AC2">
        <w:rPr>
          <w:i/>
        </w:rPr>
        <w:t>Source</w:t>
      </w:r>
      <w:r w:rsidRPr="00E75AC2">
        <w:t>:</w:t>
      </w:r>
      <w:r>
        <w:t xml:space="preserve"> </w:t>
      </w:r>
      <w:r w:rsidR="003F28DD">
        <w:t>EA</w:t>
      </w:r>
      <w:r>
        <w:t>.</w:t>
      </w:r>
    </w:p>
    <w:p w:rsidR="00612FD3" w:rsidRPr="00D00F02" w:rsidRDefault="00612FD3" w:rsidP="00612FD3">
      <w:pPr>
        <w:pStyle w:val="Caption"/>
        <w:numPr>
          <w:ilvl w:val="0"/>
          <w:numId w:val="7"/>
        </w:numPr>
      </w:pPr>
      <w:r w:rsidRPr="00D00F02">
        <w:fldChar w:fldCharType="begin"/>
      </w:r>
      <w:r w:rsidRPr="00D00F02">
        <w:instrText xml:space="preserve"> IF 1 = 1 "</w:instrText>
      </w:r>
      <w:r w:rsidRPr="00D00F02">
        <w:fldChar w:fldCharType="begin"/>
      </w:r>
      <w:r w:rsidRPr="00D00F02">
        <w:instrText xml:space="preserve"> IF </w:instrText>
      </w:r>
      <w:r w:rsidRPr="00D00F02">
        <w:rPr>
          <w:noProof/>
        </w:rPr>
        <w:fldChar w:fldCharType="begin"/>
      </w:r>
      <w:r w:rsidRPr="00D00F02">
        <w:rPr>
          <w:noProof/>
        </w:rPr>
        <w:instrText xml:space="preserve"> STYLEREF "Heading 6" \l \n </w:instrText>
      </w:r>
      <w:r w:rsidRPr="00D00F02">
        <w:rPr>
          <w:noProof/>
        </w:rPr>
        <w:fldChar w:fldCharType="separate"/>
      </w:r>
      <w:r w:rsidR="00B833F1">
        <w:rPr>
          <w:noProof/>
        </w:rPr>
        <w:instrText>G</w:instrText>
      </w:r>
      <w:r w:rsidRPr="00D00F02">
        <w:rPr>
          <w:noProof/>
        </w:rPr>
        <w:fldChar w:fldCharType="end"/>
      </w:r>
      <w:r w:rsidRPr="00D00F02">
        <w:instrText xml:space="preserve"> = 0 "</w:instrText>
      </w:r>
      <w:r w:rsidRPr="00D00F02">
        <w:fldChar w:fldCharType="begin"/>
      </w:r>
      <w:r w:rsidRPr="00D00F02">
        <w:instrText xml:space="preserve"> IF </w:instrText>
      </w:r>
      <w:r w:rsidRPr="00D00F02">
        <w:fldChar w:fldCharType="begin"/>
      </w:r>
      <w:r w:rsidRPr="00D00F02">
        <w:instrText xml:space="preserve"> STYLEREF "Heading 1" \l \n </w:instrText>
      </w:r>
      <w:r w:rsidRPr="00D00F02">
        <w:fldChar w:fldCharType="separate"/>
      </w:r>
      <w:r w:rsidRPr="00D00F02">
        <w:rPr>
          <w:b/>
          <w:bCs/>
          <w:noProof/>
          <w:lang w:val="en-US"/>
        </w:rPr>
        <w:instrText>Error! No text of specified style in document.</w:instrText>
      </w:r>
      <w:r w:rsidRPr="00D00F02">
        <w:rPr>
          <w:noProof/>
        </w:rPr>
        <w:fldChar w:fldCharType="end"/>
      </w:r>
      <w:r w:rsidRPr="00D00F02">
        <w:instrText xml:space="preserve"> = 0 "" "</w:instrText>
      </w:r>
      <w:r w:rsidRPr="00D00F02">
        <w:fldChar w:fldCharType="begin"/>
      </w:r>
      <w:r w:rsidRPr="00D00F02">
        <w:instrText xml:space="preserve"> STYLEREF "Heading 1" \l \n </w:instrText>
      </w:r>
      <w:r w:rsidRPr="00D00F02">
        <w:fldChar w:fldCharType="separate"/>
      </w:r>
      <w:r w:rsidRPr="00D00F02">
        <w:rPr>
          <w:b/>
          <w:bCs/>
          <w:noProof/>
          <w:lang w:val="en-US"/>
        </w:rPr>
        <w:instrText>Error! No text of specified style in document.</w:instrText>
      </w:r>
      <w:r w:rsidRPr="00D00F02">
        <w:rPr>
          <w:noProof/>
        </w:rPr>
        <w:fldChar w:fldCharType="end"/>
      </w:r>
      <w:r w:rsidRPr="00D00F02">
        <w:instrText xml:space="preserve">." </w:instrText>
      </w:r>
      <w:r w:rsidRPr="00D00F02">
        <w:fldChar w:fldCharType="separate"/>
      </w:r>
      <w:r w:rsidRPr="00D00F02">
        <w:rPr>
          <w:b/>
          <w:bCs/>
          <w:noProof/>
          <w:lang w:val="en-US"/>
        </w:rPr>
        <w:instrText>Error! No text of specified style in document.</w:instrText>
      </w:r>
      <w:r w:rsidRPr="00D00F02">
        <w:rPr>
          <w:noProof/>
        </w:rPr>
        <w:instrText>.</w:instrText>
      </w:r>
      <w:r w:rsidRPr="00D00F02">
        <w:fldChar w:fldCharType="end"/>
      </w:r>
      <w:r w:rsidRPr="00D00F02">
        <w:instrText>" "</w:instrText>
      </w:r>
      <w:r w:rsidRPr="00D00F02">
        <w:rPr>
          <w:noProof/>
        </w:rPr>
        <w:fldChar w:fldCharType="begin"/>
      </w:r>
      <w:r w:rsidRPr="00D00F02">
        <w:rPr>
          <w:noProof/>
        </w:rPr>
        <w:instrText xml:space="preserve"> STYLEREF "Heading 6" \l \n </w:instrText>
      </w:r>
      <w:r w:rsidRPr="00D00F02">
        <w:rPr>
          <w:noProof/>
        </w:rPr>
        <w:fldChar w:fldCharType="separate"/>
      </w:r>
      <w:r w:rsidR="00B833F1">
        <w:rPr>
          <w:noProof/>
        </w:rPr>
        <w:instrText>G</w:instrText>
      </w:r>
      <w:r w:rsidRPr="00D00F02">
        <w:rPr>
          <w:noProof/>
        </w:rPr>
        <w:fldChar w:fldCharType="end"/>
      </w:r>
      <w:r w:rsidRPr="00D00F02">
        <w:instrText xml:space="preserve">." </w:instrText>
      </w:r>
      <w:r w:rsidRPr="00D00F02">
        <w:fldChar w:fldCharType="separate"/>
      </w:r>
      <w:r w:rsidR="00B833F1">
        <w:rPr>
          <w:noProof/>
        </w:rPr>
        <w:instrText>G</w:instrText>
      </w:r>
      <w:r w:rsidR="00B833F1" w:rsidRPr="00D00F02">
        <w:rPr>
          <w:noProof/>
        </w:rPr>
        <w:instrText>.</w:instrText>
      </w:r>
      <w:r w:rsidRPr="00D00F02">
        <w:fldChar w:fldCharType="end"/>
      </w:r>
      <w:r w:rsidRPr="00D00F02">
        <w:fldChar w:fldCharType="begin"/>
      </w:r>
      <w:r w:rsidRPr="00D00F02">
        <w:instrText xml:space="preserve"> SEQ Item \* ARABIC \s </w:instrText>
      </w:r>
      <w:r w:rsidRPr="00D00F02">
        <w:fldChar w:fldCharType="begin"/>
      </w:r>
      <w:r w:rsidRPr="00D00F02">
        <w:instrText xml:space="preserve"> IF </w:instrText>
      </w:r>
      <w:r w:rsidRPr="00D00F02">
        <w:rPr>
          <w:noProof/>
        </w:rPr>
        <w:fldChar w:fldCharType="begin"/>
      </w:r>
      <w:r w:rsidRPr="00D00F02">
        <w:rPr>
          <w:noProof/>
        </w:rPr>
        <w:instrText xml:space="preserve"> STYLEREF "Heading 6" \l \n </w:instrText>
      </w:r>
      <w:r w:rsidRPr="00D00F02">
        <w:rPr>
          <w:noProof/>
        </w:rPr>
        <w:fldChar w:fldCharType="separate"/>
      </w:r>
      <w:r w:rsidR="00B833F1">
        <w:rPr>
          <w:noProof/>
        </w:rPr>
        <w:instrText>G</w:instrText>
      </w:r>
      <w:r w:rsidRPr="00D00F02">
        <w:rPr>
          <w:noProof/>
        </w:rPr>
        <w:fldChar w:fldCharType="end"/>
      </w:r>
      <w:r w:rsidRPr="00D00F02">
        <w:instrText xml:space="preserve"> = 0 "</w:instrText>
      </w:r>
      <w:r w:rsidRPr="00D00F02">
        <w:fldChar w:fldCharType="begin"/>
      </w:r>
      <w:r w:rsidRPr="00D00F02">
        <w:instrText xml:space="preserve"> IF </w:instrText>
      </w:r>
      <w:r w:rsidRPr="00D00F02">
        <w:fldChar w:fldCharType="begin"/>
      </w:r>
      <w:r w:rsidRPr="00D00F02">
        <w:instrText xml:space="preserve"> STYLEREF "Heading 1" \l \n </w:instrText>
      </w:r>
      <w:r w:rsidRPr="00D00F02">
        <w:fldChar w:fldCharType="separate"/>
      </w:r>
      <w:r w:rsidRPr="00D00F02">
        <w:rPr>
          <w:b/>
          <w:bCs/>
          <w:noProof/>
          <w:lang w:val="en-US"/>
        </w:rPr>
        <w:instrText>Error! No text of specified style in document.</w:instrText>
      </w:r>
      <w:r w:rsidRPr="00D00F02">
        <w:rPr>
          <w:noProof/>
        </w:rPr>
        <w:fldChar w:fldCharType="end"/>
      </w:r>
      <w:r w:rsidRPr="00D00F02">
        <w:instrText xml:space="preserve"> = 0 "" "1" </w:instrText>
      </w:r>
      <w:r w:rsidRPr="00D00F02">
        <w:fldChar w:fldCharType="separate"/>
      </w:r>
      <w:r w:rsidRPr="00D00F02">
        <w:rPr>
          <w:noProof/>
        </w:rPr>
        <w:instrText>1</w:instrText>
      </w:r>
      <w:r w:rsidRPr="00D00F02">
        <w:fldChar w:fldCharType="end"/>
      </w:r>
      <w:r w:rsidRPr="00D00F02">
        <w:instrText xml:space="preserve">" "6" </w:instrText>
      </w:r>
      <w:r w:rsidRPr="00D00F02">
        <w:fldChar w:fldCharType="separate"/>
      </w:r>
      <w:r w:rsidR="00B833F1" w:rsidRPr="00D00F02">
        <w:rPr>
          <w:noProof/>
        </w:rPr>
        <w:instrText>6</w:instrText>
      </w:r>
      <w:r w:rsidRPr="00D00F02">
        <w:fldChar w:fldCharType="end"/>
      </w:r>
      <w:r w:rsidRPr="00D00F02">
        <w:instrText xml:space="preserve"> </w:instrText>
      </w:r>
      <w:r w:rsidRPr="00D00F02">
        <w:fldChar w:fldCharType="separate"/>
      </w:r>
      <w:r w:rsidR="00B833F1">
        <w:rPr>
          <w:noProof/>
        </w:rPr>
        <w:instrText>3</w:instrText>
      </w:r>
      <w:r w:rsidRPr="00D00F02">
        <w:fldChar w:fldCharType="end"/>
      </w:r>
      <w:r w:rsidRPr="00D00F02">
        <w:instrText xml:space="preserve">" "" </w:instrText>
      </w:r>
      <w:r w:rsidRPr="00D00F02">
        <w:fldChar w:fldCharType="separate"/>
      </w:r>
      <w:bookmarkStart w:id="7894" w:name="_Caption6491"/>
      <w:bookmarkStart w:id="7895" w:name="_Caption7696"/>
      <w:bookmarkStart w:id="7896" w:name="_Caption2935"/>
      <w:bookmarkStart w:id="7897" w:name="_Caption6924"/>
      <w:bookmarkStart w:id="7898" w:name="_Caption0087"/>
      <w:bookmarkStart w:id="7899" w:name="_Caption2697"/>
      <w:bookmarkStart w:id="7900" w:name="_Caption2906"/>
      <w:bookmarkStart w:id="7901" w:name="_Caption9394"/>
      <w:bookmarkStart w:id="7902" w:name="_Caption7467"/>
      <w:bookmarkStart w:id="7903" w:name="_Caption0642"/>
      <w:bookmarkStart w:id="7904" w:name="_Caption5349"/>
      <w:bookmarkStart w:id="7905" w:name="_Caption4301"/>
      <w:bookmarkStart w:id="7906" w:name="_Caption7639"/>
      <w:bookmarkStart w:id="7907" w:name="_Caption6438"/>
      <w:bookmarkStart w:id="7908" w:name="_Caption4065"/>
      <w:bookmarkStart w:id="7909" w:name="_Caption0205"/>
      <w:bookmarkStart w:id="7910" w:name="_Caption4411"/>
      <w:bookmarkStart w:id="7911" w:name="_Caption7658"/>
      <w:bookmarkStart w:id="7912" w:name="_Caption4574"/>
      <w:bookmarkStart w:id="7913" w:name="_Caption0402"/>
      <w:bookmarkStart w:id="7914" w:name="_Caption1511"/>
      <w:bookmarkStart w:id="7915" w:name="_Caption8052"/>
      <w:bookmarkStart w:id="7916" w:name="_Caption2773"/>
      <w:bookmarkStart w:id="7917" w:name="_Caption1746"/>
      <w:bookmarkStart w:id="7918" w:name="_Caption2555"/>
      <w:bookmarkStart w:id="7919" w:name="_Caption0472"/>
      <w:bookmarkStart w:id="7920" w:name="_Caption3561"/>
      <w:bookmarkStart w:id="7921" w:name="_Caption6845"/>
      <w:bookmarkStart w:id="7922" w:name="_Caption6093"/>
      <w:bookmarkStart w:id="7923" w:name="_Caption5789"/>
      <w:bookmarkStart w:id="7924" w:name="_Caption8262"/>
      <w:bookmarkStart w:id="7925" w:name="_Caption9918"/>
      <w:bookmarkStart w:id="7926" w:name="_Caption4120"/>
      <w:bookmarkStart w:id="7927" w:name="_Caption0512"/>
      <w:bookmarkStart w:id="7928" w:name="_Caption0746"/>
      <w:bookmarkStart w:id="7929" w:name="_Caption2570"/>
      <w:bookmarkStart w:id="7930" w:name="_Caption3855"/>
      <w:bookmarkStart w:id="7931" w:name="_Caption8159"/>
      <w:bookmarkStart w:id="7932" w:name="_Caption7087"/>
      <w:bookmarkStart w:id="7933" w:name="_Caption6655"/>
      <w:bookmarkStart w:id="7934" w:name="_Caption0545"/>
      <w:bookmarkStart w:id="7935" w:name="_Caption5637"/>
      <w:bookmarkStart w:id="7936" w:name="_Caption6172"/>
      <w:bookmarkStart w:id="7937" w:name="_Caption4591"/>
      <w:bookmarkStart w:id="7938" w:name="_Caption8927"/>
      <w:bookmarkStart w:id="7939" w:name="_Caption5286"/>
      <w:bookmarkStart w:id="7940" w:name="_Caption6992"/>
      <w:bookmarkStart w:id="7941" w:name="_Caption1255"/>
      <w:bookmarkStart w:id="7942" w:name="_Caption9717"/>
      <w:bookmarkStart w:id="7943" w:name="_Caption9844"/>
      <w:bookmarkStart w:id="7944" w:name="_Caption6139"/>
      <w:bookmarkStart w:id="7945" w:name="_Caption2890"/>
      <w:bookmarkStart w:id="7946" w:name="_Caption1205"/>
      <w:bookmarkStart w:id="7947" w:name="_Caption2569"/>
      <w:bookmarkStart w:id="7948" w:name="_Caption0736"/>
      <w:bookmarkStart w:id="7949" w:name="_Caption6485"/>
      <w:bookmarkStart w:id="7950" w:name="_Caption7641"/>
      <w:bookmarkStart w:id="7951" w:name="_Caption6307"/>
      <w:bookmarkStart w:id="7952" w:name="_Caption6650"/>
      <w:bookmarkStart w:id="7953" w:name="_Caption2712"/>
      <w:bookmarkStart w:id="7954" w:name="_Caption3799"/>
      <w:bookmarkStart w:id="7955" w:name="_Caption9958"/>
      <w:bookmarkStart w:id="7956" w:name="_Caption5680"/>
      <w:bookmarkStart w:id="7957" w:name="_Caption9547"/>
      <w:bookmarkStart w:id="7958" w:name="_Caption6460"/>
      <w:bookmarkStart w:id="7959" w:name="_Caption0943"/>
      <w:bookmarkStart w:id="7960" w:name="_Caption1631"/>
      <w:bookmarkStart w:id="7961" w:name="_Caption3135"/>
      <w:bookmarkStart w:id="7962" w:name="_Caption2318"/>
      <w:bookmarkStart w:id="7963" w:name="_Caption2673"/>
      <w:bookmarkStart w:id="7964" w:name="_Caption6932"/>
      <w:bookmarkStart w:id="7965" w:name="_Caption5014"/>
      <w:bookmarkStart w:id="7966" w:name="_Caption3421"/>
      <w:bookmarkStart w:id="7967" w:name="_Caption3618"/>
      <w:bookmarkStart w:id="7968" w:name="_Caption5089"/>
      <w:bookmarkStart w:id="7969" w:name="_Caption6390"/>
      <w:bookmarkStart w:id="7970" w:name="_Caption5463"/>
      <w:bookmarkStart w:id="7971" w:name="_Caption1281"/>
      <w:bookmarkStart w:id="7972" w:name="_Caption1314"/>
      <w:bookmarkStart w:id="7973" w:name="_Caption1793"/>
      <w:bookmarkStart w:id="7974" w:name="_Caption4767"/>
      <w:bookmarkStart w:id="7975" w:name="_Caption6790"/>
      <w:bookmarkStart w:id="7976" w:name="_Caption8257"/>
      <w:bookmarkStart w:id="7977" w:name="_Caption3715"/>
      <w:bookmarkStart w:id="7978" w:name="_Caption1016"/>
      <w:bookmarkStart w:id="7979" w:name="_Caption7214"/>
      <w:bookmarkStart w:id="7980" w:name="_Caption0586"/>
      <w:bookmarkStart w:id="7981" w:name="_Toc509220899"/>
      <w:bookmarkStart w:id="7982" w:name="_Toc529870001"/>
      <w:bookmarkStart w:id="7983" w:name="_Toc530748497"/>
      <w:r w:rsidR="00EA42ED">
        <w:rPr>
          <w:noProof/>
        </w:rPr>
        <w:t>G</w:t>
      </w:r>
      <w:r w:rsidR="00EA42ED" w:rsidRPr="00D00F02">
        <w:rPr>
          <w:noProof/>
        </w:rPr>
        <w:t>.</w:t>
      </w:r>
      <w:r w:rsidR="00EA42ED">
        <w:rPr>
          <w:noProof/>
        </w:rPr>
        <w:t>3</w:t>
      </w:r>
      <w:bookmarkStart w:id="7984" w:name="_Toc507523850"/>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r w:rsidRPr="00D00F02">
        <w:fldChar w:fldCharType="end"/>
      </w:r>
      <w:r w:rsidRPr="00D00F02">
        <w:tab/>
        <w:t>Retail building (6B)</w:t>
      </w:r>
      <w:bookmarkEnd w:id="7981"/>
      <w:bookmarkEnd w:id="7982"/>
      <w:bookmarkEnd w:id="7983"/>
      <w:bookmarkEnd w:id="7984"/>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8"/>
      </w:tblGrid>
      <w:tr w:rsidR="00E75AC2" w:rsidTr="00817952">
        <w:trPr>
          <w:cantSplit/>
        </w:trPr>
        <w:tc>
          <w:tcPr>
            <w:tcW w:w="7938" w:type="dxa"/>
            <w:shd w:val="clear" w:color="auto" w:fill="E9E8E5" w:themeFill="background2"/>
          </w:tcPr>
          <w:p w:rsidR="00E75AC2" w:rsidRDefault="00E75AC2" w:rsidP="00E75AC2">
            <w:pPr>
              <w:pStyle w:val="Chart"/>
              <w:numPr>
                <w:ilvl w:val="0"/>
                <w:numId w:val="7"/>
              </w:numPr>
              <w:spacing w:before="120" w:after="120"/>
              <w:jc w:val="center"/>
            </w:pPr>
            <w:r>
              <w:rPr>
                <w:noProof/>
                <w:lang w:eastAsia="en-AU"/>
              </w:rPr>
              <w:drawing>
                <wp:inline distT="0" distB="0" distL="0" distR="0" wp14:anchorId="6705A93B" wp14:editId="5F3A2D80">
                  <wp:extent cx="4860000" cy="2581588"/>
                  <wp:effectExtent l="0" t="0" r="0" b="9525"/>
                  <wp:docPr id="12" name="Picture 12" descr="This diagram depicts the geometry of a retail building - a rectangular 3-storey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860000" cy="2581588"/>
                          </a:xfrm>
                          <a:prstGeom prst="rect">
                            <a:avLst/>
                          </a:prstGeom>
                        </pic:spPr>
                      </pic:pic>
                    </a:graphicData>
                  </a:graphic>
                </wp:inline>
              </w:drawing>
            </w:r>
          </w:p>
        </w:tc>
      </w:tr>
    </w:tbl>
    <w:p w:rsidR="00E75AC2" w:rsidRDefault="00E75AC2" w:rsidP="00E75AC2">
      <w:pPr>
        <w:pStyle w:val="Source"/>
      </w:pPr>
      <w:r w:rsidRPr="00E75AC2">
        <w:rPr>
          <w:i/>
        </w:rPr>
        <w:t>Source</w:t>
      </w:r>
      <w:r w:rsidRPr="00E75AC2">
        <w:t>:</w:t>
      </w:r>
      <w:r>
        <w:t xml:space="preserve"> </w:t>
      </w:r>
      <w:r w:rsidR="003F28DD">
        <w:t>EA</w:t>
      </w:r>
      <w:r>
        <w:t>.</w:t>
      </w:r>
    </w:p>
    <w:p w:rsidR="00612FD3" w:rsidRDefault="00612FD3" w:rsidP="00612FD3">
      <w:pPr>
        <w:pStyle w:val="BodyText"/>
        <w:rPr>
          <w:lang w:val="en-GB"/>
        </w:rPr>
      </w:pPr>
    </w:p>
    <w:p w:rsidR="00612FD3" w:rsidRPr="00D00F02" w:rsidRDefault="00612FD3" w:rsidP="00612FD3">
      <w:pPr>
        <w:pStyle w:val="Caption"/>
        <w:numPr>
          <w:ilvl w:val="0"/>
          <w:numId w:val="7"/>
        </w:numPr>
      </w:pPr>
      <w:r w:rsidRPr="00D00F02">
        <w:fldChar w:fldCharType="begin"/>
      </w:r>
      <w:r w:rsidRPr="00D00F02">
        <w:instrText xml:space="preserve"> IF 1 = 1 "</w:instrText>
      </w:r>
      <w:r w:rsidRPr="00D00F02">
        <w:fldChar w:fldCharType="begin"/>
      </w:r>
      <w:r w:rsidRPr="00D00F02">
        <w:instrText xml:space="preserve"> IF </w:instrText>
      </w:r>
      <w:r w:rsidRPr="00D00F02">
        <w:rPr>
          <w:noProof/>
        </w:rPr>
        <w:fldChar w:fldCharType="begin"/>
      </w:r>
      <w:r w:rsidRPr="00D00F02">
        <w:rPr>
          <w:noProof/>
        </w:rPr>
        <w:instrText xml:space="preserve"> STYLEREF "Heading 6" \l \n </w:instrText>
      </w:r>
      <w:r w:rsidRPr="00D00F02">
        <w:rPr>
          <w:noProof/>
        </w:rPr>
        <w:fldChar w:fldCharType="separate"/>
      </w:r>
      <w:r w:rsidR="00B833F1">
        <w:rPr>
          <w:noProof/>
        </w:rPr>
        <w:instrText>G</w:instrText>
      </w:r>
      <w:r w:rsidRPr="00D00F02">
        <w:rPr>
          <w:noProof/>
        </w:rPr>
        <w:fldChar w:fldCharType="end"/>
      </w:r>
      <w:r w:rsidRPr="00D00F02">
        <w:instrText xml:space="preserve"> = 0 "</w:instrText>
      </w:r>
      <w:r w:rsidRPr="00D00F02">
        <w:fldChar w:fldCharType="begin"/>
      </w:r>
      <w:r w:rsidRPr="00D00F02">
        <w:instrText xml:space="preserve"> IF </w:instrText>
      </w:r>
      <w:r w:rsidRPr="00D00F02">
        <w:fldChar w:fldCharType="begin"/>
      </w:r>
      <w:r w:rsidRPr="00D00F02">
        <w:instrText xml:space="preserve"> STYLEREF "Heading 1" \l \n </w:instrText>
      </w:r>
      <w:r w:rsidRPr="00D00F02">
        <w:fldChar w:fldCharType="separate"/>
      </w:r>
      <w:r w:rsidRPr="00D00F02">
        <w:rPr>
          <w:b/>
          <w:bCs/>
          <w:noProof/>
          <w:lang w:val="en-US"/>
        </w:rPr>
        <w:instrText>Error! No text of specified style in document.</w:instrText>
      </w:r>
      <w:r w:rsidRPr="00D00F02">
        <w:rPr>
          <w:noProof/>
        </w:rPr>
        <w:fldChar w:fldCharType="end"/>
      </w:r>
      <w:r w:rsidRPr="00D00F02">
        <w:instrText xml:space="preserve"> = 0 "" "</w:instrText>
      </w:r>
      <w:r w:rsidRPr="00D00F02">
        <w:fldChar w:fldCharType="begin"/>
      </w:r>
      <w:r w:rsidRPr="00D00F02">
        <w:instrText xml:space="preserve"> STYLEREF "Heading 1" \l \n </w:instrText>
      </w:r>
      <w:r w:rsidRPr="00D00F02">
        <w:fldChar w:fldCharType="separate"/>
      </w:r>
      <w:r w:rsidRPr="00D00F02">
        <w:rPr>
          <w:b/>
          <w:bCs/>
          <w:noProof/>
          <w:lang w:val="en-US"/>
        </w:rPr>
        <w:instrText>Error! No text of specified style in document.</w:instrText>
      </w:r>
      <w:r w:rsidRPr="00D00F02">
        <w:rPr>
          <w:noProof/>
        </w:rPr>
        <w:fldChar w:fldCharType="end"/>
      </w:r>
      <w:r w:rsidRPr="00D00F02">
        <w:instrText xml:space="preserve">." </w:instrText>
      </w:r>
      <w:r w:rsidRPr="00D00F02">
        <w:fldChar w:fldCharType="separate"/>
      </w:r>
      <w:r w:rsidRPr="00D00F02">
        <w:rPr>
          <w:b/>
          <w:bCs/>
          <w:noProof/>
          <w:lang w:val="en-US"/>
        </w:rPr>
        <w:instrText>Error! No text of specified style in document.</w:instrText>
      </w:r>
      <w:r w:rsidRPr="00D00F02">
        <w:rPr>
          <w:noProof/>
        </w:rPr>
        <w:instrText>.</w:instrText>
      </w:r>
      <w:r w:rsidRPr="00D00F02">
        <w:fldChar w:fldCharType="end"/>
      </w:r>
      <w:r w:rsidRPr="00D00F02">
        <w:instrText>" "</w:instrText>
      </w:r>
      <w:r w:rsidRPr="00D00F02">
        <w:rPr>
          <w:noProof/>
        </w:rPr>
        <w:fldChar w:fldCharType="begin"/>
      </w:r>
      <w:r w:rsidRPr="00D00F02">
        <w:rPr>
          <w:noProof/>
        </w:rPr>
        <w:instrText xml:space="preserve"> STYLEREF "Heading 6" \l \n </w:instrText>
      </w:r>
      <w:r w:rsidRPr="00D00F02">
        <w:rPr>
          <w:noProof/>
        </w:rPr>
        <w:fldChar w:fldCharType="separate"/>
      </w:r>
      <w:r w:rsidR="00B833F1">
        <w:rPr>
          <w:noProof/>
        </w:rPr>
        <w:instrText>G</w:instrText>
      </w:r>
      <w:r w:rsidRPr="00D00F02">
        <w:rPr>
          <w:noProof/>
        </w:rPr>
        <w:fldChar w:fldCharType="end"/>
      </w:r>
      <w:r w:rsidRPr="00D00F02">
        <w:instrText xml:space="preserve">." </w:instrText>
      </w:r>
      <w:r w:rsidRPr="00D00F02">
        <w:fldChar w:fldCharType="separate"/>
      </w:r>
      <w:r w:rsidR="00B833F1">
        <w:rPr>
          <w:noProof/>
        </w:rPr>
        <w:instrText>G</w:instrText>
      </w:r>
      <w:r w:rsidR="00B833F1" w:rsidRPr="00D00F02">
        <w:rPr>
          <w:noProof/>
        </w:rPr>
        <w:instrText>.</w:instrText>
      </w:r>
      <w:r w:rsidRPr="00D00F02">
        <w:fldChar w:fldCharType="end"/>
      </w:r>
      <w:r w:rsidRPr="00D00F02">
        <w:fldChar w:fldCharType="begin"/>
      </w:r>
      <w:r w:rsidRPr="00D00F02">
        <w:instrText xml:space="preserve"> SEQ Item \* ARABIC \s </w:instrText>
      </w:r>
      <w:r w:rsidRPr="00D00F02">
        <w:fldChar w:fldCharType="begin"/>
      </w:r>
      <w:r w:rsidRPr="00D00F02">
        <w:instrText xml:space="preserve"> IF </w:instrText>
      </w:r>
      <w:r w:rsidRPr="00D00F02">
        <w:rPr>
          <w:noProof/>
        </w:rPr>
        <w:fldChar w:fldCharType="begin"/>
      </w:r>
      <w:r w:rsidRPr="00D00F02">
        <w:rPr>
          <w:noProof/>
        </w:rPr>
        <w:instrText xml:space="preserve"> STYLEREF "Heading 6" \l \n </w:instrText>
      </w:r>
      <w:r w:rsidRPr="00D00F02">
        <w:rPr>
          <w:noProof/>
        </w:rPr>
        <w:fldChar w:fldCharType="separate"/>
      </w:r>
      <w:r w:rsidR="00B833F1">
        <w:rPr>
          <w:noProof/>
        </w:rPr>
        <w:instrText>G</w:instrText>
      </w:r>
      <w:r w:rsidRPr="00D00F02">
        <w:rPr>
          <w:noProof/>
        </w:rPr>
        <w:fldChar w:fldCharType="end"/>
      </w:r>
      <w:r w:rsidRPr="00D00F02">
        <w:instrText xml:space="preserve"> = 0 "</w:instrText>
      </w:r>
      <w:r w:rsidRPr="00D00F02">
        <w:fldChar w:fldCharType="begin"/>
      </w:r>
      <w:r w:rsidRPr="00D00F02">
        <w:instrText xml:space="preserve"> IF </w:instrText>
      </w:r>
      <w:r w:rsidRPr="00D00F02">
        <w:fldChar w:fldCharType="begin"/>
      </w:r>
      <w:r w:rsidRPr="00D00F02">
        <w:instrText xml:space="preserve"> STYLEREF "Heading 1" \l \n </w:instrText>
      </w:r>
      <w:r w:rsidRPr="00D00F02">
        <w:fldChar w:fldCharType="separate"/>
      </w:r>
      <w:r w:rsidRPr="00D00F02">
        <w:rPr>
          <w:b/>
          <w:bCs/>
          <w:noProof/>
          <w:lang w:val="en-US"/>
        </w:rPr>
        <w:instrText>Error! No text of specified style in document.</w:instrText>
      </w:r>
      <w:r w:rsidRPr="00D00F02">
        <w:rPr>
          <w:noProof/>
        </w:rPr>
        <w:fldChar w:fldCharType="end"/>
      </w:r>
      <w:r w:rsidRPr="00D00F02">
        <w:instrText xml:space="preserve"> = 0 "" "1" </w:instrText>
      </w:r>
      <w:r w:rsidRPr="00D00F02">
        <w:fldChar w:fldCharType="separate"/>
      </w:r>
      <w:r w:rsidRPr="00D00F02">
        <w:rPr>
          <w:noProof/>
        </w:rPr>
        <w:instrText>1</w:instrText>
      </w:r>
      <w:r w:rsidRPr="00D00F02">
        <w:fldChar w:fldCharType="end"/>
      </w:r>
      <w:r w:rsidRPr="00D00F02">
        <w:instrText xml:space="preserve">" "6" </w:instrText>
      </w:r>
      <w:r w:rsidRPr="00D00F02">
        <w:fldChar w:fldCharType="separate"/>
      </w:r>
      <w:r w:rsidR="00B833F1" w:rsidRPr="00D00F02">
        <w:rPr>
          <w:noProof/>
        </w:rPr>
        <w:instrText>6</w:instrText>
      </w:r>
      <w:r w:rsidRPr="00D00F02">
        <w:fldChar w:fldCharType="end"/>
      </w:r>
      <w:r w:rsidRPr="00D00F02">
        <w:instrText xml:space="preserve"> </w:instrText>
      </w:r>
      <w:r w:rsidRPr="00D00F02">
        <w:fldChar w:fldCharType="separate"/>
      </w:r>
      <w:r w:rsidR="00B833F1">
        <w:rPr>
          <w:noProof/>
        </w:rPr>
        <w:instrText>4</w:instrText>
      </w:r>
      <w:r w:rsidRPr="00D00F02">
        <w:fldChar w:fldCharType="end"/>
      </w:r>
      <w:r w:rsidRPr="00D00F02">
        <w:instrText xml:space="preserve">" "" </w:instrText>
      </w:r>
      <w:r w:rsidRPr="00D00F02">
        <w:fldChar w:fldCharType="separate"/>
      </w:r>
      <w:bookmarkStart w:id="7985" w:name="_Caption1084"/>
      <w:bookmarkStart w:id="7986" w:name="_Caption2076"/>
      <w:bookmarkStart w:id="7987" w:name="_Caption7396"/>
      <w:bookmarkStart w:id="7988" w:name="_Caption3359"/>
      <w:bookmarkStart w:id="7989" w:name="_Caption7965"/>
      <w:bookmarkStart w:id="7990" w:name="_Caption0841"/>
      <w:bookmarkStart w:id="7991" w:name="_Caption8928"/>
      <w:bookmarkStart w:id="7992" w:name="_Caption6363"/>
      <w:bookmarkStart w:id="7993" w:name="_Caption9257"/>
      <w:bookmarkStart w:id="7994" w:name="_Caption6713"/>
      <w:bookmarkStart w:id="7995" w:name="_Caption5990"/>
      <w:bookmarkStart w:id="7996" w:name="_Caption0817"/>
      <w:bookmarkStart w:id="7997" w:name="_Caption6718"/>
      <w:bookmarkStart w:id="7998" w:name="_Caption8600"/>
      <w:bookmarkStart w:id="7999" w:name="_Caption4426"/>
      <w:bookmarkStart w:id="8000" w:name="_Caption4116"/>
      <w:bookmarkStart w:id="8001" w:name="_Caption1461"/>
      <w:bookmarkStart w:id="8002" w:name="_Caption9728"/>
      <w:bookmarkStart w:id="8003" w:name="_Caption7925"/>
      <w:bookmarkStart w:id="8004" w:name="_Caption1536"/>
      <w:bookmarkStart w:id="8005" w:name="_Caption9400"/>
      <w:bookmarkStart w:id="8006" w:name="_Caption2497"/>
      <w:bookmarkStart w:id="8007" w:name="_Caption2280"/>
      <w:bookmarkStart w:id="8008" w:name="_Caption0678"/>
      <w:bookmarkStart w:id="8009" w:name="_Caption1554"/>
      <w:bookmarkStart w:id="8010" w:name="_Caption5038"/>
      <w:bookmarkStart w:id="8011" w:name="_Caption4349"/>
      <w:bookmarkStart w:id="8012" w:name="_Caption7807"/>
      <w:bookmarkStart w:id="8013" w:name="_Caption1260"/>
      <w:bookmarkStart w:id="8014" w:name="_Caption7792"/>
      <w:bookmarkStart w:id="8015" w:name="_Caption1659"/>
      <w:bookmarkStart w:id="8016" w:name="_Caption3229"/>
      <w:bookmarkStart w:id="8017" w:name="_Caption4706"/>
      <w:bookmarkStart w:id="8018" w:name="_Caption2756"/>
      <w:bookmarkStart w:id="8019" w:name="_Caption3875"/>
      <w:bookmarkStart w:id="8020" w:name="_Caption2427"/>
      <w:bookmarkStart w:id="8021" w:name="_Caption3050"/>
      <w:bookmarkStart w:id="8022" w:name="_Caption3508"/>
      <w:bookmarkStart w:id="8023" w:name="_Caption7505"/>
      <w:bookmarkStart w:id="8024" w:name="_Caption3783"/>
      <w:bookmarkStart w:id="8025" w:name="_Caption8998"/>
      <w:bookmarkStart w:id="8026" w:name="_Caption1885"/>
      <w:bookmarkStart w:id="8027" w:name="_Caption2574"/>
      <w:bookmarkStart w:id="8028" w:name="_Caption0671"/>
      <w:bookmarkStart w:id="8029" w:name="_Caption3096"/>
      <w:bookmarkStart w:id="8030" w:name="_Caption1560"/>
      <w:bookmarkStart w:id="8031" w:name="_Caption2061"/>
      <w:bookmarkStart w:id="8032" w:name="_Caption9292"/>
      <w:bookmarkStart w:id="8033" w:name="_Caption2390"/>
      <w:bookmarkStart w:id="8034" w:name="_Caption8105"/>
      <w:bookmarkStart w:id="8035" w:name="_Caption5132"/>
      <w:bookmarkStart w:id="8036" w:name="_Caption4063"/>
      <w:bookmarkStart w:id="8037" w:name="_Caption6675"/>
      <w:bookmarkStart w:id="8038" w:name="_Caption7814"/>
      <w:bookmarkStart w:id="8039" w:name="_Caption0333"/>
      <w:bookmarkStart w:id="8040" w:name="_Caption1431"/>
      <w:bookmarkStart w:id="8041" w:name="_Caption6374"/>
      <w:bookmarkStart w:id="8042" w:name="_Caption0138"/>
      <w:bookmarkStart w:id="8043" w:name="_Caption1059"/>
      <w:bookmarkStart w:id="8044" w:name="_Caption8812"/>
      <w:bookmarkStart w:id="8045" w:name="_Caption2564"/>
      <w:bookmarkStart w:id="8046" w:name="_Caption8772"/>
      <w:bookmarkStart w:id="8047" w:name="_Caption1320"/>
      <w:bookmarkStart w:id="8048" w:name="_Caption8053"/>
      <w:bookmarkStart w:id="8049" w:name="_Caption6608"/>
      <w:bookmarkStart w:id="8050" w:name="_Caption3956"/>
      <w:bookmarkStart w:id="8051" w:name="_Caption0530"/>
      <w:bookmarkStart w:id="8052" w:name="_Caption8463"/>
      <w:bookmarkStart w:id="8053" w:name="_Caption4094"/>
      <w:bookmarkStart w:id="8054" w:name="_Caption1997"/>
      <w:bookmarkStart w:id="8055" w:name="_Caption5664"/>
      <w:bookmarkStart w:id="8056" w:name="_Caption3046"/>
      <w:bookmarkStart w:id="8057" w:name="_Caption3758"/>
      <w:bookmarkStart w:id="8058" w:name="_Caption2070"/>
      <w:bookmarkStart w:id="8059" w:name="_Caption6823"/>
      <w:bookmarkStart w:id="8060" w:name="_Caption5023"/>
      <w:bookmarkStart w:id="8061" w:name="_Caption1797"/>
      <w:bookmarkStart w:id="8062" w:name="_Caption5289"/>
      <w:bookmarkStart w:id="8063" w:name="_Caption9185"/>
      <w:bookmarkStart w:id="8064" w:name="_Caption5399"/>
      <w:bookmarkStart w:id="8065" w:name="_Caption3848"/>
      <w:bookmarkStart w:id="8066" w:name="_Caption7103"/>
      <w:bookmarkStart w:id="8067" w:name="_Caption8057"/>
      <w:bookmarkStart w:id="8068" w:name="_Caption2382"/>
      <w:bookmarkStart w:id="8069" w:name="_Caption4572"/>
      <w:bookmarkStart w:id="8070" w:name="_Caption3462"/>
      <w:bookmarkStart w:id="8071" w:name="_Caption0095"/>
      <w:bookmarkStart w:id="8072" w:name="_Caption6995"/>
      <w:bookmarkStart w:id="8073" w:name="_Toc509220900"/>
      <w:bookmarkStart w:id="8074" w:name="_Toc529870002"/>
      <w:bookmarkStart w:id="8075" w:name="_Toc530748498"/>
      <w:r w:rsidR="00EA42ED">
        <w:rPr>
          <w:noProof/>
        </w:rPr>
        <w:t>G</w:t>
      </w:r>
      <w:r w:rsidR="00EA42ED" w:rsidRPr="00D00F02">
        <w:rPr>
          <w:noProof/>
        </w:rPr>
        <w:t>.</w:t>
      </w:r>
      <w:r w:rsidR="00EA42ED">
        <w:rPr>
          <w:noProof/>
        </w:rPr>
        <w:t>4</w:t>
      </w:r>
      <w:bookmarkStart w:id="8076" w:name="_Toc507523851"/>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r w:rsidRPr="00D00F02">
        <w:fldChar w:fldCharType="end"/>
      </w:r>
      <w:r w:rsidRPr="00D00F02">
        <w:tab/>
        <w:t>Healthcare building (9aC)</w:t>
      </w:r>
      <w:bookmarkEnd w:id="8073"/>
      <w:bookmarkEnd w:id="8074"/>
      <w:bookmarkEnd w:id="8075"/>
      <w:bookmarkEnd w:id="8076"/>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8"/>
      </w:tblGrid>
      <w:tr w:rsidR="00E75AC2" w:rsidTr="00817952">
        <w:trPr>
          <w:cantSplit/>
        </w:trPr>
        <w:tc>
          <w:tcPr>
            <w:tcW w:w="7938" w:type="dxa"/>
            <w:shd w:val="clear" w:color="auto" w:fill="E9E8E5" w:themeFill="background2"/>
          </w:tcPr>
          <w:p w:rsidR="00E75AC2" w:rsidRDefault="00E75AC2" w:rsidP="00817952">
            <w:pPr>
              <w:pStyle w:val="Chart"/>
              <w:numPr>
                <w:ilvl w:val="0"/>
                <w:numId w:val="7"/>
              </w:numPr>
              <w:spacing w:before="120" w:after="120"/>
              <w:jc w:val="center"/>
            </w:pPr>
            <w:r>
              <w:rPr>
                <w:noProof/>
                <w:lang w:eastAsia="en-AU"/>
              </w:rPr>
              <w:drawing>
                <wp:inline distT="0" distB="0" distL="0" distR="0" wp14:anchorId="55F06502" wp14:editId="025FF1F2">
                  <wp:extent cx="4860000" cy="2535652"/>
                  <wp:effectExtent l="0" t="0" r="0" b="0"/>
                  <wp:docPr id="14" name="Picture 14" descr="This diagram depicts the geometry of a healthcare building - a single storey square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860000" cy="2535652"/>
                          </a:xfrm>
                          <a:prstGeom prst="rect">
                            <a:avLst/>
                          </a:prstGeom>
                        </pic:spPr>
                      </pic:pic>
                    </a:graphicData>
                  </a:graphic>
                </wp:inline>
              </w:drawing>
            </w:r>
          </w:p>
        </w:tc>
      </w:tr>
    </w:tbl>
    <w:p w:rsidR="00E75AC2" w:rsidRDefault="00E75AC2" w:rsidP="00E75AC2">
      <w:pPr>
        <w:pStyle w:val="Source"/>
      </w:pPr>
      <w:r w:rsidRPr="00E75AC2">
        <w:rPr>
          <w:i/>
        </w:rPr>
        <w:t>Source</w:t>
      </w:r>
      <w:r w:rsidRPr="00E75AC2">
        <w:t>:</w:t>
      </w:r>
      <w:r>
        <w:t xml:space="preserve"> </w:t>
      </w:r>
      <w:r w:rsidR="003F28DD">
        <w:t>EA</w:t>
      </w:r>
      <w:r>
        <w:t>.</w:t>
      </w:r>
    </w:p>
    <w:p w:rsidR="00ED7012" w:rsidRPr="00D00F02" w:rsidRDefault="00ED7012" w:rsidP="003F17B1">
      <w:pPr>
        <w:pStyle w:val="Caption"/>
      </w:pPr>
      <w:r w:rsidRPr="00D00F02">
        <w:fldChar w:fldCharType="begin"/>
      </w:r>
      <w:r w:rsidRPr="00D00F02">
        <w:instrText xml:space="preserve"> IF 1 = 1 "</w:instrText>
      </w:r>
      <w:r w:rsidRPr="00D00F02">
        <w:fldChar w:fldCharType="begin"/>
      </w:r>
      <w:r w:rsidRPr="00D00F02">
        <w:instrText xml:space="preserve"> IF </w:instrText>
      </w:r>
      <w:r w:rsidRPr="00D00F02">
        <w:rPr>
          <w:noProof/>
        </w:rPr>
        <w:fldChar w:fldCharType="begin"/>
      </w:r>
      <w:r w:rsidRPr="00D00F02">
        <w:rPr>
          <w:noProof/>
        </w:rPr>
        <w:instrText xml:space="preserve"> STYLEREF "Heading 6" \l \n </w:instrText>
      </w:r>
      <w:r w:rsidRPr="00D00F02">
        <w:rPr>
          <w:noProof/>
        </w:rPr>
        <w:fldChar w:fldCharType="separate"/>
      </w:r>
      <w:r w:rsidR="00B833F1">
        <w:rPr>
          <w:noProof/>
        </w:rPr>
        <w:instrText>G</w:instrText>
      </w:r>
      <w:r w:rsidRPr="00D00F02">
        <w:rPr>
          <w:noProof/>
        </w:rPr>
        <w:fldChar w:fldCharType="end"/>
      </w:r>
      <w:r w:rsidRPr="00D00F02">
        <w:instrText xml:space="preserve"> = 0 "</w:instrText>
      </w:r>
      <w:r w:rsidRPr="00D00F02">
        <w:fldChar w:fldCharType="begin"/>
      </w:r>
      <w:r w:rsidRPr="00D00F02">
        <w:instrText xml:space="preserve"> IF </w:instrText>
      </w:r>
      <w:r w:rsidRPr="00D00F02">
        <w:fldChar w:fldCharType="begin"/>
      </w:r>
      <w:r w:rsidRPr="00D00F02">
        <w:instrText xml:space="preserve"> STYLEREF "Heading 1" \l \n </w:instrText>
      </w:r>
      <w:r w:rsidRPr="00D00F02">
        <w:fldChar w:fldCharType="separate"/>
      </w:r>
      <w:r w:rsidRPr="00D00F02">
        <w:rPr>
          <w:b/>
          <w:bCs/>
          <w:noProof/>
          <w:lang w:val="en-US"/>
        </w:rPr>
        <w:instrText>Error! No text of specified style in document.</w:instrText>
      </w:r>
      <w:r w:rsidRPr="00D00F02">
        <w:rPr>
          <w:noProof/>
        </w:rPr>
        <w:fldChar w:fldCharType="end"/>
      </w:r>
      <w:r w:rsidRPr="00D00F02">
        <w:instrText xml:space="preserve"> = 0 "" "</w:instrText>
      </w:r>
      <w:r w:rsidRPr="00D00F02">
        <w:fldChar w:fldCharType="begin"/>
      </w:r>
      <w:r w:rsidRPr="00D00F02">
        <w:instrText xml:space="preserve"> STYLEREF "Heading 1" \l \n </w:instrText>
      </w:r>
      <w:r w:rsidRPr="00D00F02">
        <w:fldChar w:fldCharType="separate"/>
      </w:r>
      <w:r w:rsidRPr="00D00F02">
        <w:rPr>
          <w:b/>
          <w:bCs/>
          <w:noProof/>
          <w:lang w:val="en-US"/>
        </w:rPr>
        <w:instrText>Error! No text of specified style in document.</w:instrText>
      </w:r>
      <w:r w:rsidRPr="00D00F02">
        <w:rPr>
          <w:noProof/>
        </w:rPr>
        <w:fldChar w:fldCharType="end"/>
      </w:r>
      <w:r w:rsidRPr="00D00F02">
        <w:instrText xml:space="preserve">." </w:instrText>
      </w:r>
      <w:r w:rsidRPr="00D00F02">
        <w:fldChar w:fldCharType="separate"/>
      </w:r>
      <w:r w:rsidRPr="00D00F02">
        <w:rPr>
          <w:b/>
          <w:bCs/>
          <w:noProof/>
          <w:lang w:val="en-US"/>
        </w:rPr>
        <w:instrText>Error! No text of specified style in document.</w:instrText>
      </w:r>
      <w:r w:rsidRPr="00D00F02">
        <w:rPr>
          <w:noProof/>
        </w:rPr>
        <w:instrText>.</w:instrText>
      </w:r>
      <w:r w:rsidRPr="00D00F02">
        <w:fldChar w:fldCharType="end"/>
      </w:r>
      <w:r w:rsidRPr="00D00F02">
        <w:instrText>" "</w:instrText>
      </w:r>
      <w:r w:rsidRPr="00D00F02">
        <w:rPr>
          <w:noProof/>
        </w:rPr>
        <w:fldChar w:fldCharType="begin"/>
      </w:r>
      <w:r w:rsidRPr="00D00F02">
        <w:rPr>
          <w:noProof/>
        </w:rPr>
        <w:instrText xml:space="preserve"> STYLEREF "Heading 6" \l \n </w:instrText>
      </w:r>
      <w:r w:rsidRPr="00D00F02">
        <w:rPr>
          <w:noProof/>
        </w:rPr>
        <w:fldChar w:fldCharType="separate"/>
      </w:r>
      <w:r w:rsidR="00B833F1">
        <w:rPr>
          <w:noProof/>
        </w:rPr>
        <w:instrText>G</w:instrText>
      </w:r>
      <w:r w:rsidRPr="00D00F02">
        <w:rPr>
          <w:noProof/>
        </w:rPr>
        <w:fldChar w:fldCharType="end"/>
      </w:r>
      <w:r w:rsidRPr="00D00F02">
        <w:instrText xml:space="preserve">." </w:instrText>
      </w:r>
      <w:r w:rsidRPr="00D00F02">
        <w:fldChar w:fldCharType="separate"/>
      </w:r>
      <w:r w:rsidR="00B833F1">
        <w:rPr>
          <w:noProof/>
        </w:rPr>
        <w:instrText>G</w:instrText>
      </w:r>
      <w:r w:rsidR="00B833F1" w:rsidRPr="00D00F02">
        <w:rPr>
          <w:noProof/>
        </w:rPr>
        <w:instrText>.</w:instrText>
      </w:r>
      <w:r w:rsidRPr="00D00F02">
        <w:fldChar w:fldCharType="end"/>
      </w:r>
      <w:r w:rsidRPr="00D00F02">
        <w:fldChar w:fldCharType="begin"/>
      </w:r>
      <w:r w:rsidRPr="00D00F02">
        <w:instrText xml:space="preserve"> SEQ Item \* ARABIC \s </w:instrText>
      </w:r>
      <w:r w:rsidRPr="00D00F02">
        <w:fldChar w:fldCharType="begin"/>
      </w:r>
      <w:r w:rsidRPr="00D00F02">
        <w:instrText xml:space="preserve"> IF </w:instrText>
      </w:r>
      <w:r w:rsidRPr="00D00F02">
        <w:rPr>
          <w:noProof/>
        </w:rPr>
        <w:fldChar w:fldCharType="begin"/>
      </w:r>
      <w:r w:rsidRPr="00D00F02">
        <w:rPr>
          <w:noProof/>
        </w:rPr>
        <w:instrText xml:space="preserve"> STYLEREF "Heading 6" \l \n </w:instrText>
      </w:r>
      <w:r w:rsidRPr="00D00F02">
        <w:rPr>
          <w:noProof/>
        </w:rPr>
        <w:fldChar w:fldCharType="separate"/>
      </w:r>
      <w:r w:rsidR="00B833F1">
        <w:rPr>
          <w:noProof/>
        </w:rPr>
        <w:instrText>G</w:instrText>
      </w:r>
      <w:r w:rsidRPr="00D00F02">
        <w:rPr>
          <w:noProof/>
        </w:rPr>
        <w:fldChar w:fldCharType="end"/>
      </w:r>
      <w:r w:rsidRPr="00D00F02">
        <w:instrText xml:space="preserve"> = 0 "</w:instrText>
      </w:r>
      <w:r w:rsidRPr="00D00F02">
        <w:fldChar w:fldCharType="begin"/>
      </w:r>
      <w:r w:rsidRPr="00D00F02">
        <w:instrText xml:space="preserve"> IF </w:instrText>
      </w:r>
      <w:r w:rsidRPr="00D00F02">
        <w:fldChar w:fldCharType="begin"/>
      </w:r>
      <w:r w:rsidRPr="00D00F02">
        <w:instrText xml:space="preserve"> STYLEREF "Heading 1" \l \n </w:instrText>
      </w:r>
      <w:r w:rsidRPr="00D00F02">
        <w:fldChar w:fldCharType="separate"/>
      </w:r>
      <w:r w:rsidRPr="00D00F02">
        <w:rPr>
          <w:b/>
          <w:bCs/>
          <w:noProof/>
          <w:lang w:val="en-US"/>
        </w:rPr>
        <w:instrText>Error! No text of specified style in document.</w:instrText>
      </w:r>
      <w:r w:rsidRPr="00D00F02">
        <w:rPr>
          <w:noProof/>
        </w:rPr>
        <w:fldChar w:fldCharType="end"/>
      </w:r>
      <w:r w:rsidRPr="00D00F02">
        <w:instrText xml:space="preserve"> = 0 "" "1" </w:instrText>
      </w:r>
      <w:r w:rsidRPr="00D00F02">
        <w:fldChar w:fldCharType="separate"/>
      </w:r>
      <w:r w:rsidRPr="00D00F02">
        <w:rPr>
          <w:noProof/>
        </w:rPr>
        <w:instrText>1</w:instrText>
      </w:r>
      <w:r w:rsidRPr="00D00F02">
        <w:fldChar w:fldCharType="end"/>
      </w:r>
      <w:r w:rsidRPr="00D00F02">
        <w:instrText xml:space="preserve">" "6" </w:instrText>
      </w:r>
      <w:r w:rsidRPr="00D00F02">
        <w:fldChar w:fldCharType="separate"/>
      </w:r>
      <w:r w:rsidR="00B833F1" w:rsidRPr="00D00F02">
        <w:rPr>
          <w:noProof/>
        </w:rPr>
        <w:instrText>6</w:instrText>
      </w:r>
      <w:r w:rsidRPr="00D00F02">
        <w:fldChar w:fldCharType="end"/>
      </w:r>
      <w:r w:rsidRPr="00D00F02">
        <w:instrText xml:space="preserve"> </w:instrText>
      </w:r>
      <w:r w:rsidRPr="00D00F02">
        <w:fldChar w:fldCharType="separate"/>
      </w:r>
      <w:r w:rsidR="00B833F1">
        <w:rPr>
          <w:noProof/>
        </w:rPr>
        <w:instrText>5</w:instrText>
      </w:r>
      <w:r w:rsidRPr="00D00F02">
        <w:fldChar w:fldCharType="end"/>
      </w:r>
      <w:r w:rsidRPr="00D00F02">
        <w:instrText xml:space="preserve">" "" </w:instrText>
      </w:r>
      <w:r w:rsidRPr="00D00F02">
        <w:fldChar w:fldCharType="separate"/>
      </w:r>
      <w:bookmarkStart w:id="8077" w:name="_Caption8560"/>
      <w:bookmarkStart w:id="8078" w:name="_Caption9188"/>
      <w:bookmarkStart w:id="8079" w:name="_Caption0213"/>
      <w:bookmarkStart w:id="8080" w:name="_Caption4788"/>
      <w:bookmarkStart w:id="8081" w:name="_Caption1169"/>
      <w:bookmarkStart w:id="8082" w:name="_Caption3069"/>
      <w:bookmarkStart w:id="8083" w:name="_Caption6980"/>
      <w:bookmarkStart w:id="8084" w:name="_Caption4027"/>
      <w:bookmarkStart w:id="8085" w:name="_Caption7493"/>
      <w:bookmarkStart w:id="8086" w:name="_Caption4764"/>
      <w:bookmarkStart w:id="8087" w:name="_Caption1758"/>
      <w:bookmarkStart w:id="8088" w:name="_Caption0273"/>
      <w:bookmarkStart w:id="8089" w:name="_Caption8175"/>
      <w:bookmarkStart w:id="8090" w:name="_Caption9685"/>
      <w:bookmarkStart w:id="8091" w:name="_Caption7201"/>
      <w:bookmarkStart w:id="8092" w:name="_Caption0526"/>
      <w:bookmarkStart w:id="8093" w:name="_Caption8798"/>
      <w:bookmarkStart w:id="8094" w:name="_Caption8014"/>
      <w:bookmarkStart w:id="8095" w:name="_Caption6443"/>
      <w:bookmarkStart w:id="8096" w:name="_Caption3294"/>
      <w:bookmarkStart w:id="8097" w:name="_Caption8161"/>
      <w:bookmarkStart w:id="8098" w:name="_Caption1860"/>
      <w:bookmarkStart w:id="8099" w:name="_Caption6495"/>
      <w:bookmarkStart w:id="8100" w:name="_Caption3483"/>
      <w:bookmarkStart w:id="8101" w:name="_Caption2978"/>
      <w:bookmarkStart w:id="8102" w:name="_Caption8227"/>
      <w:bookmarkStart w:id="8103" w:name="_Caption0888"/>
      <w:bookmarkStart w:id="8104" w:name="_Caption3580"/>
      <w:bookmarkStart w:id="8105" w:name="_Caption9052"/>
      <w:bookmarkStart w:id="8106" w:name="_Caption8069"/>
      <w:bookmarkStart w:id="8107" w:name="_Caption0872"/>
      <w:bookmarkStart w:id="8108" w:name="_Caption1722"/>
      <w:bookmarkStart w:id="8109" w:name="_Caption0834"/>
      <w:bookmarkStart w:id="8110" w:name="_Caption0076"/>
      <w:bookmarkStart w:id="8111" w:name="_Caption9791"/>
      <w:bookmarkStart w:id="8112" w:name="_Caption0511"/>
      <w:bookmarkStart w:id="8113" w:name="_Caption5623"/>
      <w:bookmarkStart w:id="8114" w:name="_Caption7313"/>
      <w:bookmarkStart w:id="8115" w:name="_Toc529870003"/>
      <w:bookmarkStart w:id="8116" w:name="_Toc530748499"/>
      <w:r w:rsidR="00EA42ED">
        <w:rPr>
          <w:noProof/>
        </w:rPr>
        <w:t>G</w:t>
      </w:r>
      <w:r w:rsidR="00EA42ED" w:rsidRPr="00D00F02">
        <w:rPr>
          <w:noProof/>
        </w:rPr>
        <w:t>.</w:t>
      </w:r>
      <w:r w:rsidR="00EA42ED">
        <w:rPr>
          <w:noProof/>
        </w:rPr>
        <w:t>5</w:t>
      </w:r>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r w:rsidRPr="00D00F02">
        <w:fldChar w:fldCharType="end"/>
      </w:r>
      <w:r w:rsidRPr="00D00F02">
        <w:tab/>
        <w:t>School building (9bH)</w:t>
      </w:r>
      <w:bookmarkEnd w:id="8115"/>
      <w:bookmarkEnd w:id="8116"/>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8"/>
      </w:tblGrid>
      <w:tr w:rsidR="00ED7012" w:rsidTr="003F17B1">
        <w:trPr>
          <w:cantSplit/>
        </w:trPr>
        <w:tc>
          <w:tcPr>
            <w:tcW w:w="7938" w:type="dxa"/>
            <w:shd w:val="clear" w:color="auto" w:fill="E9E8E5" w:themeFill="background2"/>
          </w:tcPr>
          <w:p w:rsidR="00ED7012" w:rsidRDefault="00ED7012" w:rsidP="00E8171E">
            <w:pPr>
              <w:pStyle w:val="Chart"/>
              <w:spacing w:before="120" w:after="120"/>
              <w:jc w:val="center"/>
            </w:pPr>
            <w:r>
              <w:rPr>
                <w:noProof/>
                <w:lang w:eastAsia="en-AU"/>
              </w:rPr>
              <w:drawing>
                <wp:inline distT="0" distB="0" distL="0" distR="0" wp14:anchorId="35D179D3" wp14:editId="403B743D">
                  <wp:extent cx="4860000" cy="2277551"/>
                  <wp:effectExtent l="0" t="0" r="0" b="8890"/>
                  <wp:docPr id="15" name="Picture 15" descr="This diagram depicts the geometry of a school building - a 3-storey H-shaped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5E09DC9.tmp"/>
                          <pic:cNvPicPr/>
                        </pic:nvPicPr>
                        <pic:blipFill>
                          <a:blip r:embed="rId78">
                            <a:extLst>
                              <a:ext uri="{28A0092B-C50C-407E-A947-70E740481C1C}">
                                <a14:useLocalDpi xmlns:a14="http://schemas.microsoft.com/office/drawing/2010/main" val="0"/>
                              </a:ext>
                            </a:extLst>
                          </a:blip>
                          <a:stretch>
                            <a:fillRect/>
                          </a:stretch>
                        </pic:blipFill>
                        <pic:spPr>
                          <a:xfrm>
                            <a:off x="0" y="0"/>
                            <a:ext cx="4860000" cy="2277551"/>
                          </a:xfrm>
                          <a:prstGeom prst="rect">
                            <a:avLst/>
                          </a:prstGeom>
                        </pic:spPr>
                      </pic:pic>
                    </a:graphicData>
                  </a:graphic>
                </wp:inline>
              </w:drawing>
            </w:r>
          </w:p>
        </w:tc>
      </w:tr>
    </w:tbl>
    <w:p w:rsidR="00ED7012" w:rsidRDefault="00ED7012" w:rsidP="003F17B1">
      <w:pPr>
        <w:pStyle w:val="Source"/>
      </w:pPr>
      <w:r>
        <w:rPr>
          <w:i/>
        </w:rPr>
        <w:t>Data source</w:t>
      </w:r>
      <w:r w:rsidRPr="00A67576">
        <w:rPr>
          <w:i/>
        </w:rPr>
        <w:t>:</w:t>
      </w:r>
      <w:r>
        <w:t xml:space="preserve"> </w:t>
      </w:r>
      <w:r w:rsidR="003F28DD">
        <w:t>EA</w:t>
      </w:r>
      <w:r>
        <w:t>.</w:t>
      </w:r>
    </w:p>
    <w:p w:rsidR="00612FD3" w:rsidRDefault="00612FD3" w:rsidP="000C67AD">
      <w:pPr>
        <w:pStyle w:val="Heading7"/>
        <w:rPr>
          <w:lang w:val="en-GB"/>
        </w:rPr>
      </w:pPr>
      <w:bookmarkStart w:id="8117" w:name="_Toc509220827"/>
      <w:r>
        <w:rPr>
          <w:lang w:val="en-GB"/>
        </w:rPr>
        <w:t>Window-to-wall ratios</w:t>
      </w:r>
      <w:bookmarkEnd w:id="8117"/>
    </w:p>
    <w:p w:rsidR="00612FD3" w:rsidRDefault="00612FD3" w:rsidP="00612FD3">
      <w:pPr>
        <w:pStyle w:val="BodyText"/>
        <w:rPr>
          <w:lang w:val="en-GB"/>
        </w:rPr>
      </w:pPr>
      <w:r>
        <w:rPr>
          <w:lang w:val="en-GB"/>
        </w:rPr>
        <w:t xml:space="preserve">A key factor driving the results is the window-to-wall ratio (WWR). </w:t>
      </w:r>
      <w:r w:rsidR="00010447">
        <w:rPr>
          <w:lang w:val="en-GB"/>
        </w:rPr>
        <w:t>WWRs can vary significantly across building. As the building archetypes modelled are intended to be broadly representative of the various commercial building types, t</w:t>
      </w:r>
      <w:r>
        <w:rPr>
          <w:lang w:val="en-GB"/>
        </w:rPr>
        <w:t xml:space="preserve">he WWRs used in the modelling </w:t>
      </w:r>
      <w:r w:rsidR="00010447">
        <w:rPr>
          <w:lang w:val="en-GB"/>
        </w:rPr>
        <w:t xml:space="preserve">generally reflect the average of the </w:t>
      </w:r>
      <w:r w:rsidR="003F28DD">
        <w:rPr>
          <w:lang w:val="en-GB"/>
        </w:rPr>
        <w:t>EA</w:t>
      </w:r>
      <w:r w:rsidR="00010447">
        <w:rPr>
          <w:lang w:val="en-GB"/>
        </w:rPr>
        <w:t>’s survey sample (</w:t>
      </w:r>
      <w:r>
        <w:rPr>
          <w:lang w:val="en-GB"/>
        </w:rPr>
        <w:t>table </w:t>
      </w:r>
      <w:r>
        <w:rPr>
          <w:lang w:val="en-GB"/>
        </w:rPr>
        <w:fldChar w:fldCharType="begin"/>
      </w:r>
      <w:r>
        <w:rPr>
          <w:lang w:val="en-GB"/>
        </w:rPr>
        <w:instrText xml:space="preserve"> REF _Caption8235 </w:instrText>
      </w:r>
      <w:r>
        <w:rPr>
          <w:lang w:val="en-GB"/>
        </w:rPr>
        <w:fldChar w:fldCharType="separate"/>
      </w:r>
      <w:r w:rsidR="006B79B8">
        <w:rPr>
          <w:noProof/>
        </w:rPr>
        <w:t>G</w:t>
      </w:r>
      <w:r w:rsidR="006B79B8" w:rsidRPr="00695C93">
        <w:rPr>
          <w:noProof/>
        </w:rPr>
        <w:t>.</w:t>
      </w:r>
      <w:r w:rsidR="006B79B8">
        <w:rPr>
          <w:noProof/>
        </w:rPr>
        <w:t>6</w:t>
      </w:r>
      <w:r>
        <w:rPr>
          <w:lang w:val="en-GB"/>
        </w:rPr>
        <w:fldChar w:fldCharType="end"/>
      </w:r>
      <w:r w:rsidR="00010447">
        <w:rPr>
          <w:lang w:val="en-GB"/>
        </w:rPr>
        <w:t>)</w:t>
      </w:r>
      <w:r>
        <w:rPr>
          <w:lang w:val="en-GB"/>
        </w:rPr>
        <w:t>.</w:t>
      </w:r>
    </w:p>
    <w:p w:rsidR="00010447" w:rsidRDefault="00010447" w:rsidP="00612FD3">
      <w:pPr>
        <w:pStyle w:val="BodyText"/>
        <w:rPr>
          <w:lang w:val="en-GB"/>
        </w:rPr>
      </w:pPr>
      <w:r>
        <w:rPr>
          <w:lang w:val="en-GB"/>
        </w:rPr>
        <w:t>In various consultations, there were some concerns from industry in relation to compliance costs for premium office buildings, which tend to be more extensively glazed than</w:t>
      </w:r>
      <w:r w:rsidR="00096FFE">
        <w:rPr>
          <w:lang w:val="en-GB"/>
        </w:rPr>
        <w:t xml:space="preserve"> other types of commercial buildings. </w:t>
      </w:r>
      <w:r w:rsidR="00613AA4">
        <w:rPr>
          <w:lang w:val="en-GB"/>
        </w:rPr>
        <w:t>To address these concerns</w:t>
      </w:r>
      <w:r w:rsidR="00096FFE">
        <w:rPr>
          <w:lang w:val="en-GB"/>
        </w:rPr>
        <w:t xml:space="preserve">, </w:t>
      </w:r>
      <w:r w:rsidR="003F28DD">
        <w:rPr>
          <w:lang w:val="en-GB"/>
        </w:rPr>
        <w:t>EA</w:t>
      </w:r>
      <w:r w:rsidR="00096FFE">
        <w:rPr>
          <w:lang w:val="en-GB"/>
        </w:rPr>
        <w:t xml:space="preserve"> also modelled an office building with a higher WWR</w:t>
      </w:r>
      <w:r w:rsidR="00613AA4">
        <w:rPr>
          <w:lang w:val="en-GB"/>
        </w:rPr>
        <w:t xml:space="preserve"> as a sensitivity test</w:t>
      </w:r>
      <w:r w:rsidR="00096FFE">
        <w:rPr>
          <w:lang w:val="en-GB"/>
        </w:rPr>
        <w:t>.</w:t>
      </w:r>
    </w:p>
    <w:p w:rsidR="009C3E3C" w:rsidRDefault="003F28DD" w:rsidP="00612FD3">
      <w:pPr>
        <w:pStyle w:val="BodyText"/>
        <w:rPr>
          <w:lang w:val="en-GB"/>
        </w:rPr>
      </w:pPr>
      <w:r>
        <w:rPr>
          <w:lang w:val="en-GB"/>
        </w:rPr>
        <w:t>EA</w:t>
      </w:r>
      <w:r w:rsidR="009C3E3C">
        <w:rPr>
          <w:lang w:val="en-GB"/>
        </w:rPr>
        <w:t xml:space="preserve">’s modelling suggested that </w:t>
      </w:r>
      <w:r w:rsidR="00613AA4">
        <w:rPr>
          <w:lang w:val="en-GB"/>
        </w:rPr>
        <w:t xml:space="preserve">the highest WWR </w:t>
      </w:r>
      <w:r w:rsidR="009C3E3C">
        <w:rPr>
          <w:lang w:val="en-GB"/>
        </w:rPr>
        <w:t>achievable through the DTS pathway</w:t>
      </w:r>
      <w:r w:rsidR="00613AA4">
        <w:rPr>
          <w:lang w:val="en-GB"/>
        </w:rPr>
        <w:t xml:space="preserve"> </w:t>
      </w:r>
      <w:r w:rsidR="009C3E3C">
        <w:rPr>
          <w:lang w:val="en-GB"/>
        </w:rPr>
        <w:t xml:space="preserve">for the 5A archetype </w:t>
      </w:r>
      <w:r w:rsidR="00613AA4">
        <w:rPr>
          <w:lang w:val="en-GB"/>
        </w:rPr>
        <w:t xml:space="preserve">under the current code </w:t>
      </w:r>
      <w:r w:rsidR="009C3E3C">
        <w:rPr>
          <w:lang w:val="en-GB"/>
        </w:rPr>
        <w:t>is:</w:t>
      </w:r>
    </w:p>
    <w:p w:rsidR="00613AA4" w:rsidRDefault="009C3E3C" w:rsidP="009C3E3C">
      <w:pPr>
        <w:pStyle w:val="ListBullet"/>
        <w:rPr>
          <w:lang w:val="en-GB"/>
        </w:rPr>
      </w:pPr>
      <w:r>
        <w:rPr>
          <w:lang w:val="en-GB"/>
        </w:rPr>
        <w:t xml:space="preserve">around </w:t>
      </w:r>
      <w:r w:rsidR="00613AA4">
        <w:rPr>
          <w:lang w:val="en-GB"/>
        </w:rPr>
        <w:t>56</w:t>
      </w:r>
      <w:r>
        <w:rPr>
          <w:lang w:val="en-GB"/>
        </w:rPr>
        <w:t xml:space="preserve"> per cent for most </w:t>
      </w:r>
      <w:r w:rsidR="00E31EE8">
        <w:rPr>
          <w:lang w:val="en-GB"/>
        </w:rPr>
        <w:t>Climate Zone</w:t>
      </w:r>
      <w:r>
        <w:rPr>
          <w:lang w:val="en-GB"/>
        </w:rPr>
        <w:t>s; and</w:t>
      </w:r>
    </w:p>
    <w:p w:rsidR="009C3E3C" w:rsidRDefault="009C3E3C" w:rsidP="009C3E3C">
      <w:pPr>
        <w:pStyle w:val="ListBullet"/>
        <w:rPr>
          <w:lang w:val="en-GB"/>
        </w:rPr>
      </w:pPr>
      <w:r>
        <w:rPr>
          <w:lang w:val="en-GB"/>
        </w:rPr>
        <w:t xml:space="preserve">around 50 per cent for </w:t>
      </w:r>
      <w:r w:rsidR="00E31EE8">
        <w:rPr>
          <w:lang w:val="en-GB"/>
        </w:rPr>
        <w:t>Climate Zone</w:t>
      </w:r>
      <w:r>
        <w:rPr>
          <w:lang w:val="en-GB"/>
        </w:rPr>
        <w:t xml:space="preserve"> 7.</w:t>
      </w:r>
    </w:p>
    <w:p w:rsidR="009C3E3C" w:rsidRDefault="009C3E3C" w:rsidP="00612FD3">
      <w:pPr>
        <w:pStyle w:val="BodyText"/>
        <w:rPr>
          <w:lang w:val="en-GB"/>
        </w:rPr>
      </w:pPr>
      <w:r>
        <w:rPr>
          <w:lang w:val="en-GB"/>
        </w:rPr>
        <w:t>As the modelling is based on compliance through the DTS pathway, these maximum WWRs were used. Note that higher WWRs were possible under the revised code, suggesting that the revised code offers more flexibility with regard to glazing choices through the DTS pathway than the existing code.</w:t>
      </w:r>
    </w:p>
    <w:p w:rsidR="00612FD3" w:rsidRDefault="00612FD3" w:rsidP="00612FD3">
      <w:pPr>
        <w:pStyle w:val="Caption"/>
      </w:pPr>
      <w:r w:rsidRPr="00695C93">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sidR="00B833F1">
        <w:rPr>
          <w:noProof/>
        </w:rPr>
        <w:instrText>G</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0</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w:instrText>
      </w:r>
      <w:r w:rsidRPr="00695C93">
        <w:fldChar w:fldCharType="end"/>
      </w:r>
      <w:r w:rsidRPr="00695C93">
        <w:instrText>" "</w:instrText>
      </w:r>
      <w:r>
        <w:rPr>
          <w:noProof/>
        </w:rPr>
        <w:fldChar w:fldCharType="begin"/>
      </w:r>
      <w:r>
        <w:rPr>
          <w:noProof/>
        </w:rPr>
        <w:instrText xml:space="preserve"> STYLEREF "Heading 6" \l \n </w:instrText>
      </w:r>
      <w:r>
        <w:rPr>
          <w:noProof/>
        </w:rPr>
        <w:fldChar w:fldCharType="separate"/>
      </w:r>
      <w:r w:rsidR="00B833F1">
        <w:rPr>
          <w:noProof/>
        </w:rPr>
        <w:instrText>G</w:instrText>
      </w:r>
      <w:r>
        <w:rPr>
          <w:noProof/>
        </w:rPr>
        <w:fldChar w:fldCharType="end"/>
      </w:r>
      <w:r w:rsidRPr="00695C93">
        <w:instrText xml:space="preserve">." </w:instrText>
      </w:r>
      <w:r w:rsidRPr="00695C93">
        <w:fldChar w:fldCharType="separate"/>
      </w:r>
      <w:r w:rsidR="00B833F1">
        <w:rPr>
          <w:noProof/>
        </w:rPr>
        <w:instrText>G</w:instrText>
      </w:r>
      <w:r w:rsidR="00B833F1" w:rsidRPr="00695C93">
        <w:rPr>
          <w:noProof/>
        </w:rPr>
        <w:instrText>.</w:instrText>
      </w:r>
      <w:r w:rsidRPr="00695C93">
        <w:fldChar w:fldCharType="end"/>
      </w:r>
      <w:r w:rsidR="000C67AD">
        <w:instrText>6</w:instrText>
      </w:r>
      <w:r w:rsidRPr="00695C93">
        <w:instrText xml:space="preserve">" "" </w:instrText>
      </w:r>
      <w:r w:rsidRPr="00695C93">
        <w:fldChar w:fldCharType="separate"/>
      </w:r>
      <w:bookmarkStart w:id="8118" w:name="_Caption0590"/>
      <w:bookmarkStart w:id="8119" w:name="_Caption9523"/>
      <w:bookmarkStart w:id="8120" w:name="_Caption7046"/>
      <w:bookmarkStart w:id="8121" w:name="_Caption1422"/>
      <w:bookmarkStart w:id="8122" w:name="_Caption4241"/>
      <w:bookmarkStart w:id="8123" w:name="_Caption9865"/>
      <w:bookmarkStart w:id="8124" w:name="_Caption4910"/>
      <w:bookmarkStart w:id="8125" w:name="_Caption5309"/>
      <w:bookmarkStart w:id="8126" w:name="_Caption3409"/>
      <w:bookmarkStart w:id="8127" w:name="_Caption3696"/>
      <w:bookmarkStart w:id="8128" w:name="_Caption5802"/>
      <w:bookmarkStart w:id="8129" w:name="_Caption4179"/>
      <w:bookmarkStart w:id="8130" w:name="_Caption6825"/>
      <w:bookmarkStart w:id="8131" w:name="_Caption0081"/>
      <w:bookmarkStart w:id="8132" w:name="_Caption0688"/>
      <w:bookmarkStart w:id="8133" w:name="_Caption0900"/>
      <w:bookmarkStart w:id="8134" w:name="_Caption2189"/>
      <w:bookmarkStart w:id="8135" w:name="_Caption2358"/>
      <w:bookmarkStart w:id="8136" w:name="_Caption3347"/>
      <w:bookmarkStart w:id="8137" w:name="_Caption4888"/>
      <w:bookmarkStart w:id="8138" w:name="_Caption1043"/>
      <w:bookmarkStart w:id="8139" w:name="_Caption1750"/>
      <w:bookmarkStart w:id="8140" w:name="_Caption8449"/>
      <w:bookmarkStart w:id="8141" w:name="_Caption6579"/>
      <w:bookmarkStart w:id="8142" w:name="_Caption4559"/>
      <w:bookmarkStart w:id="8143" w:name="_Caption0806"/>
      <w:bookmarkStart w:id="8144" w:name="_Caption9329"/>
      <w:bookmarkStart w:id="8145" w:name="_Caption2267"/>
      <w:bookmarkStart w:id="8146" w:name="_Caption7695"/>
      <w:bookmarkStart w:id="8147" w:name="_Caption8153"/>
      <w:bookmarkStart w:id="8148" w:name="_Caption7239"/>
      <w:bookmarkStart w:id="8149" w:name="_Caption5859"/>
      <w:bookmarkStart w:id="8150" w:name="_Caption5347"/>
      <w:bookmarkStart w:id="8151" w:name="_Caption2143"/>
      <w:bookmarkStart w:id="8152" w:name="_Caption3008"/>
      <w:bookmarkStart w:id="8153" w:name="_Caption4182"/>
      <w:bookmarkStart w:id="8154" w:name="_Caption7459"/>
      <w:bookmarkStart w:id="8155" w:name="_Caption1076"/>
      <w:bookmarkStart w:id="8156" w:name="_Caption3893"/>
      <w:bookmarkStart w:id="8157" w:name="_Caption2237"/>
      <w:bookmarkStart w:id="8158" w:name="_Caption5315"/>
      <w:bookmarkStart w:id="8159" w:name="_Caption4102"/>
      <w:bookmarkStart w:id="8160" w:name="_Caption4953"/>
      <w:bookmarkStart w:id="8161" w:name="_Caption8235"/>
      <w:bookmarkStart w:id="8162" w:name="_Caption7665"/>
      <w:bookmarkStart w:id="8163" w:name="_Caption3244"/>
      <w:bookmarkStart w:id="8164" w:name="_Caption3573"/>
      <w:bookmarkStart w:id="8165" w:name="_Caption8322"/>
      <w:bookmarkStart w:id="8166" w:name="_Caption1894"/>
      <w:bookmarkStart w:id="8167" w:name="_Caption9509"/>
      <w:bookmarkStart w:id="8168" w:name="_Caption6735"/>
      <w:bookmarkStart w:id="8169" w:name="_Caption7335"/>
      <w:bookmarkStart w:id="8170" w:name="_Caption1954"/>
      <w:bookmarkStart w:id="8171" w:name="_Caption3818"/>
      <w:bookmarkStart w:id="8172" w:name="_Caption5662"/>
      <w:bookmarkStart w:id="8173" w:name="_Caption5977"/>
      <w:bookmarkStart w:id="8174" w:name="_Caption5061"/>
      <w:bookmarkStart w:id="8175" w:name="_Caption7868"/>
      <w:bookmarkStart w:id="8176" w:name="_Caption3961"/>
      <w:bookmarkStart w:id="8177" w:name="_Caption2360"/>
      <w:bookmarkStart w:id="8178" w:name="_Caption4467"/>
      <w:bookmarkStart w:id="8179" w:name="_Caption3833"/>
      <w:bookmarkStart w:id="8180" w:name="_Caption1799"/>
      <w:bookmarkStart w:id="8181" w:name="_Caption5791"/>
      <w:bookmarkStart w:id="8182" w:name="_Caption9163"/>
      <w:bookmarkStart w:id="8183" w:name="_Caption2140"/>
      <w:bookmarkStart w:id="8184" w:name="_Caption5453"/>
      <w:bookmarkStart w:id="8185" w:name="_Caption4088"/>
      <w:bookmarkStart w:id="8186" w:name="_Caption9880"/>
      <w:bookmarkStart w:id="8187" w:name="_Caption4873"/>
      <w:bookmarkStart w:id="8188" w:name="_Caption2317"/>
      <w:bookmarkStart w:id="8189" w:name="_Caption2674"/>
      <w:bookmarkStart w:id="8190" w:name="_Caption1616"/>
      <w:bookmarkStart w:id="8191" w:name="_Caption8673"/>
      <w:bookmarkStart w:id="8192" w:name="_Caption5892"/>
      <w:bookmarkStart w:id="8193" w:name="_Caption2430"/>
      <w:bookmarkStart w:id="8194" w:name="_Caption4708"/>
      <w:bookmarkStart w:id="8195" w:name="_Caption3321"/>
      <w:bookmarkStart w:id="8196" w:name="_Caption5010"/>
      <w:bookmarkStart w:id="8197" w:name="_Caption3984"/>
      <w:bookmarkStart w:id="8198" w:name="_Caption0101"/>
      <w:bookmarkStart w:id="8199" w:name="_Caption9435"/>
      <w:bookmarkStart w:id="8200" w:name="_Toc509220901"/>
      <w:bookmarkStart w:id="8201" w:name="_Toc529870004"/>
      <w:bookmarkStart w:id="8202" w:name="_Toc530748500"/>
      <w:r w:rsidR="00EA42ED">
        <w:rPr>
          <w:noProof/>
        </w:rPr>
        <w:t>G</w:t>
      </w:r>
      <w:r w:rsidR="00EA42ED" w:rsidRPr="00695C93">
        <w:rPr>
          <w:noProof/>
        </w:rPr>
        <w:t>.</w:t>
      </w:r>
      <w:r w:rsidR="00EA42ED">
        <w:rPr>
          <w:noProof/>
        </w:rPr>
        <w:t>6</w:t>
      </w:r>
      <w:bookmarkStart w:id="8203" w:name="_Toc507523852"/>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r w:rsidRPr="00695C93">
        <w:fldChar w:fldCharType="end"/>
      </w:r>
      <w:r w:rsidRPr="00695C93">
        <w:tab/>
      </w:r>
      <w:r>
        <w:t>Baseline window-to-wall ratios</w:t>
      </w:r>
      <w:bookmarkEnd w:id="8200"/>
      <w:bookmarkEnd w:id="8201"/>
      <w:bookmarkEnd w:id="8202"/>
      <w:bookmarkEnd w:id="8203"/>
    </w:p>
    <w:tbl>
      <w:tblPr>
        <w:tblW w:w="7996" w:type="dxa"/>
        <w:tblLayout w:type="fixed"/>
        <w:tblLook w:val="0000" w:firstRow="0" w:lastRow="0" w:firstColumn="0" w:lastColumn="0" w:noHBand="0" w:noVBand="0"/>
        <w:tblCaption w:val="Table G.6: Baseline WWRs "/>
        <w:tblDescription w:val="This table shows the baseline WWRs used by Energy Action. "/>
      </w:tblPr>
      <w:tblGrid>
        <w:gridCol w:w="2580"/>
        <w:gridCol w:w="1083"/>
        <w:gridCol w:w="1083"/>
        <w:gridCol w:w="1083"/>
        <w:gridCol w:w="1083"/>
        <w:gridCol w:w="1084"/>
      </w:tblGrid>
      <w:tr w:rsidR="00612FD3" w:rsidTr="00301B6D">
        <w:trPr>
          <w:trHeight w:val="230"/>
          <w:tblHeader/>
        </w:trPr>
        <w:tc>
          <w:tcPr>
            <w:tcW w:w="2580" w:type="dxa"/>
            <w:shd w:val="clear" w:color="auto" w:fill="6F6652"/>
            <w:tcMar>
              <w:left w:w="57" w:type="dxa"/>
              <w:right w:w="57" w:type="dxa"/>
            </w:tcMar>
          </w:tcPr>
          <w:p w:rsidR="00612FD3" w:rsidRDefault="00612FD3" w:rsidP="00301B6D">
            <w:pPr>
              <w:pStyle w:val="TableDataColumnHeading"/>
              <w:jc w:val="left"/>
              <w:rPr>
                <w:lang w:val="en-GB"/>
              </w:rPr>
            </w:pPr>
          </w:p>
        </w:tc>
        <w:tc>
          <w:tcPr>
            <w:tcW w:w="1083" w:type="dxa"/>
            <w:shd w:val="clear" w:color="auto" w:fill="6F6652"/>
            <w:tcMar>
              <w:left w:w="57" w:type="dxa"/>
              <w:right w:w="57" w:type="dxa"/>
            </w:tcMar>
          </w:tcPr>
          <w:p w:rsidR="00612FD3" w:rsidRDefault="00612FD3" w:rsidP="00301B6D">
            <w:pPr>
              <w:pStyle w:val="TableDataColumnHeading"/>
              <w:rPr>
                <w:lang w:val="en-GB"/>
              </w:rPr>
            </w:pPr>
            <w:r>
              <w:rPr>
                <w:lang w:val="en-GB"/>
              </w:rPr>
              <w:t>3A</w:t>
            </w:r>
          </w:p>
        </w:tc>
        <w:tc>
          <w:tcPr>
            <w:tcW w:w="1083" w:type="dxa"/>
            <w:shd w:val="clear" w:color="auto" w:fill="6F6652"/>
            <w:tcMar>
              <w:left w:w="57" w:type="dxa"/>
              <w:right w:w="57" w:type="dxa"/>
            </w:tcMar>
          </w:tcPr>
          <w:p w:rsidR="00612FD3" w:rsidRDefault="00612FD3" w:rsidP="00301B6D">
            <w:pPr>
              <w:pStyle w:val="TableDataColumnHeading"/>
              <w:rPr>
                <w:lang w:val="en-GB"/>
              </w:rPr>
            </w:pPr>
            <w:r>
              <w:rPr>
                <w:lang w:val="en-GB"/>
              </w:rPr>
              <w:t>5A</w:t>
            </w:r>
          </w:p>
        </w:tc>
        <w:tc>
          <w:tcPr>
            <w:tcW w:w="1083" w:type="dxa"/>
            <w:shd w:val="clear" w:color="auto" w:fill="6F6652"/>
            <w:tcMar>
              <w:left w:w="57" w:type="dxa"/>
              <w:right w:w="57" w:type="dxa"/>
            </w:tcMar>
          </w:tcPr>
          <w:p w:rsidR="00612FD3" w:rsidRDefault="00612FD3" w:rsidP="00301B6D">
            <w:pPr>
              <w:pStyle w:val="TableDataColumnHeading"/>
              <w:rPr>
                <w:lang w:val="en-GB"/>
              </w:rPr>
            </w:pPr>
            <w:r>
              <w:rPr>
                <w:lang w:val="en-GB"/>
              </w:rPr>
              <w:t>6B</w:t>
            </w:r>
          </w:p>
        </w:tc>
        <w:tc>
          <w:tcPr>
            <w:tcW w:w="1083" w:type="dxa"/>
            <w:shd w:val="clear" w:color="auto" w:fill="6F6652"/>
            <w:tcMar>
              <w:left w:w="57" w:type="dxa"/>
              <w:right w:w="57" w:type="dxa"/>
            </w:tcMar>
          </w:tcPr>
          <w:p w:rsidR="00612FD3" w:rsidRDefault="00612FD3" w:rsidP="00301B6D">
            <w:pPr>
              <w:pStyle w:val="TableDataColumnHeading"/>
              <w:rPr>
                <w:lang w:val="en-GB"/>
              </w:rPr>
            </w:pPr>
            <w:r>
              <w:rPr>
                <w:lang w:val="en-GB"/>
              </w:rPr>
              <w:t>9aC</w:t>
            </w:r>
          </w:p>
        </w:tc>
        <w:tc>
          <w:tcPr>
            <w:tcW w:w="1084" w:type="dxa"/>
            <w:shd w:val="clear" w:color="auto" w:fill="6F6652"/>
            <w:tcMar>
              <w:left w:w="57" w:type="dxa"/>
              <w:right w:w="57" w:type="dxa"/>
            </w:tcMar>
          </w:tcPr>
          <w:p w:rsidR="00612FD3" w:rsidRDefault="00612FD3" w:rsidP="00301B6D">
            <w:pPr>
              <w:pStyle w:val="TableDataColumnHeading"/>
              <w:rPr>
                <w:lang w:val="en-GB"/>
              </w:rPr>
            </w:pPr>
            <w:r>
              <w:rPr>
                <w:lang w:val="en-GB"/>
              </w:rPr>
              <w:t>9bH</w:t>
            </w:r>
          </w:p>
        </w:tc>
      </w:tr>
      <w:tr w:rsidR="00612FD3" w:rsidTr="00E75AC2">
        <w:trPr>
          <w:trHeight w:val="230"/>
          <w:tblHeader/>
        </w:trPr>
        <w:tc>
          <w:tcPr>
            <w:tcW w:w="2580"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jc w:val="left"/>
              <w:rPr>
                <w:lang w:val="en-GB"/>
              </w:rPr>
            </w:pPr>
          </w:p>
        </w:tc>
        <w:tc>
          <w:tcPr>
            <w:tcW w:w="10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Per cent</w:t>
            </w:r>
          </w:p>
        </w:tc>
        <w:tc>
          <w:tcPr>
            <w:tcW w:w="10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Per cent</w:t>
            </w:r>
          </w:p>
        </w:tc>
        <w:tc>
          <w:tcPr>
            <w:tcW w:w="10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Per cent</w:t>
            </w:r>
          </w:p>
        </w:tc>
        <w:tc>
          <w:tcPr>
            <w:tcW w:w="10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Per cent</w:t>
            </w:r>
          </w:p>
        </w:tc>
        <w:tc>
          <w:tcPr>
            <w:tcW w:w="1084"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Per cent</w:t>
            </w:r>
          </w:p>
        </w:tc>
      </w:tr>
      <w:tr w:rsidR="00612FD3" w:rsidTr="00E75AC2">
        <w:trPr>
          <w:trHeight w:val="230"/>
        </w:trPr>
        <w:tc>
          <w:tcPr>
            <w:tcW w:w="258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E75AC2">
            <w:pPr>
              <w:pStyle w:val="TableDataEntries"/>
              <w:jc w:val="left"/>
              <w:rPr>
                <w:lang w:val="en-GB"/>
              </w:rPr>
            </w:pPr>
            <w:r>
              <w:rPr>
                <w:lang w:val="en-GB"/>
              </w:rPr>
              <w:t>CZ1</w:t>
            </w:r>
          </w:p>
        </w:tc>
        <w:tc>
          <w:tcPr>
            <w:tcW w:w="10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E75AC2">
            <w:pPr>
              <w:pStyle w:val="TableDataEntries"/>
              <w:rPr>
                <w:lang w:val="en-GB"/>
              </w:rPr>
            </w:pPr>
            <w:r>
              <w:rPr>
                <w:lang w:val="en-GB"/>
              </w:rPr>
              <w:t>30</w:t>
            </w:r>
          </w:p>
        </w:tc>
        <w:tc>
          <w:tcPr>
            <w:tcW w:w="10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E75AC2">
            <w:pPr>
              <w:pStyle w:val="TableDataEntries"/>
              <w:rPr>
                <w:lang w:val="en-GB"/>
              </w:rPr>
            </w:pPr>
            <w:r>
              <w:rPr>
                <w:lang w:val="en-GB"/>
              </w:rPr>
              <w:t>40</w:t>
            </w:r>
            <w:r w:rsidR="00010447">
              <w:rPr>
                <w:lang w:val="en-GB"/>
              </w:rPr>
              <w:t>, 56</w:t>
            </w:r>
          </w:p>
        </w:tc>
        <w:tc>
          <w:tcPr>
            <w:tcW w:w="10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E75AC2">
            <w:pPr>
              <w:pStyle w:val="TableDataEntries"/>
              <w:rPr>
                <w:lang w:val="en-GB"/>
              </w:rPr>
            </w:pPr>
            <w:r>
              <w:rPr>
                <w:lang w:val="en-GB"/>
              </w:rPr>
              <w:t>30</w:t>
            </w:r>
          </w:p>
        </w:tc>
        <w:tc>
          <w:tcPr>
            <w:tcW w:w="10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E75AC2">
            <w:pPr>
              <w:pStyle w:val="TableDataEntries"/>
              <w:rPr>
                <w:lang w:val="en-GB"/>
              </w:rPr>
            </w:pPr>
            <w:r>
              <w:rPr>
                <w:lang w:val="en-GB"/>
              </w:rPr>
              <w:t>30</w:t>
            </w:r>
          </w:p>
        </w:tc>
        <w:tc>
          <w:tcPr>
            <w:tcW w:w="108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E75AC2">
            <w:pPr>
              <w:pStyle w:val="TableDataEntries"/>
              <w:rPr>
                <w:lang w:val="en-GB"/>
              </w:rPr>
            </w:pPr>
            <w:r>
              <w:rPr>
                <w:lang w:val="en-GB"/>
              </w:rPr>
              <w:t>30</w:t>
            </w:r>
          </w:p>
        </w:tc>
      </w:tr>
      <w:tr w:rsidR="00612FD3" w:rsidTr="00E75AC2">
        <w:trPr>
          <w:trHeight w:val="230"/>
        </w:trPr>
        <w:tc>
          <w:tcPr>
            <w:tcW w:w="258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E75AC2">
            <w:pPr>
              <w:pStyle w:val="TableDataEntries"/>
              <w:jc w:val="left"/>
              <w:rPr>
                <w:lang w:val="en-GB"/>
              </w:rPr>
            </w:pPr>
            <w:r>
              <w:rPr>
                <w:lang w:val="en-GB"/>
              </w:rPr>
              <w:t>CZ2</w:t>
            </w:r>
          </w:p>
        </w:tc>
        <w:tc>
          <w:tcPr>
            <w:tcW w:w="10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E75AC2">
            <w:pPr>
              <w:pStyle w:val="TableDataEntries"/>
              <w:rPr>
                <w:lang w:val="en-GB"/>
              </w:rPr>
            </w:pPr>
            <w:r>
              <w:rPr>
                <w:lang w:val="en-GB"/>
              </w:rPr>
              <w:t>30</w:t>
            </w:r>
          </w:p>
        </w:tc>
        <w:tc>
          <w:tcPr>
            <w:tcW w:w="10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E75AC2">
            <w:pPr>
              <w:pStyle w:val="TableDataEntries"/>
              <w:rPr>
                <w:lang w:val="en-GB"/>
              </w:rPr>
            </w:pPr>
            <w:r>
              <w:rPr>
                <w:lang w:val="en-GB"/>
              </w:rPr>
              <w:t>40</w:t>
            </w:r>
            <w:r w:rsidR="00010447">
              <w:rPr>
                <w:lang w:val="en-GB"/>
              </w:rPr>
              <w:t>, 56</w:t>
            </w:r>
          </w:p>
        </w:tc>
        <w:tc>
          <w:tcPr>
            <w:tcW w:w="10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E75AC2">
            <w:pPr>
              <w:pStyle w:val="TableDataEntries"/>
              <w:rPr>
                <w:lang w:val="en-GB"/>
              </w:rPr>
            </w:pPr>
            <w:r>
              <w:rPr>
                <w:lang w:val="en-GB"/>
              </w:rPr>
              <w:t>30</w:t>
            </w:r>
          </w:p>
        </w:tc>
        <w:tc>
          <w:tcPr>
            <w:tcW w:w="10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E75AC2">
            <w:pPr>
              <w:pStyle w:val="TableDataEntries"/>
              <w:rPr>
                <w:lang w:val="en-GB"/>
              </w:rPr>
            </w:pPr>
            <w:r>
              <w:rPr>
                <w:lang w:val="en-GB"/>
              </w:rPr>
              <w:t>30</w:t>
            </w:r>
          </w:p>
        </w:tc>
        <w:tc>
          <w:tcPr>
            <w:tcW w:w="108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E75AC2">
            <w:pPr>
              <w:pStyle w:val="TableDataEntries"/>
              <w:rPr>
                <w:lang w:val="en-GB"/>
              </w:rPr>
            </w:pPr>
            <w:r>
              <w:rPr>
                <w:lang w:val="en-GB"/>
              </w:rPr>
              <w:t>30</w:t>
            </w:r>
          </w:p>
        </w:tc>
      </w:tr>
      <w:tr w:rsidR="00612FD3" w:rsidTr="00E75AC2">
        <w:trPr>
          <w:trHeight w:val="230"/>
        </w:trPr>
        <w:tc>
          <w:tcPr>
            <w:tcW w:w="258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E75AC2">
            <w:pPr>
              <w:pStyle w:val="TableDataEntries"/>
              <w:jc w:val="left"/>
              <w:rPr>
                <w:lang w:val="en-GB"/>
              </w:rPr>
            </w:pPr>
            <w:r>
              <w:rPr>
                <w:lang w:val="en-GB"/>
              </w:rPr>
              <w:t>CZ3</w:t>
            </w:r>
          </w:p>
        </w:tc>
        <w:tc>
          <w:tcPr>
            <w:tcW w:w="10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E75AC2">
            <w:pPr>
              <w:pStyle w:val="TableDataEntries"/>
              <w:rPr>
                <w:lang w:val="en-GB"/>
              </w:rPr>
            </w:pPr>
            <w:r>
              <w:rPr>
                <w:lang w:val="en-GB"/>
              </w:rPr>
              <w:t>30</w:t>
            </w:r>
          </w:p>
        </w:tc>
        <w:tc>
          <w:tcPr>
            <w:tcW w:w="10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E75AC2">
            <w:pPr>
              <w:pStyle w:val="TableDataEntries"/>
              <w:rPr>
                <w:lang w:val="en-GB"/>
              </w:rPr>
            </w:pPr>
            <w:r>
              <w:rPr>
                <w:lang w:val="en-GB"/>
              </w:rPr>
              <w:t>40</w:t>
            </w:r>
            <w:r w:rsidR="00010447">
              <w:rPr>
                <w:lang w:val="en-GB"/>
              </w:rPr>
              <w:t>, 56</w:t>
            </w:r>
          </w:p>
        </w:tc>
        <w:tc>
          <w:tcPr>
            <w:tcW w:w="10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E75AC2">
            <w:pPr>
              <w:pStyle w:val="TableDataEntries"/>
              <w:rPr>
                <w:lang w:val="en-GB"/>
              </w:rPr>
            </w:pPr>
            <w:r>
              <w:rPr>
                <w:lang w:val="en-GB"/>
              </w:rPr>
              <w:t>30</w:t>
            </w:r>
          </w:p>
        </w:tc>
        <w:tc>
          <w:tcPr>
            <w:tcW w:w="10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E75AC2">
            <w:pPr>
              <w:pStyle w:val="TableDataEntries"/>
              <w:rPr>
                <w:lang w:val="en-GB"/>
              </w:rPr>
            </w:pPr>
            <w:r>
              <w:rPr>
                <w:lang w:val="en-GB"/>
              </w:rPr>
              <w:t>30</w:t>
            </w:r>
          </w:p>
        </w:tc>
        <w:tc>
          <w:tcPr>
            <w:tcW w:w="108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E75AC2">
            <w:pPr>
              <w:pStyle w:val="TableDataEntries"/>
              <w:rPr>
                <w:lang w:val="en-GB"/>
              </w:rPr>
            </w:pPr>
            <w:r>
              <w:rPr>
                <w:lang w:val="en-GB"/>
              </w:rPr>
              <w:t>30</w:t>
            </w:r>
          </w:p>
        </w:tc>
      </w:tr>
      <w:tr w:rsidR="00612FD3" w:rsidTr="00E75AC2">
        <w:trPr>
          <w:trHeight w:val="230"/>
        </w:trPr>
        <w:tc>
          <w:tcPr>
            <w:tcW w:w="258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E75AC2">
            <w:pPr>
              <w:pStyle w:val="TableDataEntries"/>
              <w:jc w:val="left"/>
              <w:rPr>
                <w:lang w:val="en-GB"/>
              </w:rPr>
            </w:pPr>
            <w:r>
              <w:rPr>
                <w:lang w:val="en-GB"/>
              </w:rPr>
              <w:t>CZ4</w:t>
            </w:r>
          </w:p>
        </w:tc>
        <w:tc>
          <w:tcPr>
            <w:tcW w:w="10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E75AC2">
            <w:pPr>
              <w:pStyle w:val="TableDataEntries"/>
              <w:rPr>
                <w:lang w:val="en-GB"/>
              </w:rPr>
            </w:pPr>
            <w:r>
              <w:rPr>
                <w:lang w:val="en-GB"/>
              </w:rPr>
              <w:t>30</w:t>
            </w:r>
          </w:p>
        </w:tc>
        <w:tc>
          <w:tcPr>
            <w:tcW w:w="10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E75AC2">
            <w:pPr>
              <w:pStyle w:val="TableDataEntries"/>
              <w:rPr>
                <w:lang w:val="en-GB"/>
              </w:rPr>
            </w:pPr>
            <w:r>
              <w:rPr>
                <w:lang w:val="en-GB"/>
              </w:rPr>
              <w:t>40</w:t>
            </w:r>
            <w:r w:rsidR="00010447">
              <w:rPr>
                <w:lang w:val="en-GB"/>
              </w:rPr>
              <w:t>, 56</w:t>
            </w:r>
          </w:p>
        </w:tc>
        <w:tc>
          <w:tcPr>
            <w:tcW w:w="10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E75AC2">
            <w:pPr>
              <w:pStyle w:val="TableDataEntries"/>
              <w:rPr>
                <w:lang w:val="en-GB"/>
              </w:rPr>
            </w:pPr>
            <w:r>
              <w:rPr>
                <w:lang w:val="en-GB"/>
              </w:rPr>
              <w:t>30</w:t>
            </w:r>
          </w:p>
        </w:tc>
        <w:tc>
          <w:tcPr>
            <w:tcW w:w="10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E75AC2">
            <w:pPr>
              <w:pStyle w:val="TableDataEntries"/>
              <w:rPr>
                <w:lang w:val="en-GB"/>
              </w:rPr>
            </w:pPr>
            <w:r>
              <w:rPr>
                <w:lang w:val="en-GB"/>
              </w:rPr>
              <w:t>30</w:t>
            </w:r>
          </w:p>
        </w:tc>
        <w:tc>
          <w:tcPr>
            <w:tcW w:w="108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E75AC2">
            <w:pPr>
              <w:pStyle w:val="TableDataEntries"/>
              <w:rPr>
                <w:lang w:val="en-GB"/>
              </w:rPr>
            </w:pPr>
            <w:r>
              <w:rPr>
                <w:lang w:val="en-GB"/>
              </w:rPr>
              <w:t>30</w:t>
            </w:r>
          </w:p>
        </w:tc>
      </w:tr>
      <w:tr w:rsidR="00612FD3" w:rsidTr="00E75AC2">
        <w:trPr>
          <w:trHeight w:val="230"/>
        </w:trPr>
        <w:tc>
          <w:tcPr>
            <w:tcW w:w="258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E75AC2">
            <w:pPr>
              <w:pStyle w:val="TableDataEntries"/>
              <w:jc w:val="left"/>
              <w:rPr>
                <w:lang w:val="en-GB"/>
              </w:rPr>
            </w:pPr>
            <w:r>
              <w:rPr>
                <w:lang w:val="en-GB"/>
              </w:rPr>
              <w:t>CZ5</w:t>
            </w:r>
          </w:p>
        </w:tc>
        <w:tc>
          <w:tcPr>
            <w:tcW w:w="10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E75AC2">
            <w:pPr>
              <w:pStyle w:val="TableDataEntries"/>
              <w:rPr>
                <w:lang w:val="en-GB"/>
              </w:rPr>
            </w:pPr>
            <w:r>
              <w:rPr>
                <w:lang w:val="en-GB"/>
              </w:rPr>
              <w:t>30</w:t>
            </w:r>
          </w:p>
        </w:tc>
        <w:tc>
          <w:tcPr>
            <w:tcW w:w="10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E75AC2">
            <w:pPr>
              <w:pStyle w:val="TableDataEntries"/>
              <w:rPr>
                <w:lang w:val="en-GB"/>
              </w:rPr>
            </w:pPr>
            <w:r>
              <w:rPr>
                <w:lang w:val="en-GB"/>
              </w:rPr>
              <w:t>40</w:t>
            </w:r>
            <w:r w:rsidR="00010447">
              <w:rPr>
                <w:lang w:val="en-GB"/>
              </w:rPr>
              <w:t>, 56</w:t>
            </w:r>
          </w:p>
        </w:tc>
        <w:tc>
          <w:tcPr>
            <w:tcW w:w="10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E75AC2">
            <w:pPr>
              <w:pStyle w:val="TableDataEntries"/>
              <w:rPr>
                <w:lang w:val="en-GB"/>
              </w:rPr>
            </w:pPr>
            <w:r>
              <w:rPr>
                <w:lang w:val="en-GB"/>
              </w:rPr>
              <w:t>30</w:t>
            </w:r>
          </w:p>
        </w:tc>
        <w:tc>
          <w:tcPr>
            <w:tcW w:w="10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E75AC2">
            <w:pPr>
              <w:pStyle w:val="TableDataEntries"/>
              <w:rPr>
                <w:lang w:val="en-GB"/>
              </w:rPr>
            </w:pPr>
            <w:r>
              <w:rPr>
                <w:lang w:val="en-GB"/>
              </w:rPr>
              <w:t>30</w:t>
            </w:r>
          </w:p>
        </w:tc>
        <w:tc>
          <w:tcPr>
            <w:tcW w:w="108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E75AC2">
            <w:pPr>
              <w:pStyle w:val="TableDataEntries"/>
              <w:rPr>
                <w:lang w:val="en-GB"/>
              </w:rPr>
            </w:pPr>
            <w:r>
              <w:rPr>
                <w:lang w:val="en-GB"/>
              </w:rPr>
              <w:t>30</w:t>
            </w:r>
          </w:p>
        </w:tc>
      </w:tr>
      <w:tr w:rsidR="00612FD3" w:rsidTr="00E75AC2">
        <w:trPr>
          <w:trHeight w:val="230"/>
        </w:trPr>
        <w:tc>
          <w:tcPr>
            <w:tcW w:w="258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E75AC2">
            <w:pPr>
              <w:pStyle w:val="TableDataEntries"/>
              <w:jc w:val="left"/>
              <w:rPr>
                <w:lang w:val="en-GB"/>
              </w:rPr>
            </w:pPr>
            <w:r>
              <w:rPr>
                <w:lang w:val="en-GB"/>
              </w:rPr>
              <w:t>CZ6</w:t>
            </w:r>
          </w:p>
        </w:tc>
        <w:tc>
          <w:tcPr>
            <w:tcW w:w="10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E75AC2">
            <w:pPr>
              <w:pStyle w:val="TableDataEntries"/>
              <w:rPr>
                <w:lang w:val="en-GB"/>
              </w:rPr>
            </w:pPr>
            <w:r>
              <w:rPr>
                <w:lang w:val="en-GB"/>
              </w:rPr>
              <w:t>30</w:t>
            </w:r>
          </w:p>
        </w:tc>
        <w:tc>
          <w:tcPr>
            <w:tcW w:w="10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E75AC2">
            <w:pPr>
              <w:pStyle w:val="TableDataEntries"/>
              <w:rPr>
                <w:lang w:val="en-GB"/>
              </w:rPr>
            </w:pPr>
            <w:r>
              <w:rPr>
                <w:lang w:val="en-GB"/>
              </w:rPr>
              <w:t>40</w:t>
            </w:r>
            <w:r w:rsidR="00010447">
              <w:rPr>
                <w:lang w:val="en-GB"/>
              </w:rPr>
              <w:t>, 56</w:t>
            </w:r>
          </w:p>
        </w:tc>
        <w:tc>
          <w:tcPr>
            <w:tcW w:w="10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E75AC2">
            <w:pPr>
              <w:pStyle w:val="TableDataEntries"/>
              <w:rPr>
                <w:lang w:val="en-GB"/>
              </w:rPr>
            </w:pPr>
            <w:r>
              <w:rPr>
                <w:lang w:val="en-GB"/>
              </w:rPr>
              <w:t>30</w:t>
            </w:r>
          </w:p>
        </w:tc>
        <w:tc>
          <w:tcPr>
            <w:tcW w:w="10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E75AC2">
            <w:pPr>
              <w:pStyle w:val="TableDataEntries"/>
              <w:rPr>
                <w:lang w:val="en-GB"/>
              </w:rPr>
            </w:pPr>
            <w:r>
              <w:rPr>
                <w:lang w:val="en-GB"/>
              </w:rPr>
              <w:t>30</w:t>
            </w:r>
          </w:p>
        </w:tc>
        <w:tc>
          <w:tcPr>
            <w:tcW w:w="108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612FD3" w:rsidRDefault="00612FD3" w:rsidP="00E75AC2">
            <w:pPr>
              <w:pStyle w:val="TableDataEntries"/>
              <w:rPr>
                <w:lang w:val="en-GB"/>
              </w:rPr>
            </w:pPr>
            <w:r>
              <w:rPr>
                <w:lang w:val="en-GB"/>
              </w:rPr>
              <w:t>30</w:t>
            </w:r>
          </w:p>
        </w:tc>
      </w:tr>
      <w:tr w:rsidR="00612FD3" w:rsidTr="00E75AC2">
        <w:trPr>
          <w:trHeight w:val="230"/>
        </w:trPr>
        <w:tc>
          <w:tcPr>
            <w:tcW w:w="2580" w:type="dxa"/>
            <w:tcBorders>
              <w:top w:val="single" w:sz="8" w:space="0" w:color="FFFFFF" w:themeColor="background1"/>
              <w:bottom w:val="single" w:sz="4" w:space="0" w:color="6F6652" w:themeColor="accent5"/>
            </w:tcBorders>
            <w:shd w:val="clear" w:color="auto" w:fill="E9E8E5" w:themeFill="background2"/>
            <w:tcMar>
              <w:left w:w="57" w:type="dxa"/>
              <w:right w:w="57" w:type="dxa"/>
            </w:tcMar>
          </w:tcPr>
          <w:p w:rsidR="00612FD3" w:rsidRDefault="00612FD3" w:rsidP="00E75AC2">
            <w:pPr>
              <w:pStyle w:val="TableDataEntries"/>
              <w:jc w:val="left"/>
              <w:rPr>
                <w:lang w:val="en-GB"/>
              </w:rPr>
            </w:pPr>
            <w:r>
              <w:rPr>
                <w:lang w:val="en-GB"/>
              </w:rPr>
              <w:t>CZ7</w:t>
            </w:r>
          </w:p>
        </w:tc>
        <w:tc>
          <w:tcPr>
            <w:tcW w:w="1083" w:type="dxa"/>
            <w:tcBorders>
              <w:top w:val="single" w:sz="8" w:space="0" w:color="FFFFFF" w:themeColor="background1"/>
              <w:bottom w:val="single" w:sz="4" w:space="0" w:color="6F6652" w:themeColor="accent5"/>
            </w:tcBorders>
            <w:shd w:val="clear" w:color="auto" w:fill="E9E8E5" w:themeFill="background2"/>
            <w:tcMar>
              <w:left w:w="57" w:type="dxa"/>
              <w:right w:w="57" w:type="dxa"/>
            </w:tcMar>
          </w:tcPr>
          <w:p w:rsidR="00612FD3" w:rsidRDefault="00612FD3" w:rsidP="00E75AC2">
            <w:pPr>
              <w:pStyle w:val="TableDataEntries"/>
              <w:rPr>
                <w:lang w:val="en-GB"/>
              </w:rPr>
            </w:pPr>
            <w:r>
              <w:rPr>
                <w:lang w:val="en-GB"/>
              </w:rPr>
              <w:t>30</w:t>
            </w:r>
          </w:p>
        </w:tc>
        <w:tc>
          <w:tcPr>
            <w:tcW w:w="1083" w:type="dxa"/>
            <w:tcBorders>
              <w:top w:val="single" w:sz="8" w:space="0" w:color="FFFFFF" w:themeColor="background1"/>
              <w:bottom w:val="single" w:sz="4" w:space="0" w:color="6F6652" w:themeColor="accent5"/>
            </w:tcBorders>
            <w:shd w:val="clear" w:color="auto" w:fill="E9E8E5" w:themeFill="background2"/>
            <w:tcMar>
              <w:left w:w="57" w:type="dxa"/>
              <w:right w:w="57" w:type="dxa"/>
            </w:tcMar>
          </w:tcPr>
          <w:p w:rsidR="00612FD3" w:rsidRDefault="00612FD3" w:rsidP="00E75AC2">
            <w:pPr>
              <w:pStyle w:val="TableDataEntries"/>
              <w:rPr>
                <w:lang w:val="en-GB"/>
              </w:rPr>
            </w:pPr>
            <w:r>
              <w:rPr>
                <w:lang w:val="en-GB"/>
              </w:rPr>
              <w:t>40</w:t>
            </w:r>
            <w:r w:rsidR="00010447">
              <w:rPr>
                <w:lang w:val="en-GB"/>
              </w:rPr>
              <w:t>, 50</w:t>
            </w:r>
          </w:p>
        </w:tc>
        <w:tc>
          <w:tcPr>
            <w:tcW w:w="1083" w:type="dxa"/>
            <w:tcBorders>
              <w:top w:val="single" w:sz="8" w:space="0" w:color="FFFFFF" w:themeColor="background1"/>
              <w:bottom w:val="single" w:sz="4" w:space="0" w:color="6F6652" w:themeColor="accent5"/>
            </w:tcBorders>
            <w:shd w:val="clear" w:color="auto" w:fill="E9E8E5" w:themeFill="background2"/>
            <w:tcMar>
              <w:left w:w="57" w:type="dxa"/>
              <w:right w:w="57" w:type="dxa"/>
            </w:tcMar>
          </w:tcPr>
          <w:p w:rsidR="00612FD3" w:rsidRDefault="00612FD3" w:rsidP="00E75AC2">
            <w:pPr>
              <w:pStyle w:val="TableDataEntries"/>
              <w:rPr>
                <w:lang w:val="en-GB"/>
              </w:rPr>
            </w:pPr>
            <w:r>
              <w:rPr>
                <w:lang w:val="en-GB"/>
              </w:rPr>
              <w:t>30</w:t>
            </w:r>
          </w:p>
        </w:tc>
        <w:tc>
          <w:tcPr>
            <w:tcW w:w="1083" w:type="dxa"/>
            <w:tcBorders>
              <w:top w:val="single" w:sz="8" w:space="0" w:color="FFFFFF" w:themeColor="background1"/>
              <w:bottom w:val="single" w:sz="4" w:space="0" w:color="6F6652" w:themeColor="accent5"/>
            </w:tcBorders>
            <w:shd w:val="clear" w:color="auto" w:fill="E9E8E5" w:themeFill="background2"/>
            <w:tcMar>
              <w:left w:w="57" w:type="dxa"/>
              <w:right w:w="57" w:type="dxa"/>
            </w:tcMar>
          </w:tcPr>
          <w:p w:rsidR="00612FD3" w:rsidRDefault="00612FD3" w:rsidP="00E75AC2">
            <w:pPr>
              <w:pStyle w:val="TableDataEntries"/>
              <w:rPr>
                <w:lang w:val="en-GB"/>
              </w:rPr>
            </w:pPr>
            <w:r>
              <w:rPr>
                <w:lang w:val="en-GB"/>
              </w:rPr>
              <w:t>30</w:t>
            </w:r>
          </w:p>
        </w:tc>
        <w:tc>
          <w:tcPr>
            <w:tcW w:w="1084" w:type="dxa"/>
            <w:tcBorders>
              <w:top w:val="single" w:sz="8" w:space="0" w:color="FFFFFF" w:themeColor="background1"/>
              <w:bottom w:val="single" w:sz="4" w:space="0" w:color="6F6652" w:themeColor="accent5"/>
            </w:tcBorders>
            <w:shd w:val="clear" w:color="auto" w:fill="E9E8E5" w:themeFill="background2"/>
            <w:tcMar>
              <w:left w:w="57" w:type="dxa"/>
              <w:right w:w="57" w:type="dxa"/>
            </w:tcMar>
          </w:tcPr>
          <w:p w:rsidR="00612FD3" w:rsidRDefault="00612FD3" w:rsidP="00E75AC2">
            <w:pPr>
              <w:pStyle w:val="TableDataEntries"/>
              <w:rPr>
                <w:lang w:val="en-GB"/>
              </w:rPr>
            </w:pPr>
            <w:r>
              <w:rPr>
                <w:lang w:val="en-GB"/>
              </w:rPr>
              <w:t>30</w:t>
            </w:r>
          </w:p>
        </w:tc>
      </w:tr>
    </w:tbl>
    <w:p w:rsidR="00612FD3" w:rsidRDefault="00612FD3" w:rsidP="00612FD3">
      <w:pPr>
        <w:pStyle w:val="Source"/>
        <w:rPr>
          <w:lang w:bidi="fa-IR"/>
        </w:rPr>
      </w:pPr>
      <w:r w:rsidRPr="00BB356A">
        <w:rPr>
          <w:i/>
          <w:lang w:bidi="fa-IR"/>
        </w:rPr>
        <w:t>Source:</w:t>
      </w:r>
      <w:r>
        <w:rPr>
          <w:lang w:bidi="fa-IR"/>
        </w:rPr>
        <w:t xml:space="preserve"> </w:t>
      </w:r>
      <w:r w:rsidR="003F28DD">
        <w:rPr>
          <w:lang w:bidi="fa-IR"/>
        </w:rPr>
        <w:t>EA</w:t>
      </w:r>
      <w:r>
        <w:rPr>
          <w:lang w:bidi="fa-IR"/>
        </w:rPr>
        <w:t>.</w:t>
      </w:r>
    </w:p>
    <w:p w:rsidR="00612FD3" w:rsidRDefault="00B11CD4" w:rsidP="00B11CD4">
      <w:pPr>
        <w:pStyle w:val="Heading7"/>
        <w:rPr>
          <w:lang w:bidi="fa-IR"/>
        </w:rPr>
      </w:pPr>
      <w:r>
        <w:rPr>
          <w:lang w:bidi="fa-IR"/>
        </w:rPr>
        <w:t xml:space="preserve">ABCB </w:t>
      </w:r>
      <w:r w:rsidR="00E31EE8">
        <w:rPr>
          <w:lang w:bidi="fa-IR"/>
        </w:rPr>
        <w:t>Climate Zone</w:t>
      </w:r>
      <w:r>
        <w:rPr>
          <w:lang w:bidi="fa-IR"/>
        </w:rPr>
        <w:t>s</w:t>
      </w:r>
    </w:p>
    <w:p w:rsidR="00B11CD4" w:rsidRDefault="00B11CD4" w:rsidP="00612FD3">
      <w:pPr>
        <w:pStyle w:val="BodyText"/>
        <w:rPr>
          <w:lang w:bidi="fa-IR"/>
        </w:rPr>
      </w:pPr>
      <w:r>
        <w:rPr>
          <w:lang w:bidi="fa-IR"/>
        </w:rPr>
        <w:t xml:space="preserve">A map of ABCB </w:t>
      </w:r>
      <w:r w:rsidR="00E31EE8">
        <w:rPr>
          <w:lang w:bidi="fa-IR"/>
        </w:rPr>
        <w:t>Climate Zone</w:t>
      </w:r>
      <w:r>
        <w:rPr>
          <w:lang w:bidi="fa-IR"/>
        </w:rPr>
        <w:t>s is shown in chart </w:t>
      </w:r>
      <w:r>
        <w:rPr>
          <w:lang w:bidi="fa-IR"/>
        </w:rPr>
        <w:fldChar w:fldCharType="begin"/>
      </w:r>
      <w:r>
        <w:rPr>
          <w:lang w:bidi="fa-IR"/>
        </w:rPr>
        <w:instrText xml:space="preserve"> REF _Caption9025 </w:instrText>
      </w:r>
      <w:r>
        <w:rPr>
          <w:lang w:bidi="fa-IR"/>
        </w:rPr>
        <w:fldChar w:fldCharType="separate"/>
      </w:r>
      <w:r w:rsidR="006B79B8" w:rsidRPr="00D00F02">
        <w:rPr>
          <w:noProof/>
        </w:rPr>
        <w:t>G.7</w:t>
      </w:r>
      <w:r>
        <w:rPr>
          <w:lang w:bidi="fa-IR"/>
        </w:rPr>
        <w:fldChar w:fldCharType="end"/>
      </w:r>
    </w:p>
    <w:p w:rsidR="00B11CD4" w:rsidRPr="00695C93" w:rsidRDefault="00B11CD4" w:rsidP="00613AA4">
      <w:pPr>
        <w:pStyle w:val="Caption"/>
      </w:pPr>
      <w:r w:rsidRPr="00D00F02">
        <w:fldChar w:fldCharType="begin"/>
      </w:r>
      <w:r w:rsidRPr="00D00F02">
        <w:instrText xml:space="preserve"> IF 1 = 1 "</w:instrText>
      </w:r>
      <w:r w:rsidRPr="00D00F02">
        <w:fldChar w:fldCharType="begin"/>
      </w:r>
      <w:r w:rsidRPr="00D00F02">
        <w:instrText xml:space="preserve"> IF </w:instrText>
      </w:r>
      <w:r w:rsidRPr="00D00F02">
        <w:rPr>
          <w:noProof/>
        </w:rPr>
        <w:fldChar w:fldCharType="begin"/>
      </w:r>
      <w:r w:rsidRPr="00D00F02">
        <w:rPr>
          <w:noProof/>
        </w:rPr>
        <w:instrText xml:space="preserve"> STYLEREF "Heading 6" \l \n </w:instrText>
      </w:r>
      <w:r w:rsidRPr="00D00F02">
        <w:rPr>
          <w:noProof/>
        </w:rPr>
        <w:fldChar w:fldCharType="separate"/>
      </w:r>
      <w:r w:rsidR="00B833F1">
        <w:rPr>
          <w:noProof/>
        </w:rPr>
        <w:instrText>G</w:instrText>
      </w:r>
      <w:r w:rsidRPr="00D00F02">
        <w:rPr>
          <w:noProof/>
        </w:rPr>
        <w:fldChar w:fldCharType="end"/>
      </w:r>
      <w:r w:rsidRPr="00D00F02">
        <w:instrText xml:space="preserve"> = 0 "</w:instrText>
      </w:r>
      <w:r w:rsidRPr="00D00F02">
        <w:fldChar w:fldCharType="begin"/>
      </w:r>
      <w:r w:rsidRPr="00D00F02">
        <w:instrText xml:space="preserve"> IF </w:instrText>
      </w:r>
      <w:r w:rsidRPr="00D00F02">
        <w:fldChar w:fldCharType="begin"/>
      </w:r>
      <w:r w:rsidRPr="00D00F02">
        <w:instrText xml:space="preserve"> STYLEREF "Heading 1" \l \n </w:instrText>
      </w:r>
      <w:r w:rsidRPr="00D00F02">
        <w:fldChar w:fldCharType="separate"/>
      </w:r>
      <w:r w:rsidRPr="00D00F02">
        <w:rPr>
          <w:b/>
          <w:bCs/>
          <w:noProof/>
          <w:lang w:val="en-US"/>
        </w:rPr>
        <w:instrText>Error! No text of specified style in document.</w:instrText>
      </w:r>
      <w:r w:rsidRPr="00D00F02">
        <w:rPr>
          <w:noProof/>
        </w:rPr>
        <w:fldChar w:fldCharType="end"/>
      </w:r>
      <w:r w:rsidRPr="00D00F02">
        <w:instrText xml:space="preserve"> = 0 "" "</w:instrText>
      </w:r>
      <w:r w:rsidRPr="00D00F02">
        <w:fldChar w:fldCharType="begin"/>
      </w:r>
      <w:r w:rsidRPr="00D00F02">
        <w:instrText xml:space="preserve"> STYLEREF "Heading 1" \l \n </w:instrText>
      </w:r>
      <w:r w:rsidRPr="00D00F02">
        <w:fldChar w:fldCharType="separate"/>
      </w:r>
      <w:r w:rsidRPr="00D00F02">
        <w:rPr>
          <w:b/>
          <w:bCs/>
          <w:noProof/>
          <w:lang w:val="en-US"/>
        </w:rPr>
        <w:instrText>Error! No text of specified style in document.</w:instrText>
      </w:r>
      <w:r w:rsidRPr="00D00F02">
        <w:rPr>
          <w:noProof/>
        </w:rPr>
        <w:fldChar w:fldCharType="end"/>
      </w:r>
      <w:r w:rsidRPr="00D00F02">
        <w:instrText xml:space="preserve">." </w:instrText>
      </w:r>
      <w:r w:rsidRPr="00D00F02">
        <w:fldChar w:fldCharType="separate"/>
      </w:r>
      <w:r w:rsidRPr="00D00F02">
        <w:rPr>
          <w:b/>
          <w:bCs/>
          <w:noProof/>
          <w:lang w:val="en-US"/>
        </w:rPr>
        <w:instrText>Error! No text of specified style in document.</w:instrText>
      </w:r>
      <w:r w:rsidRPr="00D00F02">
        <w:rPr>
          <w:noProof/>
        </w:rPr>
        <w:instrText>.</w:instrText>
      </w:r>
      <w:r w:rsidRPr="00D00F02">
        <w:fldChar w:fldCharType="end"/>
      </w:r>
      <w:r w:rsidRPr="00D00F02">
        <w:instrText>" "</w:instrText>
      </w:r>
      <w:r w:rsidRPr="00D00F02">
        <w:rPr>
          <w:noProof/>
        </w:rPr>
        <w:fldChar w:fldCharType="begin"/>
      </w:r>
      <w:r w:rsidRPr="00D00F02">
        <w:rPr>
          <w:noProof/>
        </w:rPr>
        <w:instrText xml:space="preserve"> STYLEREF "Heading 6" \l \n </w:instrText>
      </w:r>
      <w:r w:rsidRPr="00D00F02">
        <w:rPr>
          <w:noProof/>
        </w:rPr>
        <w:fldChar w:fldCharType="separate"/>
      </w:r>
      <w:r w:rsidR="00B833F1">
        <w:rPr>
          <w:noProof/>
        </w:rPr>
        <w:instrText>G</w:instrText>
      </w:r>
      <w:r w:rsidRPr="00D00F02">
        <w:rPr>
          <w:noProof/>
        </w:rPr>
        <w:fldChar w:fldCharType="end"/>
      </w:r>
      <w:r w:rsidRPr="00D00F02">
        <w:instrText xml:space="preserve">." </w:instrText>
      </w:r>
      <w:r w:rsidRPr="00D00F02">
        <w:fldChar w:fldCharType="separate"/>
      </w:r>
      <w:r w:rsidR="00B833F1">
        <w:rPr>
          <w:noProof/>
        </w:rPr>
        <w:instrText>G</w:instrText>
      </w:r>
      <w:r w:rsidR="00B833F1" w:rsidRPr="00D00F02">
        <w:rPr>
          <w:noProof/>
        </w:rPr>
        <w:instrText>.</w:instrText>
      </w:r>
      <w:r w:rsidRPr="00D00F02">
        <w:fldChar w:fldCharType="end"/>
      </w:r>
      <w:r w:rsidR="000C67AD" w:rsidRPr="00D00F02">
        <w:instrText>7</w:instrText>
      </w:r>
      <w:r w:rsidRPr="00D00F02">
        <w:instrText xml:space="preserve">" "" </w:instrText>
      </w:r>
      <w:r w:rsidRPr="00D00F02">
        <w:fldChar w:fldCharType="separate"/>
      </w:r>
      <w:bookmarkStart w:id="8204" w:name="_Caption2435"/>
      <w:bookmarkStart w:id="8205" w:name="_Caption3152"/>
      <w:bookmarkStart w:id="8206" w:name="_Caption2468"/>
      <w:bookmarkStart w:id="8207" w:name="_Caption4497"/>
      <w:bookmarkStart w:id="8208" w:name="_Caption4255"/>
      <w:bookmarkStart w:id="8209" w:name="_Caption7305"/>
      <w:bookmarkStart w:id="8210" w:name="_Caption6007"/>
      <w:bookmarkStart w:id="8211" w:name="_Caption8650"/>
      <w:bookmarkStart w:id="8212" w:name="_Caption3170"/>
      <w:bookmarkStart w:id="8213" w:name="_Caption9395"/>
      <w:bookmarkStart w:id="8214" w:name="_Caption4292"/>
      <w:bookmarkStart w:id="8215" w:name="_Caption5019"/>
      <w:bookmarkStart w:id="8216" w:name="_Caption1193"/>
      <w:bookmarkStart w:id="8217" w:name="_Caption5639"/>
      <w:bookmarkStart w:id="8218" w:name="_Caption9870"/>
      <w:bookmarkStart w:id="8219" w:name="_Caption0995"/>
      <w:bookmarkStart w:id="8220" w:name="_Caption3924"/>
      <w:bookmarkStart w:id="8221" w:name="_Caption9025"/>
      <w:bookmarkStart w:id="8222" w:name="_Caption8151"/>
      <w:bookmarkStart w:id="8223" w:name="_Caption3456"/>
      <w:bookmarkStart w:id="8224" w:name="_Caption0935"/>
      <w:bookmarkStart w:id="8225" w:name="_Caption1176"/>
      <w:bookmarkStart w:id="8226" w:name="_Caption9059"/>
      <w:bookmarkStart w:id="8227" w:name="_Caption4454"/>
      <w:bookmarkStart w:id="8228" w:name="_Caption8595"/>
      <w:bookmarkStart w:id="8229" w:name="_Caption0580"/>
      <w:bookmarkStart w:id="8230" w:name="_Caption1578"/>
      <w:bookmarkStart w:id="8231" w:name="_Caption6062"/>
      <w:bookmarkStart w:id="8232" w:name="_Caption3197"/>
      <w:bookmarkStart w:id="8233" w:name="_Caption5051"/>
      <w:bookmarkStart w:id="8234" w:name="_Caption0500"/>
      <w:bookmarkStart w:id="8235" w:name="_Caption8263"/>
      <w:bookmarkStart w:id="8236" w:name="_Caption2375"/>
      <w:bookmarkStart w:id="8237" w:name="_Caption4269"/>
      <w:bookmarkStart w:id="8238" w:name="_Caption5812"/>
      <w:bookmarkStart w:id="8239" w:name="_Caption6683"/>
      <w:bookmarkStart w:id="8240" w:name="_Caption6669"/>
      <w:bookmarkStart w:id="8241" w:name="_Caption6371"/>
      <w:bookmarkStart w:id="8242" w:name="_Caption7759"/>
      <w:bookmarkStart w:id="8243" w:name="_Caption3773"/>
      <w:bookmarkStart w:id="8244" w:name="_Caption1738"/>
      <w:bookmarkStart w:id="8245" w:name="_Caption3437"/>
      <w:bookmarkStart w:id="8246" w:name="_Caption5540"/>
      <w:bookmarkStart w:id="8247" w:name="_Caption0756"/>
      <w:bookmarkStart w:id="8248" w:name="_Caption2403"/>
      <w:bookmarkStart w:id="8249" w:name="_Toc529870005"/>
      <w:bookmarkStart w:id="8250" w:name="_Toc530748501"/>
      <w:r w:rsidR="00EA42ED">
        <w:rPr>
          <w:noProof/>
        </w:rPr>
        <w:t>G</w:t>
      </w:r>
      <w:r w:rsidR="00EA42ED" w:rsidRPr="00D00F02">
        <w:rPr>
          <w:noProof/>
        </w:rPr>
        <w:t>.7</w:t>
      </w:r>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r w:rsidRPr="00D00F02">
        <w:fldChar w:fldCharType="end"/>
      </w:r>
      <w:r w:rsidRPr="00D00F02">
        <w:tab/>
        <w:t xml:space="preserve">ABCB </w:t>
      </w:r>
      <w:r w:rsidR="00E31EE8">
        <w:t>Climate Zone</w:t>
      </w:r>
      <w:r w:rsidRPr="00D00F02">
        <w:t>s</w:t>
      </w:r>
      <w:bookmarkEnd w:id="8249"/>
      <w:bookmarkEnd w:id="8250"/>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8"/>
      </w:tblGrid>
      <w:tr w:rsidR="00B11CD4" w:rsidTr="00613AA4">
        <w:trPr>
          <w:cantSplit/>
        </w:trPr>
        <w:tc>
          <w:tcPr>
            <w:tcW w:w="7938" w:type="dxa"/>
            <w:shd w:val="clear" w:color="auto" w:fill="E9E8E5" w:themeFill="background2"/>
          </w:tcPr>
          <w:p w:rsidR="00B11CD4" w:rsidRDefault="00B11CD4" w:rsidP="00E8171E">
            <w:pPr>
              <w:pStyle w:val="Chart"/>
              <w:spacing w:before="120" w:after="120"/>
              <w:jc w:val="center"/>
            </w:pPr>
            <w:r>
              <w:rPr>
                <w:noProof/>
                <w:lang w:eastAsia="en-AU"/>
              </w:rPr>
              <w:drawing>
                <wp:inline distT="0" distB="0" distL="0" distR="0" wp14:anchorId="43E717CF" wp14:editId="59EBD65A">
                  <wp:extent cx="4778954" cy="3249471"/>
                  <wp:effectExtent l="0" t="0" r="3175" b="8255"/>
                  <wp:docPr id="6" name="Picture 6" descr="This maps shows the climate zones defined by ABCB." title="G.7 ABCB Climate Z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D0A3A.tmp"/>
                          <pic:cNvPicPr/>
                        </pic:nvPicPr>
                        <pic:blipFill>
                          <a:blip r:embed="rId79">
                            <a:extLst>
                              <a:ext uri="{28A0092B-C50C-407E-A947-70E740481C1C}">
                                <a14:useLocalDpi xmlns:a14="http://schemas.microsoft.com/office/drawing/2010/main" val="0"/>
                              </a:ext>
                            </a:extLst>
                          </a:blip>
                          <a:stretch>
                            <a:fillRect/>
                          </a:stretch>
                        </pic:blipFill>
                        <pic:spPr>
                          <a:xfrm>
                            <a:off x="0" y="0"/>
                            <a:ext cx="4778954" cy="3249471"/>
                          </a:xfrm>
                          <a:prstGeom prst="rect">
                            <a:avLst/>
                          </a:prstGeom>
                        </pic:spPr>
                      </pic:pic>
                    </a:graphicData>
                  </a:graphic>
                </wp:inline>
              </w:drawing>
            </w:r>
          </w:p>
        </w:tc>
      </w:tr>
    </w:tbl>
    <w:p w:rsidR="00B11CD4" w:rsidRDefault="00B11CD4" w:rsidP="00613AA4">
      <w:pPr>
        <w:pStyle w:val="Source"/>
      </w:pPr>
      <w:r>
        <w:rPr>
          <w:i/>
        </w:rPr>
        <w:t>Data source</w:t>
      </w:r>
      <w:r w:rsidRPr="00A67576">
        <w:rPr>
          <w:i/>
        </w:rPr>
        <w:t>:</w:t>
      </w:r>
      <w:r>
        <w:t xml:space="preserve"> ABCB website, </w:t>
      </w:r>
      <w:hyperlink r:id="rId80" w:history="1">
        <w:r w:rsidRPr="00F9715D">
          <w:rPr>
            <w:rStyle w:val="Hyperlink"/>
          </w:rPr>
          <w:t>https://www.abcb.gov.au/Resources/Tools-Calculators/Climate-Zone-Map-Australia-Wide</w:t>
        </w:r>
      </w:hyperlink>
      <w:r>
        <w:t>, accessed 26 September 2018.</w:t>
      </w:r>
    </w:p>
    <w:p w:rsidR="00B11CD4" w:rsidRDefault="00B11CD4" w:rsidP="00612FD3">
      <w:pPr>
        <w:pStyle w:val="BodyText"/>
        <w:rPr>
          <w:lang w:bidi="fa-IR"/>
        </w:rPr>
      </w:pPr>
    </w:p>
    <w:p w:rsidR="00612FD3" w:rsidRDefault="00612FD3" w:rsidP="00612FD3">
      <w:pPr>
        <w:pStyle w:val="BodyText"/>
        <w:rPr>
          <w:lang w:bidi="fa-IR"/>
        </w:rPr>
      </w:pPr>
    </w:p>
    <w:p w:rsidR="00612FD3" w:rsidRDefault="00612FD3" w:rsidP="00612FD3">
      <w:pPr>
        <w:pStyle w:val="Heading6"/>
        <w:numPr>
          <w:ilvl w:val="5"/>
          <w:numId w:val="5"/>
        </w:numPr>
      </w:pPr>
      <w:bookmarkStart w:id="8251" w:name="_Toc499847031"/>
      <w:bookmarkStart w:id="8252" w:name="_Toc505120627"/>
      <w:bookmarkStart w:id="8253" w:name="_Toc507523779"/>
      <w:bookmarkStart w:id="8254" w:name="_Ref508112277"/>
      <w:bookmarkStart w:id="8255" w:name="_Toc509220828"/>
      <w:bookmarkStart w:id="8256" w:name="_Toc529869889"/>
      <w:bookmarkStart w:id="8257" w:name="_Toc530748607"/>
      <w:r>
        <w:t>Valuing the benefits of saving energy</w:t>
      </w:r>
      <w:bookmarkEnd w:id="8251"/>
      <w:bookmarkEnd w:id="8252"/>
      <w:bookmarkEnd w:id="8253"/>
      <w:bookmarkEnd w:id="8254"/>
      <w:bookmarkEnd w:id="8255"/>
      <w:bookmarkEnd w:id="8256"/>
      <w:bookmarkEnd w:id="8257"/>
    </w:p>
    <w:p w:rsidR="00612FD3" w:rsidRDefault="00612FD3" w:rsidP="00612FD3">
      <w:pPr>
        <w:pStyle w:val="BodyText"/>
      </w:pPr>
      <w:r>
        <w:t>Energy saved is typically valued in terms of:</w:t>
      </w:r>
    </w:p>
    <w:p w:rsidR="00612FD3" w:rsidRDefault="00612FD3" w:rsidP="00612FD3">
      <w:pPr>
        <w:pStyle w:val="ListBullet"/>
        <w:numPr>
          <w:ilvl w:val="0"/>
          <w:numId w:val="36"/>
        </w:numPr>
      </w:pPr>
      <w:r>
        <w:t>the resource cost savings; and</w:t>
      </w:r>
    </w:p>
    <w:p w:rsidR="00612FD3" w:rsidRDefault="00612FD3" w:rsidP="00612FD3">
      <w:pPr>
        <w:pStyle w:val="ListBullet"/>
        <w:numPr>
          <w:ilvl w:val="0"/>
          <w:numId w:val="36"/>
        </w:numPr>
      </w:pPr>
      <w:r>
        <w:t>the environmental benefits.</w:t>
      </w:r>
    </w:p>
    <w:p w:rsidR="00612FD3" w:rsidRDefault="00612FD3" w:rsidP="00612FD3">
      <w:pPr>
        <w:pStyle w:val="Heading2"/>
        <w:numPr>
          <w:ilvl w:val="1"/>
          <w:numId w:val="5"/>
        </w:numPr>
      </w:pPr>
      <w:bookmarkStart w:id="8258" w:name="_Toc499847032"/>
      <w:bookmarkStart w:id="8259" w:name="_Toc505120628"/>
      <w:bookmarkStart w:id="8260" w:name="_Toc507523780"/>
      <w:bookmarkStart w:id="8261" w:name="_Toc509220829"/>
      <w:bookmarkStart w:id="8262" w:name="_Toc529869890"/>
      <w:bookmarkStart w:id="8263" w:name="_Toc530748608"/>
      <w:r>
        <w:t>Resource cost savings</w:t>
      </w:r>
      <w:bookmarkEnd w:id="8258"/>
      <w:bookmarkEnd w:id="8259"/>
      <w:bookmarkEnd w:id="8260"/>
      <w:bookmarkEnd w:id="8261"/>
      <w:bookmarkEnd w:id="8262"/>
      <w:bookmarkEnd w:id="8263"/>
    </w:p>
    <w:p w:rsidR="00612FD3" w:rsidRDefault="00612FD3" w:rsidP="00612FD3">
      <w:pPr>
        <w:pStyle w:val="BodyText"/>
      </w:pPr>
      <w:r>
        <w:t>According to Lazar and Colborn (2013)</w:t>
      </w:r>
      <w:r>
        <w:rPr>
          <w:rStyle w:val="FootnoteReference"/>
        </w:rPr>
        <w:footnoteReference w:id="133"/>
      </w:r>
      <w:r>
        <w:t>, there are two broad approaches to valuing the benefits of energy saved.</w:t>
      </w:r>
    </w:p>
    <w:p w:rsidR="00612FD3" w:rsidRDefault="00612FD3" w:rsidP="00612FD3">
      <w:pPr>
        <w:pStyle w:val="ListBullet"/>
        <w:numPr>
          <w:ilvl w:val="0"/>
          <w:numId w:val="36"/>
        </w:numPr>
      </w:pPr>
      <w:r>
        <w:t>Capacity and energy approach — under this approach, the costs of building and operating power plants are separated into capacity component (this includes the capital costs of meeting peak demand) and an energy component representing the remaining costs of power supply.</w:t>
      </w:r>
    </w:p>
    <w:p w:rsidR="00612FD3" w:rsidRDefault="00612FD3" w:rsidP="00612FD3">
      <w:pPr>
        <w:pStyle w:val="ListBullet"/>
        <w:numPr>
          <w:ilvl w:val="0"/>
          <w:numId w:val="36"/>
        </w:numPr>
      </w:pPr>
      <w:r>
        <w:t>Market pricing approach — under this approach, the energy saved through improved energy efficiency is valued based on the market price (i.e. bill savings). Lazar and Colborn (2013) argue that in many cases, the market price internalises many of the costs outlined above and therefore may be a more precise measure of costs (depending on what costs are internalised in the market price).</w:t>
      </w:r>
    </w:p>
    <w:p w:rsidR="00612FD3" w:rsidRDefault="00612FD3" w:rsidP="00612FD3">
      <w:pPr>
        <w:pStyle w:val="BodyText"/>
      </w:pPr>
      <w:r>
        <w:t>Both approaches have been used in energy efficiency studies in the Australian context.</w:t>
      </w:r>
    </w:p>
    <w:p w:rsidR="00612FD3" w:rsidRDefault="00612FD3" w:rsidP="00612FD3">
      <w:pPr>
        <w:pStyle w:val="Heading3"/>
        <w:numPr>
          <w:ilvl w:val="2"/>
          <w:numId w:val="5"/>
        </w:numPr>
      </w:pPr>
      <w:r>
        <w:t>The capacity and energy approach</w:t>
      </w:r>
    </w:p>
    <w:p w:rsidR="00612FD3" w:rsidRDefault="00612FD3" w:rsidP="00612FD3">
      <w:pPr>
        <w:pStyle w:val="BodyText"/>
      </w:pPr>
      <w:r>
        <w:t>In a CBA of NSW Government energy efficiency schemes, Jacobs (2014) used the capacity and energy approach, with the benefits including:</w:t>
      </w:r>
    </w:p>
    <w:p w:rsidR="00612FD3" w:rsidRDefault="00612FD3" w:rsidP="00612FD3">
      <w:pPr>
        <w:pStyle w:val="ListBullet"/>
        <w:numPr>
          <w:ilvl w:val="0"/>
          <w:numId w:val="36"/>
        </w:numPr>
      </w:pPr>
      <w:r>
        <w:t>Wholesale market benefits, including:</w:t>
      </w:r>
    </w:p>
    <w:p w:rsidR="00612FD3" w:rsidRDefault="00612FD3" w:rsidP="00612FD3">
      <w:pPr>
        <w:pStyle w:val="ListBullet2"/>
        <w:numPr>
          <w:ilvl w:val="1"/>
          <w:numId w:val="36"/>
        </w:numPr>
      </w:pPr>
      <w:r>
        <w:t>electricity market benefits, such as avoided fuel costs, avoided variable operating and maintenance costs and deferred infrastructure; and</w:t>
      </w:r>
    </w:p>
    <w:p w:rsidR="00612FD3" w:rsidRDefault="00612FD3" w:rsidP="00612FD3">
      <w:pPr>
        <w:pStyle w:val="ListBullet2"/>
        <w:numPr>
          <w:ilvl w:val="1"/>
          <w:numId w:val="36"/>
        </w:numPr>
      </w:pPr>
      <w:r>
        <w:t>gas market benefits including deferred gas production and delivery infrastructure.</w:t>
      </w:r>
    </w:p>
    <w:p w:rsidR="00612FD3" w:rsidRDefault="00612FD3" w:rsidP="00612FD3">
      <w:pPr>
        <w:pStyle w:val="ListBullet"/>
        <w:numPr>
          <w:ilvl w:val="0"/>
          <w:numId w:val="36"/>
        </w:numPr>
      </w:pPr>
      <w:r>
        <w:t>Network benefits, including transmission and distribution infrastructure deferrals. These are estimated by:</w:t>
      </w:r>
    </w:p>
    <w:p w:rsidR="00612FD3" w:rsidRDefault="00612FD3" w:rsidP="00612FD3">
      <w:pPr>
        <w:pStyle w:val="ListBullet2"/>
        <w:numPr>
          <w:ilvl w:val="1"/>
          <w:numId w:val="36"/>
        </w:numPr>
      </w:pPr>
      <w:r>
        <w:t>estimating peak reduction by network service area by converting the energy savings to peak reduction using estimates of the conservation load factor (CLF);</w:t>
      </w:r>
    </w:p>
    <w:p w:rsidR="00612FD3" w:rsidRDefault="00612FD3" w:rsidP="00612FD3">
      <w:pPr>
        <w:pStyle w:val="ListBullet2"/>
        <w:numPr>
          <w:ilvl w:val="1"/>
          <w:numId w:val="36"/>
        </w:numPr>
      </w:pPr>
      <w:r>
        <w:t>converting peak demand reductions to an estimate of network capacity deferral, by calculating the year on year incremental growth; and</w:t>
      </w:r>
    </w:p>
    <w:p w:rsidR="00612FD3" w:rsidRDefault="00612FD3" w:rsidP="00612FD3">
      <w:pPr>
        <w:pStyle w:val="ListBullet2"/>
        <w:numPr>
          <w:ilvl w:val="1"/>
          <w:numId w:val="36"/>
        </w:numPr>
      </w:pPr>
      <w:r>
        <w:t>applying a distribution and transmission deferral benefit factor to the estimates of network capacity deferral.</w:t>
      </w:r>
      <w:r>
        <w:rPr>
          <w:rStyle w:val="FootnoteReference"/>
        </w:rPr>
        <w:footnoteReference w:id="134"/>
      </w:r>
    </w:p>
    <w:p w:rsidR="00612FD3" w:rsidRDefault="00612FD3" w:rsidP="00612FD3">
      <w:pPr>
        <w:pStyle w:val="BodyText"/>
      </w:pPr>
      <w:r>
        <w:t>Similarly, a recent report by Houston</w:t>
      </w:r>
      <w:r>
        <w:noBreakHyphen/>
        <w:t>Kemp for the Department of the Environment and Energy (DEE) setting out a CBA methodology in relation to residential energy efficiency, also advocates valuing energy savings based on avoided wholesale and network</w:t>
      </w:r>
      <w:r>
        <w:noBreakHyphen/>
        <w:t>related costs, although proposes a different approach to valuing these elements. Under the approach proposed by Houston</w:t>
      </w:r>
      <w:r>
        <w:noBreakHyphen/>
        <w:t>Kemp:</w:t>
      </w:r>
    </w:p>
    <w:p w:rsidR="00612FD3" w:rsidRDefault="00612FD3" w:rsidP="00612FD3">
      <w:pPr>
        <w:pStyle w:val="ListBullet"/>
        <w:numPr>
          <w:ilvl w:val="0"/>
          <w:numId w:val="36"/>
        </w:numPr>
      </w:pPr>
      <w:r>
        <w:t>wholesale costs are valued at wholesale market prices; and</w:t>
      </w:r>
    </w:p>
    <w:p w:rsidR="00612FD3" w:rsidRDefault="00612FD3" w:rsidP="00612FD3">
      <w:pPr>
        <w:pStyle w:val="ListBullet"/>
        <w:numPr>
          <w:ilvl w:val="0"/>
          <w:numId w:val="36"/>
        </w:numPr>
      </w:pPr>
      <w:r>
        <w:t>network</w:t>
      </w:r>
      <w:r>
        <w:noBreakHyphen/>
        <w:t>related costs are valued using the long</w:t>
      </w:r>
      <w:r>
        <w:noBreakHyphen/>
        <w:t>run marginal cost (LRMC — see box </w:t>
      </w:r>
      <w:r>
        <w:rPr>
          <w:noProof/>
        </w:rPr>
        <w:fldChar w:fldCharType="begin"/>
      </w:r>
      <w:r>
        <w:rPr>
          <w:noProof/>
        </w:rPr>
        <w:instrText xml:space="preserve"> REF _Caption9986 </w:instrText>
      </w:r>
      <w:r>
        <w:rPr>
          <w:noProof/>
        </w:rPr>
        <w:fldChar w:fldCharType="separate"/>
      </w:r>
      <w:r w:rsidR="006B79B8">
        <w:rPr>
          <w:noProof/>
        </w:rPr>
        <w:t>H</w:t>
      </w:r>
      <w:r w:rsidR="006B79B8" w:rsidRPr="00E05C8C">
        <w:rPr>
          <w:noProof/>
        </w:rPr>
        <w:t>.</w:t>
      </w:r>
      <w:r w:rsidR="006B79B8">
        <w:rPr>
          <w:noProof/>
        </w:rPr>
        <w:t>1</w:t>
      </w:r>
      <w:r>
        <w:rPr>
          <w:noProof/>
        </w:rPr>
        <w:fldChar w:fldCharType="end"/>
      </w:r>
      <w:r>
        <w:t xml:space="preserve"> for further details).</w:t>
      </w:r>
      <w:r>
        <w:rPr>
          <w:rStyle w:val="FootnoteReference"/>
        </w:rPr>
        <w:footnoteReference w:id="135"/>
      </w:r>
    </w:p>
    <w:p w:rsidR="00612FD3" w:rsidRDefault="00612FD3" w:rsidP="00612FD3">
      <w:pPr>
        <w:pStyle w:val="Invisiblepara"/>
      </w:pPr>
    </w:p>
    <w:tbl>
      <w:tblPr>
        <w:tblW w:w="7938" w:type="dxa"/>
        <w:tblBorders>
          <w:top w:val="single" w:sz="2" w:space="0" w:color="auto"/>
          <w:left w:val="single" w:sz="2" w:space="0" w:color="auto"/>
          <w:bottom w:val="single" w:sz="2" w:space="0" w:color="auto"/>
          <w:right w:val="single" w:sz="2" w:space="0" w:color="auto"/>
        </w:tblBorders>
        <w:tblLayout w:type="fixed"/>
        <w:tblCellMar>
          <w:left w:w="142" w:type="dxa"/>
          <w:right w:w="142" w:type="dxa"/>
        </w:tblCellMar>
        <w:tblLook w:val="0000" w:firstRow="0" w:lastRow="0" w:firstColumn="0" w:lastColumn="0" w:noHBand="0" w:noVBand="0"/>
        <w:tblCaption w:val="Table H.1 Long-run marginal cost"/>
        <w:tblDescription w:val="This table explains the difference between short-run marginal costs and long-run marginal costs. "/>
      </w:tblPr>
      <w:tblGrid>
        <w:gridCol w:w="7938"/>
      </w:tblGrid>
      <w:tr w:rsidR="00612FD3" w:rsidRPr="00E05C8C" w:rsidTr="00301B6D">
        <w:trPr>
          <w:cantSplit/>
        </w:trPr>
        <w:tc>
          <w:tcPr>
            <w:tcW w:w="7938" w:type="dxa"/>
            <w:tcBorders>
              <w:top w:val="nil"/>
              <w:left w:val="nil"/>
              <w:bottom w:val="nil"/>
              <w:right w:val="nil"/>
            </w:tcBorders>
            <w:shd w:val="clear" w:color="auto" w:fill="C6BFAB" w:themeFill="accent3"/>
          </w:tcPr>
          <w:bookmarkStart w:id="8265" w:name="_Toc529870006"/>
          <w:p w:rsidR="00612FD3" w:rsidRPr="00E05C8C" w:rsidRDefault="00612FD3" w:rsidP="00612FD3">
            <w:pPr>
              <w:pStyle w:val="Caption"/>
              <w:numPr>
                <w:ilvl w:val="0"/>
                <w:numId w:val="19"/>
              </w:numPr>
              <w:spacing w:before="120" w:after="100"/>
            </w:pPr>
            <w:r w:rsidRPr="00E05C8C">
              <w:fldChar w:fldCharType="begin"/>
            </w:r>
            <w:bookmarkEnd w:id="8265"/>
            <w:r w:rsidRPr="00E05C8C">
              <w:instrText xml:space="preserve"> IF 1 = 1 "</w:instrText>
            </w:r>
            <w:r w:rsidRPr="00E05C8C">
              <w:fldChar w:fldCharType="begin"/>
            </w:r>
            <w:r w:rsidRPr="00E05C8C">
              <w:instrText xml:space="preserve"> IF </w:instrText>
            </w:r>
            <w:r>
              <w:rPr>
                <w:noProof/>
              </w:rPr>
              <w:fldChar w:fldCharType="begin"/>
            </w:r>
            <w:r>
              <w:rPr>
                <w:noProof/>
              </w:rPr>
              <w:instrText xml:space="preserve"> STYLEREF "Heading 6" \l \n </w:instrText>
            </w:r>
            <w:r>
              <w:rPr>
                <w:noProof/>
              </w:rPr>
              <w:fldChar w:fldCharType="separate"/>
            </w:r>
            <w:r w:rsidR="006B79B8">
              <w:rPr>
                <w:noProof/>
              </w:rPr>
              <w:instrText>H</w:instrText>
            </w:r>
            <w:r>
              <w:rPr>
                <w:noProof/>
              </w:rPr>
              <w:fldChar w:fldCharType="end"/>
            </w:r>
            <w:r w:rsidRPr="00E05C8C">
              <w:instrText xml:space="preserve"> = 0 "</w:instrText>
            </w:r>
            <w:r w:rsidRPr="00E05C8C">
              <w:fldChar w:fldCharType="begin"/>
            </w:r>
            <w:r w:rsidRPr="00E05C8C">
              <w:instrText xml:space="preserve"> IF </w:instrText>
            </w:r>
            <w:r w:rsidRPr="00E05C8C">
              <w:fldChar w:fldCharType="begin"/>
            </w:r>
            <w:r w:rsidRPr="00E05C8C">
              <w:instrText xml:space="preserve"> STYLEREF "Heading 1" \l \n </w:instrText>
            </w:r>
            <w:r w:rsidRPr="00E05C8C">
              <w:fldChar w:fldCharType="separate"/>
            </w:r>
            <w:r>
              <w:rPr>
                <w:b/>
                <w:bCs/>
                <w:noProof/>
                <w:lang w:val="en-US"/>
              </w:rPr>
              <w:instrText>Error! No text of specified style in document.</w:instrText>
            </w:r>
            <w:r w:rsidRPr="00E05C8C">
              <w:fldChar w:fldCharType="end"/>
            </w:r>
            <w:r w:rsidRPr="00E05C8C">
              <w:instrText xml:space="preserve"> = 0 "" "</w:instrText>
            </w:r>
            <w:r w:rsidRPr="00E05C8C">
              <w:fldChar w:fldCharType="begin"/>
            </w:r>
            <w:r w:rsidRPr="00E05C8C">
              <w:instrText xml:space="preserve"> STYLEREF "Heading 1" \l \n </w:instrText>
            </w:r>
            <w:r w:rsidRPr="00E05C8C">
              <w:fldChar w:fldCharType="separate"/>
            </w:r>
            <w:r>
              <w:rPr>
                <w:b/>
                <w:bCs/>
                <w:noProof/>
                <w:lang w:val="en-US"/>
              </w:rPr>
              <w:instrText>Error! No text of specified style in document.</w:instrText>
            </w:r>
            <w:r w:rsidRPr="00E05C8C">
              <w:fldChar w:fldCharType="end"/>
            </w:r>
            <w:r w:rsidRPr="00E05C8C">
              <w:instrText xml:space="preserve">." </w:instrText>
            </w:r>
            <w:r w:rsidRPr="00E05C8C">
              <w:fldChar w:fldCharType="separate"/>
            </w:r>
            <w:r>
              <w:rPr>
                <w:b/>
                <w:bCs/>
                <w:noProof/>
                <w:lang w:val="en-US"/>
              </w:rPr>
              <w:instrText>Error! No text of specified style in document.</w:instrText>
            </w:r>
            <w:r w:rsidRPr="00E05C8C">
              <w:rPr>
                <w:noProof/>
              </w:rPr>
              <w:instrText>.</w:instrText>
            </w:r>
            <w:r w:rsidRPr="00E05C8C">
              <w:fldChar w:fldCharType="end"/>
            </w:r>
            <w:r w:rsidRPr="00E05C8C">
              <w:instrText>" "</w:instrText>
            </w:r>
            <w:r>
              <w:rPr>
                <w:noProof/>
              </w:rPr>
              <w:fldChar w:fldCharType="begin"/>
            </w:r>
            <w:r>
              <w:rPr>
                <w:noProof/>
              </w:rPr>
              <w:instrText xml:space="preserve"> STYLEREF "Heading 6" \l \n </w:instrText>
            </w:r>
            <w:r>
              <w:rPr>
                <w:noProof/>
              </w:rPr>
              <w:fldChar w:fldCharType="separate"/>
            </w:r>
            <w:r w:rsidR="006B79B8">
              <w:rPr>
                <w:noProof/>
              </w:rPr>
              <w:instrText>H</w:instrText>
            </w:r>
            <w:r>
              <w:rPr>
                <w:noProof/>
              </w:rPr>
              <w:fldChar w:fldCharType="end"/>
            </w:r>
            <w:r w:rsidRPr="00E05C8C">
              <w:instrText xml:space="preserve">." </w:instrText>
            </w:r>
            <w:r w:rsidRPr="00E05C8C">
              <w:fldChar w:fldCharType="separate"/>
            </w:r>
            <w:r w:rsidR="006B79B8">
              <w:rPr>
                <w:noProof/>
              </w:rPr>
              <w:instrText>H</w:instrText>
            </w:r>
            <w:r w:rsidR="006B79B8" w:rsidRPr="00E05C8C">
              <w:rPr>
                <w:noProof/>
              </w:rPr>
              <w:instrText>.</w:instrText>
            </w:r>
            <w:r w:rsidRPr="00E05C8C">
              <w:fldChar w:fldCharType="end"/>
            </w:r>
            <w:r w:rsidRPr="00E05C8C">
              <w:fldChar w:fldCharType="begin"/>
            </w:r>
            <w:r w:rsidRPr="00E05C8C">
              <w:instrText xml:space="preserve"> SEQ Item \* ARABIC \s </w:instrText>
            </w:r>
            <w:r w:rsidRPr="00E05C8C">
              <w:fldChar w:fldCharType="begin"/>
            </w:r>
            <w:r w:rsidRPr="00E05C8C">
              <w:instrText xml:space="preserve"> IF </w:instrText>
            </w:r>
            <w:r>
              <w:rPr>
                <w:noProof/>
              </w:rPr>
              <w:fldChar w:fldCharType="begin"/>
            </w:r>
            <w:r>
              <w:rPr>
                <w:noProof/>
              </w:rPr>
              <w:instrText xml:space="preserve"> STYLEREF "Heading 6" \l \n </w:instrText>
            </w:r>
            <w:r>
              <w:rPr>
                <w:noProof/>
              </w:rPr>
              <w:fldChar w:fldCharType="separate"/>
            </w:r>
            <w:r w:rsidR="006B79B8">
              <w:rPr>
                <w:noProof/>
              </w:rPr>
              <w:instrText>H</w:instrText>
            </w:r>
            <w:r>
              <w:rPr>
                <w:noProof/>
              </w:rPr>
              <w:fldChar w:fldCharType="end"/>
            </w:r>
            <w:r w:rsidRPr="00E05C8C">
              <w:instrText xml:space="preserve"> = 0 "</w:instrText>
            </w:r>
            <w:r w:rsidRPr="00E05C8C">
              <w:fldChar w:fldCharType="begin"/>
            </w:r>
            <w:r w:rsidRPr="00E05C8C">
              <w:instrText xml:space="preserve"> IF </w:instrText>
            </w:r>
            <w:r w:rsidRPr="00E05C8C">
              <w:fldChar w:fldCharType="begin"/>
            </w:r>
            <w:r w:rsidRPr="00E05C8C">
              <w:instrText xml:space="preserve"> STYLEREF "Heading 1" \l \n </w:instrText>
            </w:r>
            <w:r w:rsidRPr="00E05C8C">
              <w:fldChar w:fldCharType="separate"/>
            </w:r>
            <w:r>
              <w:rPr>
                <w:b/>
                <w:bCs/>
                <w:noProof/>
                <w:lang w:val="en-US"/>
              </w:rPr>
              <w:instrText>Error! No text of specified style in document.</w:instrText>
            </w:r>
            <w:r w:rsidRPr="00E05C8C">
              <w:fldChar w:fldCharType="end"/>
            </w:r>
            <w:r w:rsidRPr="00E05C8C">
              <w:instrText xml:space="preserve"> = 0 "" "1" </w:instrText>
            </w:r>
            <w:r w:rsidRPr="00E05C8C">
              <w:fldChar w:fldCharType="separate"/>
            </w:r>
            <w:r w:rsidRPr="00E05C8C">
              <w:rPr>
                <w:noProof/>
              </w:rPr>
              <w:instrText>1</w:instrText>
            </w:r>
            <w:r w:rsidRPr="00E05C8C">
              <w:fldChar w:fldCharType="end"/>
            </w:r>
            <w:r w:rsidRPr="00E05C8C">
              <w:instrText xml:space="preserve">" "6" </w:instrText>
            </w:r>
            <w:r w:rsidRPr="00E05C8C">
              <w:fldChar w:fldCharType="separate"/>
            </w:r>
            <w:r w:rsidR="006B79B8" w:rsidRPr="00E05C8C">
              <w:rPr>
                <w:noProof/>
              </w:rPr>
              <w:instrText>6</w:instrText>
            </w:r>
            <w:r w:rsidRPr="00E05C8C">
              <w:fldChar w:fldCharType="end"/>
            </w:r>
            <w:r w:rsidRPr="00E05C8C">
              <w:instrText xml:space="preserve"> </w:instrText>
            </w:r>
            <w:r w:rsidRPr="00E05C8C">
              <w:fldChar w:fldCharType="separate"/>
            </w:r>
            <w:r w:rsidR="006B79B8">
              <w:rPr>
                <w:noProof/>
              </w:rPr>
              <w:instrText>1</w:instrText>
            </w:r>
            <w:r w:rsidRPr="00E05C8C">
              <w:fldChar w:fldCharType="end"/>
            </w:r>
            <w:r w:rsidRPr="00E05C8C">
              <w:instrText xml:space="preserve">" "" </w:instrText>
            </w:r>
            <w:r w:rsidRPr="00E05C8C">
              <w:fldChar w:fldCharType="separate"/>
            </w:r>
            <w:bookmarkStart w:id="8266" w:name="_Caption4744"/>
            <w:bookmarkStart w:id="8267" w:name="_Caption4220"/>
            <w:bookmarkStart w:id="8268" w:name="_Caption5771"/>
            <w:bookmarkStart w:id="8269" w:name="_Caption4658"/>
            <w:bookmarkStart w:id="8270" w:name="_Caption7754"/>
            <w:bookmarkStart w:id="8271" w:name="_Caption4526"/>
            <w:bookmarkStart w:id="8272" w:name="_Caption6022"/>
            <w:bookmarkStart w:id="8273" w:name="_Caption1228"/>
            <w:bookmarkStart w:id="8274" w:name="_Caption2342"/>
            <w:bookmarkStart w:id="8275" w:name="_Caption4908"/>
            <w:bookmarkStart w:id="8276" w:name="_Caption3637"/>
            <w:bookmarkStart w:id="8277" w:name="_Caption0149"/>
            <w:bookmarkStart w:id="8278" w:name="_Caption7861"/>
            <w:bookmarkStart w:id="8279" w:name="_Caption5064"/>
            <w:bookmarkStart w:id="8280" w:name="_Caption0913"/>
            <w:bookmarkStart w:id="8281" w:name="_Caption1009"/>
            <w:bookmarkStart w:id="8282" w:name="_Caption3710"/>
            <w:bookmarkStart w:id="8283" w:name="_Caption9259"/>
            <w:bookmarkStart w:id="8284" w:name="_Caption4140"/>
            <w:bookmarkStart w:id="8285" w:name="_Caption6865"/>
            <w:bookmarkStart w:id="8286" w:name="_Caption1522"/>
            <w:bookmarkStart w:id="8287" w:name="_Caption8681"/>
            <w:bookmarkStart w:id="8288" w:name="_Caption6662"/>
            <w:bookmarkStart w:id="8289" w:name="_Caption2464"/>
            <w:bookmarkStart w:id="8290" w:name="_Caption2264"/>
            <w:bookmarkStart w:id="8291" w:name="_Caption9539"/>
            <w:bookmarkStart w:id="8292" w:name="_Caption9078"/>
            <w:bookmarkStart w:id="8293" w:name="_Caption0919"/>
            <w:bookmarkStart w:id="8294" w:name="_Caption5735"/>
            <w:bookmarkStart w:id="8295" w:name="_Caption6672"/>
            <w:bookmarkStart w:id="8296" w:name="_Caption0498"/>
            <w:bookmarkStart w:id="8297" w:name="_Caption1163"/>
            <w:bookmarkStart w:id="8298" w:name="_Caption5804"/>
            <w:bookmarkStart w:id="8299" w:name="_Caption7693"/>
            <w:bookmarkStart w:id="8300" w:name="_Caption5018"/>
            <w:bookmarkStart w:id="8301" w:name="_Caption2292"/>
            <w:bookmarkStart w:id="8302" w:name="_Caption8648"/>
            <w:bookmarkStart w:id="8303" w:name="_Caption9909"/>
            <w:bookmarkStart w:id="8304" w:name="_Caption9320"/>
            <w:bookmarkStart w:id="8305" w:name="_Caption0759"/>
            <w:bookmarkStart w:id="8306" w:name="_Caption8115"/>
            <w:bookmarkStart w:id="8307" w:name="_Caption8819"/>
            <w:bookmarkStart w:id="8308" w:name="_Caption3482"/>
            <w:bookmarkStart w:id="8309" w:name="_Caption9255"/>
            <w:bookmarkStart w:id="8310" w:name="_Caption0676"/>
            <w:bookmarkStart w:id="8311" w:name="_Caption3238"/>
            <w:bookmarkStart w:id="8312" w:name="_Caption7687"/>
            <w:bookmarkStart w:id="8313" w:name="_Caption1457"/>
            <w:bookmarkStart w:id="8314" w:name="_Caption3318"/>
            <w:bookmarkStart w:id="8315" w:name="_Caption8299"/>
            <w:bookmarkStart w:id="8316" w:name="_Caption6788"/>
            <w:bookmarkStart w:id="8317" w:name="_Caption8775"/>
            <w:bookmarkStart w:id="8318" w:name="_Caption3528"/>
            <w:bookmarkStart w:id="8319" w:name="_Caption9609"/>
            <w:bookmarkStart w:id="8320" w:name="_Caption7899"/>
            <w:bookmarkStart w:id="8321" w:name="_Caption3119"/>
            <w:bookmarkStart w:id="8322" w:name="_Caption2589"/>
            <w:bookmarkStart w:id="8323" w:name="_Caption3394"/>
            <w:bookmarkStart w:id="8324" w:name="_Caption9100"/>
            <w:bookmarkStart w:id="8325" w:name="_Caption9986"/>
            <w:bookmarkStart w:id="8326" w:name="_Caption1873"/>
            <w:bookmarkStart w:id="8327" w:name="_Caption5266"/>
            <w:bookmarkStart w:id="8328" w:name="_Caption2246"/>
            <w:bookmarkStart w:id="8329" w:name="_Caption1049"/>
            <w:bookmarkStart w:id="8330" w:name="_Caption5352"/>
            <w:bookmarkStart w:id="8331" w:name="_Caption0165"/>
            <w:bookmarkStart w:id="8332" w:name="_Caption0559"/>
            <w:bookmarkStart w:id="8333" w:name="_Caption4224"/>
            <w:bookmarkStart w:id="8334" w:name="_Caption9729"/>
            <w:bookmarkStart w:id="8335" w:name="_Caption2509"/>
            <w:bookmarkStart w:id="8336" w:name="_Caption0563"/>
            <w:bookmarkStart w:id="8337" w:name="_Caption9147"/>
            <w:bookmarkStart w:id="8338" w:name="_Caption8239"/>
            <w:bookmarkStart w:id="8339" w:name="_Caption2930"/>
            <w:bookmarkStart w:id="8340" w:name="_Caption4267"/>
            <w:bookmarkStart w:id="8341" w:name="_Caption1020"/>
            <w:bookmarkStart w:id="8342" w:name="_Caption1128"/>
            <w:bookmarkStart w:id="8343" w:name="_Caption6214"/>
            <w:bookmarkStart w:id="8344" w:name="_Caption9076"/>
            <w:bookmarkStart w:id="8345" w:name="_Caption3582"/>
            <w:bookmarkStart w:id="8346" w:name="_Caption0182"/>
            <w:bookmarkStart w:id="8347" w:name="_Caption3079"/>
            <w:bookmarkStart w:id="8348" w:name="_Caption9718"/>
            <w:bookmarkStart w:id="8349" w:name="_Caption9646"/>
            <w:bookmarkStart w:id="8350" w:name="_Caption4700"/>
            <w:bookmarkStart w:id="8351" w:name="_Caption1829"/>
            <w:bookmarkStart w:id="8352" w:name="_Caption2763"/>
            <w:bookmarkStart w:id="8353" w:name="_Caption5565"/>
            <w:bookmarkStart w:id="8354" w:name="_Caption1707"/>
            <w:bookmarkStart w:id="8355" w:name="_Caption4423"/>
            <w:bookmarkStart w:id="8356" w:name="_Caption3997"/>
            <w:bookmarkStart w:id="8357" w:name="_Caption2661"/>
            <w:bookmarkStart w:id="8358" w:name="_Caption4943"/>
            <w:bookmarkStart w:id="8359" w:name="_Caption5970"/>
            <w:bookmarkStart w:id="8360" w:name="_Caption2330"/>
            <w:bookmarkStart w:id="8361" w:name="_Caption4676"/>
            <w:bookmarkStart w:id="8362" w:name="_Caption8213"/>
            <w:bookmarkStart w:id="8363" w:name="_Caption6883"/>
            <w:bookmarkStart w:id="8364" w:name="_Caption8628"/>
            <w:bookmarkStart w:id="8365" w:name="_Caption9619"/>
            <w:bookmarkStart w:id="8366" w:name="_Caption2775"/>
            <w:bookmarkStart w:id="8367" w:name="_Caption6596"/>
            <w:bookmarkStart w:id="8368" w:name="_Caption5553"/>
            <w:bookmarkStart w:id="8369" w:name="_Caption8364"/>
            <w:bookmarkStart w:id="8370" w:name="_Caption4437"/>
            <w:bookmarkStart w:id="8371" w:name="_Caption7700"/>
            <w:bookmarkStart w:id="8372" w:name="_Caption5580"/>
            <w:bookmarkStart w:id="8373" w:name="_Caption7170"/>
            <w:bookmarkStart w:id="8374" w:name="_Caption0429"/>
            <w:bookmarkStart w:id="8375" w:name="_Caption3407"/>
            <w:bookmarkStart w:id="8376" w:name="_Caption5862"/>
            <w:bookmarkStart w:id="8377" w:name="_Caption0401"/>
            <w:bookmarkStart w:id="8378" w:name="_Caption6322"/>
            <w:bookmarkStart w:id="8379" w:name="_Caption2005"/>
            <w:bookmarkStart w:id="8380" w:name="_Toc499847084"/>
            <w:bookmarkStart w:id="8381" w:name="_Toc505120697"/>
            <w:bookmarkStart w:id="8382" w:name="_Toc509220902"/>
            <w:bookmarkStart w:id="8383" w:name="_Toc530748502"/>
            <w:r w:rsidR="00EA42ED">
              <w:rPr>
                <w:noProof/>
              </w:rPr>
              <w:t>H</w:t>
            </w:r>
            <w:r w:rsidR="00EA42ED" w:rsidRPr="00E05C8C">
              <w:rPr>
                <w:noProof/>
              </w:rPr>
              <w:t>.</w:t>
            </w:r>
            <w:r w:rsidR="00EA42ED">
              <w:rPr>
                <w:noProof/>
              </w:rPr>
              <w:t>1</w:t>
            </w:r>
            <w:bookmarkStart w:id="8384" w:name="_Toc507523853"/>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r w:rsidRPr="00E05C8C">
              <w:fldChar w:fldCharType="end"/>
            </w:r>
            <w:r w:rsidRPr="00E05C8C">
              <w:tab/>
            </w:r>
            <w:r>
              <w:t>Long-run marginal cost</w:t>
            </w:r>
            <w:bookmarkEnd w:id="8380"/>
            <w:bookmarkEnd w:id="8381"/>
            <w:bookmarkEnd w:id="8382"/>
            <w:bookmarkEnd w:id="8383"/>
            <w:bookmarkEnd w:id="8384"/>
          </w:p>
        </w:tc>
      </w:tr>
      <w:tr w:rsidR="00612FD3" w:rsidTr="00301B6D">
        <w:tblPrEx>
          <w:tblBorders>
            <w:top w:val="none" w:sz="0" w:space="0" w:color="auto"/>
            <w:left w:val="none" w:sz="0" w:space="0" w:color="auto"/>
            <w:bottom w:val="none" w:sz="0" w:space="0" w:color="auto"/>
            <w:right w:val="none" w:sz="0" w:space="0" w:color="auto"/>
          </w:tblBorders>
          <w:shd w:val="clear" w:color="6F6652" w:fill="F1EFEA"/>
        </w:tblPrEx>
        <w:trPr>
          <w:cantSplit/>
        </w:trPr>
        <w:tc>
          <w:tcPr>
            <w:tcW w:w="7938" w:type="dxa"/>
            <w:shd w:val="clear" w:color="auto" w:fill="E9E8E5" w:themeFill="background2"/>
          </w:tcPr>
          <w:p w:rsidR="00612FD3" w:rsidRDefault="00612FD3" w:rsidP="00301B6D">
            <w:pPr>
              <w:pStyle w:val="BodyText"/>
            </w:pPr>
            <w:r>
              <w:t>Marginal cost is a key concept in economic analysis. It is the additional cost of supplying an additional unit of production. Standard economic theory suggests that in a competitive market, prices reflect the marginal cost of the last unit traded.</w:t>
            </w:r>
          </w:p>
          <w:p w:rsidR="00612FD3" w:rsidRDefault="00612FD3" w:rsidP="00301B6D">
            <w:pPr>
              <w:pStyle w:val="BodyText"/>
            </w:pPr>
            <w:r>
              <w:t>In the context of network services, there is an important distinction between:</w:t>
            </w:r>
          </w:p>
          <w:p w:rsidR="00612FD3" w:rsidRDefault="00612FD3" w:rsidP="00612FD3">
            <w:pPr>
              <w:pStyle w:val="ListBullet"/>
              <w:numPr>
                <w:ilvl w:val="0"/>
                <w:numId w:val="36"/>
              </w:numPr>
            </w:pPr>
            <w:r>
              <w:t>short</w:t>
            </w:r>
            <w:r>
              <w:noBreakHyphen/>
              <w:t>run marginal cost (SRMC) — this is defined as the cost of an incremental change in demand holding physical capacity constant; and</w:t>
            </w:r>
          </w:p>
          <w:p w:rsidR="00612FD3" w:rsidRPr="00BF2F67" w:rsidRDefault="00612FD3" w:rsidP="00612FD3">
            <w:pPr>
              <w:pStyle w:val="ListBullet"/>
              <w:numPr>
                <w:ilvl w:val="0"/>
                <w:numId w:val="36"/>
              </w:numPr>
            </w:pPr>
            <w:r>
              <w:t>long</w:t>
            </w:r>
            <w:r>
              <w:noBreakHyphen/>
              <w:t>run marginal cost (LRMC) — this is the cost of an incremental change in demand including the cost of expanding network capacity.</w:t>
            </w:r>
            <w:r>
              <w:rPr>
                <w:rStyle w:val="FootnoteReference"/>
              </w:rPr>
              <w:footnoteReference w:id="136"/>
            </w:r>
          </w:p>
        </w:tc>
      </w:tr>
      <w:tr w:rsidR="00612FD3" w:rsidTr="00301B6D">
        <w:tblPrEx>
          <w:tblBorders>
            <w:top w:val="none" w:sz="0" w:space="0" w:color="auto"/>
            <w:left w:val="none" w:sz="0" w:space="0" w:color="auto"/>
            <w:bottom w:val="none" w:sz="0" w:space="0" w:color="auto"/>
            <w:right w:val="none" w:sz="0" w:space="0" w:color="auto"/>
          </w:tblBorders>
          <w:shd w:val="clear" w:color="6F6652" w:fill="F1EFEA"/>
        </w:tblPrEx>
        <w:trPr>
          <w:cantSplit/>
          <w:trHeight w:hRule="exact" w:val="142"/>
        </w:trPr>
        <w:tc>
          <w:tcPr>
            <w:tcW w:w="7938" w:type="dxa"/>
            <w:tcBorders>
              <w:bottom w:val="single" w:sz="6" w:space="0" w:color="9B917E" w:themeColor="accent4"/>
            </w:tcBorders>
            <w:shd w:val="clear" w:color="auto" w:fill="E9E8E5" w:themeFill="background2"/>
          </w:tcPr>
          <w:p w:rsidR="00612FD3" w:rsidRDefault="00612FD3" w:rsidP="00301B6D"/>
        </w:tc>
      </w:tr>
      <w:tr w:rsidR="00612FD3" w:rsidTr="00301B6D">
        <w:tblPrEx>
          <w:tblBorders>
            <w:top w:val="none" w:sz="0" w:space="0" w:color="auto"/>
            <w:left w:val="none" w:sz="0" w:space="0" w:color="auto"/>
            <w:bottom w:val="none" w:sz="0" w:space="0" w:color="auto"/>
            <w:right w:val="none" w:sz="0" w:space="0" w:color="auto"/>
          </w:tblBorders>
          <w:shd w:val="clear" w:color="6F6652" w:fill="F1EFEA"/>
        </w:tblPrEx>
        <w:trPr>
          <w:cantSplit/>
          <w:trHeight w:hRule="exact" w:val="198"/>
        </w:trPr>
        <w:tc>
          <w:tcPr>
            <w:tcW w:w="7938" w:type="dxa"/>
            <w:tcBorders>
              <w:top w:val="single" w:sz="6" w:space="0" w:color="9B917E" w:themeColor="accent4"/>
            </w:tcBorders>
            <w:shd w:val="clear" w:color="6F6652" w:fill="auto"/>
          </w:tcPr>
          <w:p w:rsidR="00612FD3" w:rsidRDefault="00612FD3" w:rsidP="00301B6D"/>
        </w:tc>
      </w:tr>
    </w:tbl>
    <w:p w:rsidR="00612FD3" w:rsidRDefault="00612FD3" w:rsidP="00612FD3">
      <w:pPr>
        <w:pStyle w:val="Heading3"/>
        <w:numPr>
          <w:ilvl w:val="2"/>
          <w:numId w:val="5"/>
        </w:numPr>
      </w:pPr>
      <w:r>
        <w:t>The retail price approach</w:t>
      </w:r>
    </w:p>
    <w:p w:rsidR="00612FD3" w:rsidRDefault="00612FD3" w:rsidP="00612FD3">
      <w:pPr>
        <w:pStyle w:val="BodyText"/>
      </w:pPr>
      <w:r>
        <w:t>On the other hand, a range of other studies have valued energy savings based on retail prices. There are broadly four components to retail electricity prices:</w:t>
      </w:r>
      <w:r>
        <w:rPr>
          <w:rStyle w:val="FootnoteReference"/>
        </w:rPr>
        <w:footnoteReference w:id="137"/>
      </w:r>
    </w:p>
    <w:p w:rsidR="00612FD3" w:rsidRDefault="00612FD3" w:rsidP="00612FD3">
      <w:pPr>
        <w:pStyle w:val="ListBullet"/>
        <w:numPr>
          <w:ilvl w:val="0"/>
          <w:numId w:val="36"/>
        </w:numPr>
      </w:pPr>
      <w:r>
        <w:t>Wholesale costs — these costs are set in the wholesale market.</w:t>
      </w:r>
    </w:p>
    <w:p w:rsidR="00612FD3" w:rsidRDefault="00612FD3" w:rsidP="00612FD3">
      <w:pPr>
        <w:pStyle w:val="ListBullet"/>
        <w:numPr>
          <w:ilvl w:val="0"/>
          <w:numId w:val="36"/>
        </w:numPr>
      </w:pPr>
      <w:r>
        <w:t>Network costs (including transmission and distribution) — reflecting the natural monopoly characteristics of electricity networks, this element is regulated by the Australian Energy Regulatory (AER).</w:t>
      </w:r>
    </w:p>
    <w:p w:rsidR="00612FD3" w:rsidRDefault="00612FD3" w:rsidP="00612FD3">
      <w:pPr>
        <w:pStyle w:val="ListBullet"/>
        <w:numPr>
          <w:ilvl w:val="0"/>
          <w:numId w:val="36"/>
        </w:numPr>
      </w:pPr>
      <w:r>
        <w:t>Environmental schemes — this includes costs imposed on retailers (and passed onto users) associated with schemes, such as:</w:t>
      </w:r>
    </w:p>
    <w:p w:rsidR="00612FD3" w:rsidRDefault="00612FD3" w:rsidP="00612FD3">
      <w:pPr>
        <w:pStyle w:val="ListBullet2"/>
        <w:numPr>
          <w:ilvl w:val="1"/>
          <w:numId w:val="36"/>
        </w:numPr>
      </w:pPr>
      <w:r>
        <w:t>the Renewable Energy Target;</w:t>
      </w:r>
    </w:p>
    <w:p w:rsidR="00612FD3" w:rsidRDefault="00612FD3" w:rsidP="00612FD3">
      <w:pPr>
        <w:pStyle w:val="ListBullet2"/>
        <w:numPr>
          <w:ilvl w:val="1"/>
          <w:numId w:val="36"/>
        </w:numPr>
      </w:pPr>
      <w:r>
        <w:t>State</w:t>
      </w:r>
      <w:r>
        <w:noBreakHyphen/>
        <w:t>based certificate and efficiency schemes (such as the Victorian Energy Efficiency Target, the NSW Energy Saving Scheme); and</w:t>
      </w:r>
    </w:p>
    <w:p w:rsidR="00612FD3" w:rsidRDefault="00612FD3" w:rsidP="00612FD3">
      <w:pPr>
        <w:pStyle w:val="ListBullet2"/>
        <w:numPr>
          <w:ilvl w:val="1"/>
          <w:numId w:val="36"/>
        </w:numPr>
      </w:pPr>
      <w:r>
        <w:t>solar feed</w:t>
      </w:r>
      <w:r>
        <w:noBreakHyphen/>
        <w:t>in tariffs.</w:t>
      </w:r>
    </w:p>
    <w:p w:rsidR="00612FD3" w:rsidRDefault="00612FD3" w:rsidP="00612FD3">
      <w:pPr>
        <w:pStyle w:val="ListBullet"/>
        <w:numPr>
          <w:ilvl w:val="0"/>
          <w:numId w:val="36"/>
        </w:numPr>
      </w:pPr>
      <w:r>
        <w:t>Retail costs and margins — together retail costs and margins are referred to as the gross margin. The costs incurred by retailers can sometimes be split into: costs to serve (the costs incurred to provide retail services to an existing customer, such as billing services, losses to bad debts, customer assistance and regulatory compliance costs); and the costs to acquire and retain customers (this includes marketing and advertising). Also included is a net margin for the retailers.</w:t>
      </w:r>
    </w:p>
    <w:p w:rsidR="00612FD3" w:rsidRDefault="00612FD3" w:rsidP="00612FD3">
      <w:pPr>
        <w:pStyle w:val="Heading3"/>
        <w:numPr>
          <w:ilvl w:val="2"/>
          <w:numId w:val="5"/>
        </w:numPr>
      </w:pPr>
      <w:r>
        <w:t>Comparing the various approaches</w:t>
      </w:r>
    </w:p>
    <w:p w:rsidR="00612FD3" w:rsidRDefault="00612FD3" w:rsidP="00612FD3">
      <w:pPr>
        <w:pStyle w:val="BodyText"/>
      </w:pPr>
      <w:r>
        <w:t>An obvious difference between the two approaches is that the approach based on retail pricing includes some additional costs, including the cost of environmental schemes and retail costs and margins.</w:t>
      </w:r>
    </w:p>
    <w:p w:rsidR="00612FD3" w:rsidRDefault="00612FD3" w:rsidP="00612FD3">
      <w:pPr>
        <w:pStyle w:val="ListBullet"/>
        <w:numPr>
          <w:ilvl w:val="0"/>
          <w:numId w:val="36"/>
        </w:numPr>
      </w:pPr>
      <w:r>
        <w:t>Where there is a reduction in demand, retailers will generally incur lower costs to comply with the various environmental schemes. These costs should therefore be included.</w:t>
      </w:r>
    </w:p>
    <w:p w:rsidR="00612FD3" w:rsidRDefault="00612FD3" w:rsidP="00612FD3">
      <w:pPr>
        <w:pStyle w:val="ListBullet"/>
        <w:numPr>
          <w:ilvl w:val="0"/>
          <w:numId w:val="36"/>
        </w:numPr>
      </w:pPr>
      <w:r>
        <w:t>On the other hand, most retail costs and the net margin may not change much due to lower demand. This suggests there is a conceptual case to exclude these costs. That said, the ACCC reports that these costs made up only around 3 per cent of the retail price for commercial and industrial customers in 2015/16.</w:t>
      </w:r>
      <w:r>
        <w:rPr>
          <w:rStyle w:val="FootnoteReference"/>
        </w:rPr>
        <w:footnoteReference w:id="138"/>
      </w:r>
      <w:r>
        <w:t xml:space="preserve"> We note that the Houston</w:t>
      </w:r>
      <w:r>
        <w:noBreakHyphen/>
        <w:t>Kemp report relates to residential buildings, where retail costs and margins make up around 24 per cent of total costs.</w:t>
      </w:r>
    </w:p>
    <w:p w:rsidR="00612FD3" w:rsidRDefault="00612FD3" w:rsidP="00612FD3">
      <w:pPr>
        <w:pStyle w:val="BodyText"/>
      </w:pPr>
      <w:r>
        <w:t>The other significant difference relates to the treatment of avoided network costs. The approach used by Jacobs and others explicitly attempts to measure the reduction in peak loads and the extent to which this defers investment to expand capacity. However, in general, the approach to estimating the unit cost of expanding supply capacity is less robust than LRMC estimates suggested by Houston</w:t>
      </w:r>
      <w:r>
        <w:noBreakHyphen/>
        <w:t>Kemp. In particular, it appears to be based on capital expenditure related to demand growth in a single year.</w:t>
      </w:r>
    </w:p>
    <w:p w:rsidR="00612FD3" w:rsidRDefault="00612FD3" w:rsidP="00612FD3">
      <w:pPr>
        <w:pStyle w:val="BodyText"/>
      </w:pPr>
      <w:r>
        <w:t xml:space="preserve">As discussed above, network charges are regulated by the AER. Under the AER’s pricing principles, each tariff must be based on the long run marginal cost of providing the service to which it relates to the retail customers assigned to that tariff with the method of calculating such cost and the manner in which that method is applied to be determined having regard to: </w:t>
      </w:r>
    </w:p>
    <w:p w:rsidR="00612FD3" w:rsidRDefault="00612FD3" w:rsidP="00612FD3">
      <w:pPr>
        <w:pStyle w:val="ListBullet"/>
        <w:numPr>
          <w:ilvl w:val="0"/>
          <w:numId w:val="36"/>
        </w:numPr>
      </w:pPr>
      <w:r>
        <w:t xml:space="preserve">the costs and benefits associated with calculating, implementing and applying that method as proposed; </w:t>
      </w:r>
    </w:p>
    <w:p w:rsidR="00612FD3" w:rsidRDefault="00612FD3" w:rsidP="00612FD3">
      <w:pPr>
        <w:pStyle w:val="ListBullet"/>
        <w:numPr>
          <w:ilvl w:val="0"/>
          <w:numId w:val="36"/>
        </w:numPr>
      </w:pPr>
      <w:r>
        <w:t xml:space="preserve">the additional costs likely to be associated with meeting demand from retail customers that are assigned to that tariff at times of greatest utilisation of the relevant part of the distribution network; and </w:t>
      </w:r>
    </w:p>
    <w:p w:rsidR="00612FD3" w:rsidRDefault="00612FD3" w:rsidP="00612FD3">
      <w:pPr>
        <w:pStyle w:val="ListBullet"/>
        <w:numPr>
          <w:ilvl w:val="0"/>
          <w:numId w:val="36"/>
        </w:numPr>
      </w:pPr>
      <w:r>
        <w:t>the location of retail customers that are assigned to that tariff and the extent to which costs vary between different locations in the distribution network.</w:t>
      </w:r>
      <w:r>
        <w:rPr>
          <w:rStyle w:val="FootnoteReference"/>
        </w:rPr>
        <w:footnoteReference w:id="139"/>
      </w:r>
    </w:p>
    <w:p w:rsidR="00612FD3" w:rsidRPr="00B739B1" w:rsidRDefault="00612FD3" w:rsidP="00612FD3">
      <w:pPr>
        <w:pStyle w:val="BodyText"/>
        <w:rPr>
          <w:lang w:val="en-GB"/>
        </w:rPr>
      </w:pPr>
      <w:r>
        <w:t>Consequently, retail tariffs should broadly reflect the LRMC of supply.</w:t>
      </w:r>
    </w:p>
    <w:p w:rsidR="00612FD3" w:rsidRDefault="00612FD3" w:rsidP="00612FD3">
      <w:pPr>
        <w:pStyle w:val="ListBullet"/>
        <w:numPr>
          <w:ilvl w:val="0"/>
          <w:numId w:val="36"/>
        </w:numPr>
      </w:pPr>
      <w:r>
        <w:t>If the energy saved through energy efficiency measures is skewed towards peak times (or more skewed towards peak times than average consumption) and/or buildings are not on tariffs that differentiate between peak and off</w:t>
      </w:r>
      <w:r>
        <w:noBreakHyphen/>
        <w:t>peak times, the retail price approach may understate peak</w:t>
      </w:r>
      <w:r>
        <w:noBreakHyphen/>
        <w:t>related costs.</w:t>
      </w:r>
    </w:p>
    <w:p w:rsidR="00612FD3" w:rsidRDefault="00612FD3" w:rsidP="00612FD3">
      <w:pPr>
        <w:pStyle w:val="ListBullet"/>
        <w:numPr>
          <w:ilvl w:val="0"/>
          <w:numId w:val="36"/>
        </w:numPr>
      </w:pPr>
      <w:r>
        <w:t>On the other hand, if the energy saved is skewed towards non</w:t>
      </w:r>
      <w:r>
        <w:noBreakHyphen/>
        <w:t>peak times (or more skewed toward non</w:t>
      </w:r>
      <w:r>
        <w:noBreakHyphen/>
        <w:t>peak times than average consumption), the retail price approach could potentially overstate peak</w:t>
      </w:r>
      <w:r>
        <w:noBreakHyphen/>
        <w:t>related costs.</w:t>
      </w:r>
    </w:p>
    <w:p w:rsidR="00612FD3" w:rsidRDefault="00612FD3" w:rsidP="00612FD3">
      <w:pPr>
        <w:pStyle w:val="BodyText"/>
      </w:pPr>
      <w:r>
        <w:t xml:space="preserve">That said, there is limited information available on peak load profiles for commercial buildings and these may vary significantly across different buildings and </w:t>
      </w:r>
      <w:r w:rsidR="00E31EE8">
        <w:t>Climate Zone</w:t>
      </w:r>
      <w:r>
        <w:t>s. The CLFs used in some CBAs may be an approximation only, so it is unclear whether the alternative approach would be an improvement.</w:t>
      </w:r>
    </w:p>
    <w:p w:rsidR="00612FD3" w:rsidRDefault="00612FD3" w:rsidP="00612FD3">
      <w:pPr>
        <w:pStyle w:val="BodyText"/>
      </w:pPr>
      <w:r>
        <w:t xml:space="preserve">Some studies appear to argue that the impact of energy efficiency policies on peak demand should be included in </w:t>
      </w:r>
      <w:r w:rsidRPr="005D74B3">
        <w:rPr>
          <w:b/>
        </w:rPr>
        <w:t>addition</w:t>
      </w:r>
      <w:r>
        <w:t xml:space="preserve"> to the bill savings (based on retail prices).</w:t>
      </w:r>
      <w:r>
        <w:rPr>
          <w:rStyle w:val="FootnoteReference"/>
        </w:rPr>
        <w:footnoteReference w:id="140"/>
      </w:r>
      <w:r>
        <w:t xml:space="preserve"> However, there is a risk of double</w:t>
      </w:r>
      <w:r>
        <w:noBreakHyphen/>
        <w:t>counting the network component of costs using this approach.</w:t>
      </w:r>
    </w:p>
    <w:p w:rsidR="00612FD3" w:rsidRDefault="00612FD3" w:rsidP="00612FD3">
      <w:pPr>
        <w:pStyle w:val="Heading3"/>
        <w:numPr>
          <w:ilvl w:val="2"/>
          <w:numId w:val="5"/>
        </w:numPr>
      </w:pPr>
      <w:r>
        <w:t>Approach used in the RIS</w:t>
      </w:r>
    </w:p>
    <w:p w:rsidR="00612FD3" w:rsidRDefault="00612FD3" w:rsidP="00612FD3">
      <w:pPr>
        <w:pStyle w:val="BodyText"/>
      </w:pPr>
      <w:r>
        <w:t>In the RIS the retail price approach to valuing energy savings was used. As this approach includes retail costs and margins that would be excluded from the capacity and energy approach, it may result in slightly higher estimates of the benefits of energy efficiency.</w:t>
      </w:r>
    </w:p>
    <w:p w:rsidR="00612FD3" w:rsidRDefault="00612FD3" w:rsidP="00612FD3">
      <w:pPr>
        <w:pStyle w:val="Heading9"/>
      </w:pPr>
      <w:r>
        <w:t>Electricity prices</w:t>
      </w:r>
    </w:p>
    <w:p w:rsidR="00612FD3" w:rsidRDefault="003F28DD" w:rsidP="00612FD3">
      <w:pPr>
        <w:pStyle w:val="BodyText"/>
      </w:pPr>
      <w:r>
        <w:t>EA</w:t>
      </w:r>
      <w:r w:rsidR="00612FD3">
        <w:t>’s modelling used a single national retail price for electricity, based on a weighted average of state</w:t>
      </w:r>
      <w:r w:rsidR="00612FD3">
        <w:noBreakHyphen/>
        <w:t>based price projections.</w:t>
      </w:r>
      <w:r w:rsidR="00612FD3">
        <w:rPr>
          <w:rStyle w:val="FootnoteReference"/>
        </w:rPr>
        <w:footnoteReference w:id="141"/>
      </w:r>
    </w:p>
    <w:p w:rsidR="00612FD3" w:rsidRDefault="00612FD3" w:rsidP="00612FD3">
      <w:pPr>
        <w:pStyle w:val="ListBullet"/>
        <w:numPr>
          <w:ilvl w:val="0"/>
          <w:numId w:val="36"/>
        </w:numPr>
      </w:pPr>
      <w:r>
        <w:t>State-based price projections for the five states that are part of the National Electricity Market (NEM) were based on Australian Energy Market Operator (AEMO) projections to 2037 (and constant prices beyond that timeframe).</w:t>
      </w:r>
    </w:p>
    <w:p w:rsidR="00612FD3" w:rsidRDefault="00612FD3" w:rsidP="00612FD3">
      <w:pPr>
        <w:pStyle w:val="ListBullet"/>
        <w:numPr>
          <w:ilvl w:val="0"/>
          <w:numId w:val="36"/>
        </w:numPr>
      </w:pPr>
      <w:r>
        <w:t xml:space="preserve">Based on a review of </w:t>
      </w:r>
      <w:r w:rsidR="003F28DD">
        <w:t>EA</w:t>
      </w:r>
      <w:r>
        <w:t>’s internal pricing information, price projections for Western Australia were assumed to be equivalent to NSW pricing from 2019 onwards.</w:t>
      </w:r>
    </w:p>
    <w:p w:rsidR="00612FD3" w:rsidRDefault="003F28DD" w:rsidP="00612FD3">
      <w:pPr>
        <w:pStyle w:val="ListBullet"/>
        <w:numPr>
          <w:ilvl w:val="0"/>
          <w:numId w:val="36"/>
        </w:numPr>
      </w:pPr>
      <w:r>
        <w:t>EA</w:t>
      </w:r>
      <w:r w:rsidR="00612FD3">
        <w:t xml:space="preserve"> used an average of AEMO’s retail price projections for small and large commercial users.</w:t>
      </w:r>
    </w:p>
    <w:p w:rsidR="00612FD3" w:rsidRDefault="00612FD3" w:rsidP="00612FD3">
      <w:pPr>
        <w:pStyle w:val="BodyText"/>
      </w:pPr>
      <w:r>
        <w:t xml:space="preserve">In this RIS, we use the same price projections as </w:t>
      </w:r>
      <w:r w:rsidR="003F28DD">
        <w:t>EA</w:t>
      </w:r>
      <w:r>
        <w:t>. However, we use separate state</w:t>
      </w:r>
      <w:r>
        <w:noBreakHyphen/>
        <w:t xml:space="preserve">based prices, rather than a single national price. As </w:t>
      </w:r>
      <w:r w:rsidR="003F28DD">
        <w:t>EA</w:t>
      </w:r>
      <w:r>
        <w:t xml:space="preserve"> did not report prices for the two territories, our estimates are based on:</w:t>
      </w:r>
    </w:p>
    <w:p w:rsidR="00612FD3" w:rsidRDefault="00612FD3" w:rsidP="00612FD3">
      <w:pPr>
        <w:pStyle w:val="ListBullet"/>
        <w:numPr>
          <w:ilvl w:val="0"/>
          <w:numId w:val="36"/>
        </w:numPr>
      </w:pPr>
      <w:r>
        <w:t>the national average less a margin of around $44.30 per MWh in the ACT — this is based on the average margin between ACT residential retail prices and the national average, as estimated by the Australian Energy Market Commission (AEMC);</w:t>
      </w:r>
      <w:r>
        <w:rPr>
          <w:rStyle w:val="FootnoteReference"/>
        </w:rPr>
        <w:footnoteReference w:id="142"/>
      </w:r>
      <w:r>
        <w:t xml:space="preserve"> and</w:t>
      </w:r>
    </w:p>
    <w:p w:rsidR="00612FD3" w:rsidRDefault="00612FD3" w:rsidP="00612FD3">
      <w:pPr>
        <w:pStyle w:val="ListBullet"/>
        <w:numPr>
          <w:ilvl w:val="0"/>
          <w:numId w:val="36"/>
        </w:numPr>
      </w:pPr>
      <w:r>
        <w:t>the national average less a margin of around $14.65 per MWh in the Northern Territory — this is also based on the average margin between Northern Territory residential retail prices and the national average, as estimated by the AEMC.</w:t>
      </w:r>
    </w:p>
    <w:p w:rsidR="00612FD3" w:rsidRDefault="00612FD3" w:rsidP="00612FD3">
      <w:pPr>
        <w:pStyle w:val="BodyText"/>
      </w:pPr>
      <w:r>
        <w:t>Retail electricity price projections by state for ‘small users’ are shown in chart H.2.</w:t>
      </w:r>
    </w:p>
    <w:p w:rsidR="00612FD3" w:rsidRPr="00D00F02" w:rsidRDefault="00612FD3" w:rsidP="00612FD3">
      <w:pPr>
        <w:pStyle w:val="Caption"/>
        <w:numPr>
          <w:ilvl w:val="0"/>
          <w:numId w:val="7"/>
        </w:numPr>
      </w:pPr>
      <w:r w:rsidRPr="00D00F02">
        <w:fldChar w:fldCharType="begin"/>
      </w:r>
      <w:r w:rsidRPr="00D00F02">
        <w:instrText xml:space="preserve"> IF 1 = 1 "</w:instrText>
      </w:r>
      <w:r w:rsidRPr="00D00F02">
        <w:fldChar w:fldCharType="begin"/>
      </w:r>
      <w:r w:rsidRPr="00D00F02">
        <w:instrText xml:space="preserve"> IF </w:instrText>
      </w:r>
      <w:r w:rsidRPr="00D00F02">
        <w:rPr>
          <w:noProof/>
        </w:rPr>
        <w:fldChar w:fldCharType="begin"/>
      </w:r>
      <w:r w:rsidRPr="00D00F02">
        <w:rPr>
          <w:noProof/>
        </w:rPr>
        <w:instrText xml:space="preserve"> STYLEREF "Heading 6" \l \n </w:instrText>
      </w:r>
      <w:r w:rsidRPr="00D00F02">
        <w:rPr>
          <w:noProof/>
        </w:rPr>
        <w:fldChar w:fldCharType="separate"/>
      </w:r>
      <w:r w:rsidR="00B833F1">
        <w:rPr>
          <w:noProof/>
        </w:rPr>
        <w:instrText>H</w:instrText>
      </w:r>
      <w:r w:rsidRPr="00D00F02">
        <w:rPr>
          <w:noProof/>
        </w:rPr>
        <w:fldChar w:fldCharType="end"/>
      </w:r>
      <w:r w:rsidRPr="00D00F02">
        <w:instrText xml:space="preserve"> = 0 "</w:instrText>
      </w:r>
      <w:r w:rsidRPr="00D00F02">
        <w:fldChar w:fldCharType="begin"/>
      </w:r>
      <w:r w:rsidRPr="00D00F02">
        <w:instrText xml:space="preserve"> IF </w:instrText>
      </w:r>
      <w:r w:rsidRPr="00D00F02">
        <w:fldChar w:fldCharType="begin"/>
      </w:r>
      <w:r w:rsidRPr="00D00F02">
        <w:instrText xml:space="preserve"> STYLEREF "Heading 1" \l \n </w:instrText>
      </w:r>
      <w:r w:rsidRPr="00D00F02">
        <w:fldChar w:fldCharType="separate"/>
      </w:r>
      <w:r w:rsidRPr="00D00F02">
        <w:rPr>
          <w:b/>
          <w:bCs/>
          <w:noProof/>
          <w:lang w:val="en-US"/>
        </w:rPr>
        <w:instrText>Error! No text of specified style in document.</w:instrText>
      </w:r>
      <w:r w:rsidRPr="00D00F02">
        <w:rPr>
          <w:noProof/>
        </w:rPr>
        <w:fldChar w:fldCharType="end"/>
      </w:r>
      <w:r w:rsidRPr="00D00F02">
        <w:instrText xml:space="preserve"> = 0 "" "</w:instrText>
      </w:r>
      <w:r w:rsidRPr="00D00F02">
        <w:fldChar w:fldCharType="begin"/>
      </w:r>
      <w:r w:rsidRPr="00D00F02">
        <w:instrText xml:space="preserve"> STYLEREF "Heading 1" \l \n </w:instrText>
      </w:r>
      <w:r w:rsidRPr="00D00F02">
        <w:fldChar w:fldCharType="separate"/>
      </w:r>
      <w:r w:rsidRPr="00D00F02">
        <w:rPr>
          <w:b/>
          <w:bCs/>
          <w:noProof/>
          <w:lang w:val="en-US"/>
        </w:rPr>
        <w:instrText>Error! No text of specified style in document.</w:instrText>
      </w:r>
      <w:r w:rsidRPr="00D00F02">
        <w:rPr>
          <w:noProof/>
        </w:rPr>
        <w:fldChar w:fldCharType="end"/>
      </w:r>
      <w:r w:rsidRPr="00D00F02">
        <w:instrText xml:space="preserve">." </w:instrText>
      </w:r>
      <w:r w:rsidRPr="00D00F02">
        <w:fldChar w:fldCharType="separate"/>
      </w:r>
      <w:r w:rsidRPr="00D00F02">
        <w:rPr>
          <w:b/>
          <w:bCs/>
          <w:noProof/>
          <w:lang w:val="en-US"/>
        </w:rPr>
        <w:instrText>Error! No text of specified style in document.</w:instrText>
      </w:r>
      <w:r w:rsidRPr="00D00F02">
        <w:rPr>
          <w:noProof/>
        </w:rPr>
        <w:instrText>.</w:instrText>
      </w:r>
      <w:r w:rsidRPr="00D00F02">
        <w:fldChar w:fldCharType="end"/>
      </w:r>
      <w:r w:rsidRPr="00D00F02">
        <w:instrText>" "</w:instrText>
      </w:r>
      <w:r w:rsidRPr="00D00F02">
        <w:rPr>
          <w:noProof/>
        </w:rPr>
        <w:fldChar w:fldCharType="begin"/>
      </w:r>
      <w:r w:rsidRPr="00D00F02">
        <w:rPr>
          <w:noProof/>
        </w:rPr>
        <w:instrText xml:space="preserve"> STYLEREF "Heading 6" \l \n </w:instrText>
      </w:r>
      <w:r w:rsidRPr="00D00F02">
        <w:rPr>
          <w:noProof/>
        </w:rPr>
        <w:fldChar w:fldCharType="separate"/>
      </w:r>
      <w:r w:rsidR="00B833F1">
        <w:rPr>
          <w:noProof/>
        </w:rPr>
        <w:instrText>H</w:instrText>
      </w:r>
      <w:r w:rsidRPr="00D00F02">
        <w:rPr>
          <w:noProof/>
        </w:rPr>
        <w:fldChar w:fldCharType="end"/>
      </w:r>
      <w:r w:rsidRPr="00D00F02">
        <w:instrText xml:space="preserve">." </w:instrText>
      </w:r>
      <w:r w:rsidRPr="00D00F02">
        <w:fldChar w:fldCharType="separate"/>
      </w:r>
      <w:r w:rsidR="00B833F1">
        <w:rPr>
          <w:noProof/>
        </w:rPr>
        <w:instrText>H</w:instrText>
      </w:r>
      <w:r w:rsidR="00B833F1" w:rsidRPr="00D00F02">
        <w:rPr>
          <w:noProof/>
        </w:rPr>
        <w:instrText>.</w:instrText>
      </w:r>
      <w:r w:rsidRPr="00D00F02">
        <w:fldChar w:fldCharType="end"/>
      </w:r>
      <w:r w:rsidRPr="00D00F02">
        <w:instrText xml:space="preserve">2" "" </w:instrText>
      </w:r>
      <w:r w:rsidRPr="00D00F02">
        <w:fldChar w:fldCharType="separate"/>
      </w:r>
      <w:bookmarkStart w:id="8385" w:name="_Caption2954"/>
      <w:bookmarkStart w:id="8386" w:name="_Caption4806"/>
      <w:bookmarkStart w:id="8387" w:name="_Caption4154"/>
      <w:bookmarkStart w:id="8388" w:name="_Caption2975"/>
      <w:bookmarkStart w:id="8389" w:name="_Caption2469"/>
      <w:bookmarkStart w:id="8390" w:name="_Caption8611"/>
      <w:bookmarkStart w:id="8391" w:name="_Caption4073"/>
      <w:bookmarkStart w:id="8392" w:name="_Caption1817"/>
      <w:bookmarkStart w:id="8393" w:name="_Caption5786"/>
      <w:bookmarkStart w:id="8394" w:name="_Caption8768"/>
      <w:bookmarkStart w:id="8395" w:name="_Caption7935"/>
      <w:bookmarkStart w:id="8396" w:name="_Caption2444"/>
      <w:bookmarkStart w:id="8397" w:name="_Caption1201"/>
      <w:bookmarkStart w:id="8398" w:name="_Caption1031"/>
      <w:bookmarkStart w:id="8399" w:name="_Caption5130"/>
      <w:bookmarkStart w:id="8400" w:name="_Caption7031"/>
      <w:bookmarkStart w:id="8401" w:name="_Caption7327"/>
      <w:bookmarkStart w:id="8402" w:name="_Caption0728"/>
      <w:bookmarkStart w:id="8403" w:name="_Caption3834"/>
      <w:bookmarkStart w:id="8404" w:name="_Caption6244"/>
      <w:bookmarkStart w:id="8405" w:name="_Caption3964"/>
      <w:bookmarkStart w:id="8406" w:name="_Caption9296"/>
      <w:bookmarkStart w:id="8407" w:name="_Caption3432"/>
      <w:bookmarkStart w:id="8408" w:name="_Caption4560"/>
      <w:bookmarkStart w:id="8409" w:name="_Caption7044"/>
      <w:bookmarkStart w:id="8410" w:name="_Caption2717"/>
      <w:bookmarkStart w:id="8411" w:name="_Caption9831"/>
      <w:bookmarkStart w:id="8412" w:name="_Caption9652"/>
      <w:bookmarkStart w:id="8413" w:name="_Caption0368"/>
      <w:bookmarkStart w:id="8414" w:name="_Caption5578"/>
      <w:bookmarkStart w:id="8415" w:name="_Caption7441"/>
      <w:bookmarkStart w:id="8416" w:name="_Caption1350"/>
      <w:bookmarkStart w:id="8417" w:name="_Caption5059"/>
      <w:bookmarkStart w:id="8418" w:name="_Caption2354"/>
      <w:bookmarkStart w:id="8419" w:name="_Caption3532"/>
      <w:bookmarkStart w:id="8420" w:name="_Caption3947"/>
      <w:bookmarkStart w:id="8421" w:name="_Caption9706"/>
      <w:bookmarkStart w:id="8422" w:name="_Caption9960"/>
      <w:bookmarkStart w:id="8423" w:name="_Caption3487"/>
      <w:bookmarkStart w:id="8424" w:name="_Caption8278"/>
      <w:bookmarkStart w:id="8425" w:name="_Caption1464"/>
      <w:bookmarkStart w:id="8426" w:name="_Caption2406"/>
      <w:bookmarkStart w:id="8427" w:name="_Caption4196"/>
      <w:bookmarkStart w:id="8428" w:name="_Caption5001"/>
      <w:bookmarkStart w:id="8429" w:name="_Caption2422"/>
      <w:bookmarkStart w:id="8430" w:name="_Caption7202"/>
      <w:bookmarkStart w:id="8431" w:name="_Caption5763"/>
      <w:bookmarkStart w:id="8432" w:name="_Caption6474"/>
      <w:bookmarkStart w:id="8433" w:name="_Caption9668"/>
      <w:bookmarkStart w:id="8434" w:name="_Caption6888"/>
      <w:bookmarkStart w:id="8435" w:name="_Caption7549"/>
      <w:bookmarkStart w:id="8436" w:name="_Caption0065"/>
      <w:bookmarkStart w:id="8437" w:name="_Caption2915"/>
      <w:bookmarkStart w:id="8438" w:name="_Caption9283"/>
      <w:bookmarkStart w:id="8439" w:name="_Caption8480"/>
      <w:bookmarkStart w:id="8440" w:name="_Caption7565"/>
      <w:bookmarkStart w:id="8441" w:name="_Caption8033"/>
      <w:bookmarkStart w:id="8442" w:name="_Caption0918"/>
      <w:bookmarkStart w:id="8443" w:name="_Caption3543"/>
      <w:bookmarkStart w:id="8444" w:name="_Caption0496"/>
      <w:bookmarkStart w:id="8445" w:name="_Caption9559"/>
      <w:bookmarkStart w:id="8446" w:name="_Caption2831"/>
      <w:bookmarkStart w:id="8447" w:name="_Caption7258"/>
      <w:bookmarkStart w:id="8448" w:name="_Caption3334"/>
      <w:bookmarkStart w:id="8449" w:name="_Caption5081"/>
      <w:bookmarkStart w:id="8450" w:name="_Caption3949"/>
      <w:bookmarkStart w:id="8451" w:name="_Caption2958"/>
      <w:bookmarkStart w:id="8452" w:name="_Caption5458"/>
      <w:bookmarkStart w:id="8453" w:name="_Caption2386"/>
      <w:bookmarkStart w:id="8454" w:name="_Caption6859"/>
      <w:bookmarkStart w:id="8455" w:name="_Caption7066"/>
      <w:bookmarkStart w:id="8456" w:name="_Caption6915"/>
      <w:bookmarkStart w:id="8457" w:name="_Caption6646"/>
      <w:bookmarkStart w:id="8458" w:name="_Caption3219"/>
      <w:bookmarkStart w:id="8459" w:name="_Caption2981"/>
      <w:bookmarkStart w:id="8460" w:name="_Caption0006"/>
      <w:bookmarkStart w:id="8461" w:name="_Caption8623"/>
      <w:bookmarkStart w:id="8462" w:name="_Caption7424"/>
      <w:bookmarkStart w:id="8463" w:name="_Caption0394"/>
      <w:bookmarkStart w:id="8464" w:name="_Caption6176"/>
      <w:bookmarkStart w:id="8465" w:name="_Caption9004"/>
      <w:bookmarkStart w:id="8466" w:name="_Caption9105"/>
      <w:bookmarkStart w:id="8467" w:name="_Caption9033"/>
      <w:bookmarkStart w:id="8468" w:name="_Caption6441"/>
      <w:bookmarkStart w:id="8469" w:name="_Caption1933"/>
      <w:bookmarkStart w:id="8470" w:name="_Caption5512"/>
      <w:bookmarkStart w:id="8471" w:name="_Caption2391"/>
      <w:bookmarkStart w:id="8472" w:name="_Caption4471"/>
      <w:bookmarkStart w:id="8473" w:name="_Caption9326"/>
      <w:bookmarkStart w:id="8474" w:name="_Caption5011"/>
      <w:bookmarkStart w:id="8475" w:name="_Caption0399"/>
      <w:bookmarkStart w:id="8476" w:name="_Caption4674"/>
      <w:bookmarkStart w:id="8477" w:name="_Caption1356"/>
      <w:bookmarkStart w:id="8478" w:name="_Caption3877"/>
      <w:bookmarkStart w:id="8479" w:name="_Caption2235"/>
      <w:bookmarkStart w:id="8480" w:name="_Caption6465"/>
      <w:bookmarkStart w:id="8481" w:name="_Caption6576"/>
      <w:bookmarkStart w:id="8482" w:name="_Caption6034"/>
      <w:bookmarkStart w:id="8483" w:name="_Caption5065"/>
      <w:bookmarkStart w:id="8484" w:name="_Toc509220903"/>
      <w:bookmarkStart w:id="8485" w:name="_Toc529870007"/>
      <w:bookmarkStart w:id="8486" w:name="_Toc530748503"/>
      <w:r w:rsidR="00EA42ED">
        <w:rPr>
          <w:noProof/>
        </w:rPr>
        <w:t>H</w:t>
      </w:r>
      <w:r w:rsidR="00EA42ED" w:rsidRPr="00D00F02">
        <w:rPr>
          <w:noProof/>
        </w:rPr>
        <w:t>.2</w:t>
      </w:r>
      <w:bookmarkStart w:id="8487" w:name="_Toc50752385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r w:rsidRPr="00D00F02">
        <w:fldChar w:fldCharType="end"/>
      </w:r>
      <w:r w:rsidRPr="00D00F02">
        <w:tab/>
        <w:t>Retail electricity price projections — small users</w:t>
      </w:r>
      <w:bookmarkEnd w:id="8484"/>
      <w:bookmarkEnd w:id="8485"/>
      <w:bookmarkEnd w:id="8486"/>
      <w:bookmarkEnd w:id="8487"/>
    </w:p>
    <w:p w:rsidR="00612FD3" w:rsidRDefault="00612FD3" w:rsidP="00612FD3">
      <w:pPr>
        <w:pStyle w:val="Source"/>
      </w:pPr>
      <w:r w:rsidRPr="009D56A6">
        <w:rPr>
          <w:noProof/>
          <w:lang w:eastAsia="en-AU"/>
        </w:rPr>
        <w:drawing>
          <wp:inline distT="0" distB="0" distL="0" distR="0" wp14:anchorId="12FFFDBF" wp14:editId="01B64A07">
            <wp:extent cx="5038725" cy="2324100"/>
            <wp:effectExtent l="0" t="0" r="9525" b="0"/>
            <wp:docPr id="2" name="Picture 2" descr="This chart shows retail electricity price projections for smaller users by state and territory up to 2067." title="Retail electricity price projections — small 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1">
                      <a:extLst>
                        <a:ext uri="{28A0092B-C50C-407E-A947-70E740481C1C}">
                          <a14:useLocalDpi xmlns:a14="http://schemas.microsoft.com/office/drawing/2010/main" val="0"/>
                        </a:ext>
                      </a:extLst>
                    </a:blip>
                    <a:srcRect l="-2835" t="7036" r="2835" b="-2408"/>
                    <a:stretch/>
                  </pic:blipFill>
                  <pic:spPr bwMode="auto">
                    <a:xfrm>
                      <a:off x="0" y="0"/>
                      <a:ext cx="5039996" cy="2324686"/>
                    </a:xfrm>
                    <a:prstGeom prst="rect">
                      <a:avLst/>
                    </a:prstGeom>
                    <a:solidFill>
                      <a:schemeClr val="bg2"/>
                    </a:solidFill>
                    <a:ln>
                      <a:noFill/>
                    </a:ln>
                    <a:extLst>
                      <a:ext uri="{53640926-AAD7-44D8-BBD7-CCE9431645EC}">
                        <a14:shadowObscured xmlns:a14="http://schemas.microsoft.com/office/drawing/2010/main"/>
                      </a:ext>
                    </a:extLst>
                  </pic:spPr>
                </pic:pic>
              </a:graphicData>
            </a:graphic>
          </wp:inline>
        </w:drawing>
      </w:r>
      <w:r>
        <w:rPr>
          <w:i/>
        </w:rPr>
        <w:t>Data source</w:t>
      </w:r>
      <w:r w:rsidRPr="00A67576">
        <w:rPr>
          <w:i/>
        </w:rPr>
        <w:t>:</w:t>
      </w:r>
      <w:r>
        <w:t xml:space="preserve"> </w:t>
      </w:r>
      <w:r>
        <w:rPr>
          <w:lang w:val="en-GB"/>
        </w:rPr>
        <w:t xml:space="preserve">Energy Action 2017, </w:t>
      </w:r>
      <w:r w:rsidRPr="00C15341">
        <w:rPr>
          <w:i/>
          <w:lang w:val="en-GB"/>
        </w:rPr>
        <w:t>Energy Pricing Assumptions</w:t>
      </w:r>
      <w:r>
        <w:rPr>
          <w:lang w:val="en-GB"/>
        </w:rPr>
        <w:t xml:space="preserve">, NCC Section J Revision, 1 March 2017, p. 2; Australian Energy Market Commission 2017, </w:t>
      </w:r>
      <w:r w:rsidRPr="00C15341">
        <w:rPr>
          <w:i/>
          <w:lang w:val="en-GB"/>
        </w:rPr>
        <w:t>2017 Residential Electricity Price Trends</w:t>
      </w:r>
      <w:r>
        <w:rPr>
          <w:lang w:val="en-GB"/>
        </w:rPr>
        <w:t>, Final Report, 18 December 2017; CIE.</w:t>
      </w:r>
      <w:r w:rsidRPr="005D335E">
        <w:rPr>
          <w:noProof/>
          <w:lang w:eastAsia="en-AU"/>
        </w:rPr>
        <w:t xml:space="preserve"> </w:t>
      </w:r>
    </w:p>
    <w:p w:rsidR="00612FD3" w:rsidRDefault="00612FD3" w:rsidP="00612FD3">
      <w:pPr>
        <w:pStyle w:val="BodyText"/>
      </w:pPr>
      <w:r>
        <w:t>Retail electricity price projections by state for ‘large users’ are shown in chart </w:t>
      </w:r>
      <w:r>
        <w:rPr>
          <w:noProof/>
        </w:rPr>
        <w:fldChar w:fldCharType="begin"/>
      </w:r>
      <w:r>
        <w:rPr>
          <w:noProof/>
        </w:rPr>
        <w:instrText xml:space="preserve"> REF _Caption4733 </w:instrText>
      </w:r>
      <w:r>
        <w:rPr>
          <w:noProof/>
        </w:rPr>
        <w:fldChar w:fldCharType="separate"/>
      </w:r>
      <w:r w:rsidR="006B79B8" w:rsidRPr="00D00F02">
        <w:rPr>
          <w:noProof/>
        </w:rPr>
        <w:t>H.3</w:t>
      </w:r>
      <w:r>
        <w:rPr>
          <w:noProof/>
        </w:rPr>
        <w:fldChar w:fldCharType="end"/>
      </w:r>
      <w:r>
        <w:t>.</w:t>
      </w:r>
    </w:p>
    <w:p w:rsidR="00612FD3" w:rsidRPr="00D00F02" w:rsidRDefault="00612FD3" w:rsidP="00612FD3">
      <w:pPr>
        <w:pStyle w:val="Caption"/>
        <w:numPr>
          <w:ilvl w:val="0"/>
          <w:numId w:val="7"/>
        </w:numPr>
      </w:pPr>
      <w:r w:rsidRPr="00D00F02">
        <w:fldChar w:fldCharType="begin"/>
      </w:r>
      <w:r w:rsidRPr="00D00F02">
        <w:instrText xml:space="preserve"> IF 1 = 1 "</w:instrText>
      </w:r>
      <w:r w:rsidRPr="00D00F02">
        <w:fldChar w:fldCharType="begin"/>
      </w:r>
      <w:r w:rsidRPr="00D00F02">
        <w:instrText xml:space="preserve"> IF </w:instrText>
      </w:r>
      <w:r w:rsidRPr="00D00F02">
        <w:rPr>
          <w:noProof/>
        </w:rPr>
        <w:fldChar w:fldCharType="begin"/>
      </w:r>
      <w:r w:rsidRPr="00D00F02">
        <w:rPr>
          <w:noProof/>
        </w:rPr>
        <w:instrText xml:space="preserve"> STYLEREF "Heading 6" \l \n </w:instrText>
      </w:r>
      <w:r w:rsidRPr="00D00F02">
        <w:rPr>
          <w:noProof/>
        </w:rPr>
        <w:fldChar w:fldCharType="separate"/>
      </w:r>
      <w:r w:rsidR="00B833F1">
        <w:rPr>
          <w:noProof/>
        </w:rPr>
        <w:instrText>H</w:instrText>
      </w:r>
      <w:r w:rsidRPr="00D00F02">
        <w:rPr>
          <w:noProof/>
        </w:rPr>
        <w:fldChar w:fldCharType="end"/>
      </w:r>
      <w:r w:rsidRPr="00D00F02">
        <w:instrText xml:space="preserve"> = 0 "</w:instrText>
      </w:r>
      <w:r w:rsidRPr="00D00F02">
        <w:fldChar w:fldCharType="begin"/>
      </w:r>
      <w:r w:rsidRPr="00D00F02">
        <w:instrText xml:space="preserve"> IF </w:instrText>
      </w:r>
      <w:r w:rsidRPr="00D00F02">
        <w:fldChar w:fldCharType="begin"/>
      </w:r>
      <w:r w:rsidRPr="00D00F02">
        <w:instrText xml:space="preserve"> STYLEREF "Heading 1" \l \n </w:instrText>
      </w:r>
      <w:r w:rsidRPr="00D00F02">
        <w:fldChar w:fldCharType="separate"/>
      </w:r>
      <w:r w:rsidRPr="00D00F02">
        <w:rPr>
          <w:b/>
          <w:bCs/>
          <w:noProof/>
          <w:lang w:val="en-US"/>
        </w:rPr>
        <w:instrText>Error! No text of specified style in document.</w:instrText>
      </w:r>
      <w:r w:rsidRPr="00D00F02">
        <w:rPr>
          <w:noProof/>
        </w:rPr>
        <w:fldChar w:fldCharType="end"/>
      </w:r>
      <w:r w:rsidRPr="00D00F02">
        <w:instrText xml:space="preserve"> = 0 "" "</w:instrText>
      </w:r>
      <w:r w:rsidRPr="00D00F02">
        <w:fldChar w:fldCharType="begin"/>
      </w:r>
      <w:r w:rsidRPr="00D00F02">
        <w:instrText xml:space="preserve"> STYLEREF "Heading 1" \l \n </w:instrText>
      </w:r>
      <w:r w:rsidRPr="00D00F02">
        <w:fldChar w:fldCharType="separate"/>
      </w:r>
      <w:r w:rsidRPr="00D00F02">
        <w:rPr>
          <w:b/>
          <w:bCs/>
          <w:noProof/>
          <w:lang w:val="en-US"/>
        </w:rPr>
        <w:instrText>Error! No text of specified style in document.</w:instrText>
      </w:r>
      <w:r w:rsidRPr="00D00F02">
        <w:rPr>
          <w:noProof/>
        </w:rPr>
        <w:fldChar w:fldCharType="end"/>
      </w:r>
      <w:r w:rsidRPr="00D00F02">
        <w:instrText xml:space="preserve">." </w:instrText>
      </w:r>
      <w:r w:rsidRPr="00D00F02">
        <w:fldChar w:fldCharType="separate"/>
      </w:r>
      <w:r w:rsidRPr="00D00F02">
        <w:rPr>
          <w:b/>
          <w:bCs/>
          <w:noProof/>
          <w:lang w:val="en-US"/>
        </w:rPr>
        <w:instrText>Error! No text of specified style in document.</w:instrText>
      </w:r>
      <w:r w:rsidRPr="00D00F02">
        <w:rPr>
          <w:noProof/>
        </w:rPr>
        <w:instrText>.</w:instrText>
      </w:r>
      <w:r w:rsidRPr="00D00F02">
        <w:fldChar w:fldCharType="end"/>
      </w:r>
      <w:r w:rsidRPr="00D00F02">
        <w:instrText>" "</w:instrText>
      </w:r>
      <w:r w:rsidRPr="00D00F02">
        <w:rPr>
          <w:noProof/>
        </w:rPr>
        <w:fldChar w:fldCharType="begin"/>
      </w:r>
      <w:r w:rsidRPr="00D00F02">
        <w:rPr>
          <w:noProof/>
        </w:rPr>
        <w:instrText xml:space="preserve"> STYLEREF "Heading 6" \l \n </w:instrText>
      </w:r>
      <w:r w:rsidRPr="00D00F02">
        <w:rPr>
          <w:noProof/>
        </w:rPr>
        <w:fldChar w:fldCharType="separate"/>
      </w:r>
      <w:r w:rsidR="00B833F1">
        <w:rPr>
          <w:noProof/>
        </w:rPr>
        <w:instrText>H</w:instrText>
      </w:r>
      <w:r w:rsidRPr="00D00F02">
        <w:rPr>
          <w:noProof/>
        </w:rPr>
        <w:fldChar w:fldCharType="end"/>
      </w:r>
      <w:r w:rsidRPr="00D00F02">
        <w:instrText xml:space="preserve">." </w:instrText>
      </w:r>
      <w:r w:rsidRPr="00D00F02">
        <w:fldChar w:fldCharType="separate"/>
      </w:r>
      <w:r w:rsidR="00B833F1">
        <w:rPr>
          <w:noProof/>
        </w:rPr>
        <w:instrText>H</w:instrText>
      </w:r>
      <w:r w:rsidR="00B833F1" w:rsidRPr="00D00F02">
        <w:rPr>
          <w:noProof/>
        </w:rPr>
        <w:instrText>.</w:instrText>
      </w:r>
      <w:r w:rsidRPr="00D00F02">
        <w:fldChar w:fldCharType="end"/>
      </w:r>
      <w:r w:rsidRPr="00D00F02">
        <w:instrText xml:space="preserve">3" "" </w:instrText>
      </w:r>
      <w:r w:rsidRPr="00D00F02">
        <w:fldChar w:fldCharType="separate"/>
      </w:r>
      <w:bookmarkStart w:id="8488" w:name="_Caption7952"/>
      <w:bookmarkStart w:id="8489" w:name="_Caption1215"/>
      <w:bookmarkStart w:id="8490" w:name="_Caption9734"/>
      <w:bookmarkStart w:id="8491" w:name="_Caption6073"/>
      <w:bookmarkStart w:id="8492" w:name="_Caption9106"/>
      <w:bookmarkStart w:id="8493" w:name="_Caption1307"/>
      <w:bookmarkStart w:id="8494" w:name="_Caption4607"/>
      <w:bookmarkStart w:id="8495" w:name="_Caption6695"/>
      <w:bookmarkStart w:id="8496" w:name="_Caption4463"/>
      <w:bookmarkStart w:id="8497" w:name="_Caption4533"/>
      <w:bookmarkStart w:id="8498" w:name="_Caption4451"/>
      <w:bookmarkStart w:id="8499" w:name="_Caption7251"/>
      <w:bookmarkStart w:id="8500" w:name="_Caption2590"/>
      <w:bookmarkStart w:id="8501" w:name="_Caption4284"/>
      <w:bookmarkStart w:id="8502" w:name="_Caption4510"/>
      <w:bookmarkStart w:id="8503" w:name="_Caption7588"/>
      <w:bookmarkStart w:id="8504" w:name="_Caption5751"/>
      <w:bookmarkStart w:id="8505" w:name="_Caption2824"/>
      <w:bookmarkStart w:id="8506" w:name="_Caption3260"/>
      <w:bookmarkStart w:id="8507" w:name="_Caption6285"/>
      <w:bookmarkStart w:id="8508" w:name="_Caption1254"/>
      <w:bookmarkStart w:id="8509" w:name="_Caption3889"/>
      <w:bookmarkStart w:id="8510" w:name="_Caption2017"/>
      <w:bookmarkStart w:id="8511" w:name="_Caption9112"/>
      <w:bookmarkStart w:id="8512" w:name="_Caption3921"/>
      <w:bookmarkStart w:id="8513" w:name="_Caption6216"/>
      <w:bookmarkStart w:id="8514" w:name="_Caption8656"/>
      <w:bookmarkStart w:id="8515" w:name="_Caption7983"/>
      <w:bookmarkStart w:id="8516" w:name="_Caption1156"/>
      <w:bookmarkStart w:id="8517" w:name="_Caption2139"/>
      <w:bookmarkStart w:id="8518" w:name="_Caption1754"/>
      <w:bookmarkStart w:id="8519" w:name="_Caption5756"/>
      <w:bookmarkStart w:id="8520" w:name="_Caption7556"/>
      <w:bookmarkStart w:id="8521" w:name="_Caption9216"/>
      <w:bookmarkStart w:id="8522" w:name="_Caption6314"/>
      <w:bookmarkStart w:id="8523" w:name="_Caption6151"/>
      <w:bookmarkStart w:id="8524" w:name="_Caption4765"/>
      <w:bookmarkStart w:id="8525" w:name="_Caption6082"/>
      <w:bookmarkStart w:id="8526" w:name="_Caption7023"/>
      <w:bookmarkStart w:id="8527" w:name="_Caption9851"/>
      <w:bookmarkStart w:id="8528" w:name="_Caption2643"/>
      <w:bookmarkStart w:id="8529" w:name="_Caption1867"/>
      <w:bookmarkStart w:id="8530" w:name="_Caption2971"/>
      <w:bookmarkStart w:id="8531" w:name="_Caption7688"/>
      <w:bookmarkStart w:id="8532" w:name="_Caption2481"/>
      <w:bookmarkStart w:id="8533" w:name="_Caption4403"/>
      <w:bookmarkStart w:id="8534" w:name="_Caption1331"/>
      <w:bookmarkStart w:id="8535" w:name="_Caption8448"/>
      <w:bookmarkStart w:id="8536" w:name="_Caption1497"/>
      <w:bookmarkStart w:id="8537" w:name="_Caption2625"/>
      <w:bookmarkStart w:id="8538" w:name="_Caption6777"/>
      <w:bookmarkStart w:id="8539" w:name="_Caption7675"/>
      <w:bookmarkStart w:id="8540" w:name="_Caption7272"/>
      <w:bookmarkStart w:id="8541" w:name="_Caption1745"/>
      <w:bookmarkStart w:id="8542" w:name="_Caption3473"/>
      <w:bookmarkStart w:id="8543" w:name="_Caption2770"/>
      <w:bookmarkStart w:id="8544" w:name="_Caption7674"/>
      <w:bookmarkStart w:id="8545" w:name="_Caption4733"/>
      <w:bookmarkStart w:id="8546" w:name="_Caption3397"/>
      <w:bookmarkStart w:id="8547" w:name="_Caption2755"/>
      <w:bookmarkStart w:id="8548" w:name="_Caption4783"/>
      <w:bookmarkStart w:id="8549" w:name="_Caption1504"/>
      <w:bookmarkStart w:id="8550" w:name="_Caption5741"/>
      <w:bookmarkStart w:id="8551" w:name="_Caption4548"/>
      <w:bookmarkStart w:id="8552" w:name="_Caption0347"/>
      <w:bookmarkStart w:id="8553" w:name="_Caption1400"/>
      <w:bookmarkStart w:id="8554" w:name="_Caption8504"/>
      <w:bookmarkStart w:id="8555" w:name="_Caption6501"/>
      <w:bookmarkStart w:id="8556" w:name="_Caption2920"/>
      <w:bookmarkStart w:id="8557" w:name="_Caption4748"/>
      <w:bookmarkStart w:id="8558" w:name="_Caption6318"/>
      <w:bookmarkStart w:id="8559" w:name="_Caption0826"/>
      <w:bookmarkStart w:id="8560" w:name="_Caption0424"/>
      <w:bookmarkStart w:id="8561" w:name="_Caption3911"/>
      <w:bookmarkStart w:id="8562" w:name="_Caption2654"/>
      <w:bookmarkStart w:id="8563" w:name="_Caption2222"/>
      <w:bookmarkStart w:id="8564" w:name="_Caption5108"/>
      <w:bookmarkStart w:id="8565" w:name="_Caption3220"/>
      <w:bookmarkStart w:id="8566" w:name="_Caption1424"/>
      <w:bookmarkStart w:id="8567" w:name="_Caption9274"/>
      <w:bookmarkStart w:id="8568" w:name="_Caption3810"/>
      <w:bookmarkStart w:id="8569" w:name="_Caption1963"/>
      <w:bookmarkStart w:id="8570" w:name="_Caption9674"/>
      <w:bookmarkStart w:id="8571" w:name="_Caption0887"/>
      <w:bookmarkStart w:id="8572" w:name="_Caption5761"/>
      <w:bookmarkStart w:id="8573" w:name="_Caption5726"/>
      <w:bookmarkStart w:id="8574" w:name="_Caption4701"/>
      <w:bookmarkStart w:id="8575" w:name="_Caption5005"/>
      <w:bookmarkStart w:id="8576" w:name="_Caption0836"/>
      <w:bookmarkStart w:id="8577" w:name="_Caption4691"/>
      <w:bookmarkStart w:id="8578" w:name="_Caption0466"/>
      <w:bookmarkStart w:id="8579" w:name="_Caption7931"/>
      <w:bookmarkStart w:id="8580" w:name="_Caption5923"/>
      <w:bookmarkStart w:id="8581" w:name="_Caption0285"/>
      <w:bookmarkStart w:id="8582" w:name="_Caption3141"/>
      <w:bookmarkStart w:id="8583" w:name="_Caption3821"/>
      <w:bookmarkStart w:id="8584" w:name="_Caption5721"/>
      <w:bookmarkStart w:id="8585" w:name="_Caption6395"/>
      <w:bookmarkStart w:id="8586" w:name="_Caption5573"/>
      <w:bookmarkStart w:id="8587" w:name="_Toc509220904"/>
      <w:bookmarkStart w:id="8588" w:name="_Toc529870008"/>
      <w:bookmarkStart w:id="8589" w:name="_Toc530748504"/>
      <w:r w:rsidR="00EA42ED">
        <w:rPr>
          <w:noProof/>
        </w:rPr>
        <w:t>H</w:t>
      </w:r>
      <w:r w:rsidR="00EA42ED" w:rsidRPr="00D00F02">
        <w:rPr>
          <w:noProof/>
        </w:rPr>
        <w:t>.3</w:t>
      </w:r>
      <w:bookmarkStart w:id="8590" w:name="_Toc507523855"/>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r w:rsidRPr="00D00F02">
        <w:fldChar w:fldCharType="end"/>
      </w:r>
      <w:r w:rsidRPr="00D00F02">
        <w:tab/>
        <w:t>Retail electricity price projections — large users</w:t>
      </w:r>
      <w:bookmarkEnd w:id="8587"/>
      <w:bookmarkEnd w:id="8588"/>
      <w:bookmarkEnd w:id="8589"/>
      <w:bookmarkEnd w:id="8590"/>
    </w:p>
    <w:p w:rsidR="00612FD3" w:rsidRDefault="00612FD3" w:rsidP="00612FD3">
      <w:pPr>
        <w:pStyle w:val="Source"/>
      </w:pPr>
      <w:r w:rsidRPr="00DD7C6B">
        <w:rPr>
          <w:noProof/>
          <w:lang w:eastAsia="en-AU"/>
        </w:rPr>
        <w:drawing>
          <wp:inline distT="0" distB="0" distL="0" distR="0" wp14:anchorId="4942A684" wp14:editId="1CFAE3BC">
            <wp:extent cx="5029200" cy="2266950"/>
            <wp:effectExtent l="0" t="0" r="0" b="0"/>
            <wp:docPr id="3" name="Picture 3" descr="This chart shows retail electricity price projections for larger users by state and territory up to 2067." title="Retail electricity price projections — large 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2">
                      <a:extLst>
                        <a:ext uri="{28A0092B-C50C-407E-A947-70E740481C1C}">
                          <a14:useLocalDpi xmlns:a14="http://schemas.microsoft.com/office/drawing/2010/main" val="0"/>
                        </a:ext>
                      </a:extLst>
                    </a:blip>
                    <a:srcRect l="-3211" t="8594" r="3464" b="-1562"/>
                    <a:stretch/>
                  </pic:blipFill>
                  <pic:spPr bwMode="auto">
                    <a:xfrm>
                      <a:off x="0" y="0"/>
                      <a:ext cx="5029200" cy="2266950"/>
                    </a:xfrm>
                    <a:prstGeom prst="rect">
                      <a:avLst/>
                    </a:prstGeom>
                    <a:solidFill>
                      <a:schemeClr val="bg2"/>
                    </a:solidFill>
                    <a:ln>
                      <a:noFill/>
                    </a:ln>
                    <a:extLst>
                      <a:ext uri="{53640926-AAD7-44D8-BBD7-CCE9431645EC}">
                        <a14:shadowObscured xmlns:a14="http://schemas.microsoft.com/office/drawing/2010/main"/>
                      </a:ext>
                    </a:extLst>
                  </pic:spPr>
                </pic:pic>
              </a:graphicData>
            </a:graphic>
          </wp:inline>
        </w:drawing>
      </w:r>
      <w:r>
        <w:rPr>
          <w:i/>
        </w:rPr>
        <w:t>Data source</w:t>
      </w:r>
      <w:r w:rsidRPr="00A67576">
        <w:rPr>
          <w:i/>
        </w:rPr>
        <w:t>:</w:t>
      </w:r>
      <w:r>
        <w:t xml:space="preserve"> </w:t>
      </w:r>
      <w:r>
        <w:rPr>
          <w:lang w:val="en-GB"/>
        </w:rPr>
        <w:t xml:space="preserve">Energy Action, </w:t>
      </w:r>
      <w:r w:rsidRPr="00C15341">
        <w:rPr>
          <w:i/>
          <w:lang w:val="en-GB"/>
        </w:rPr>
        <w:t>Energy Pricing Assumptions</w:t>
      </w:r>
      <w:r>
        <w:rPr>
          <w:lang w:val="en-GB"/>
        </w:rPr>
        <w:t xml:space="preserve">, NCC Section J Revision, 1 March 2017, p. 3; Australian Energy Market Commission 2017, </w:t>
      </w:r>
      <w:r w:rsidRPr="00C15341">
        <w:rPr>
          <w:i/>
          <w:lang w:val="en-GB"/>
        </w:rPr>
        <w:t>2017 Residential Electricity Price Trends</w:t>
      </w:r>
      <w:r>
        <w:rPr>
          <w:lang w:val="en-GB"/>
        </w:rPr>
        <w:t>, Final Report, 18 December 2017; CIE.</w:t>
      </w:r>
      <w:r w:rsidRPr="005D335E">
        <w:rPr>
          <w:noProof/>
          <w:lang w:eastAsia="en-AU"/>
        </w:rPr>
        <w:t xml:space="preserve"> </w:t>
      </w:r>
    </w:p>
    <w:p w:rsidR="00612FD3" w:rsidRDefault="00612FD3" w:rsidP="00612FD3">
      <w:pPr>
        <w:pStyle w:val="BodyText"/>
      </w:pPr>
      <w:r>
        <w:t xml:space="preserve">Following </w:t>
      </w:r>
      <w:r w:rsidR="00EB5964">
        <w:t>EA</w:t>
      </w:r>
      <w:r>
        <w:t>, we use the average of the small and large user prices in the RIS (chart </w:t>
      </w:r>
      <w:r>
        <w:rPr>
          <w:noProof/>
        </w:rPr>
        <w:fldChar w:fldCharType="begin"/>
      </w:r>
      <w:r>
        <w:rPr>
          <w:noProof/>
        </w:rPr>
        <w:instrText xml:space="preserve"> REF _Caption2588 </w:instrText>
      </w:r>
      <w:r>
        <w:rPr>
          <w:noProof/>
        </w:rPr>
        <w:fldChar w:fldCharType="separate"/>
      </w:r>
      <w:r w:rsidR="006B79B8" w:rsidRPr="00D00F02">
        <w:rPr>
          <w:noProof/>
        </w:rPr>
        <w:t>H.4</w:t>
      </w:r>
      <w:r>
        <w:rPr>
          <w:noProof/>
        </w:rPr>
        <w:fldChar w:fldCharType="end"/>
      </w:r>
      <w:r>
        <w:t>).</w:t>
      </w:r>
    </w:p>
    <w:p w:rsidR="00612FD3" w:rsidRPr="00D00F02" w:rsidRDefault="00612FD3" w:rsidP="00612FD3">
      <w:pPr>
        <w:pStyle w:val="Caption"/>
        <w:numPr>
          <w:ilvl w:val="0"/>
          <w:numId w:val="7"/>
        </w:numPr>
      </w:pPr>
      <w:r w:rsidRPr="00D00F02">
        <w:fldChar w:fldCharType="begin"/>
      </w:r>
      <w:r w:rsidRPr="00D00F02">
        <w:instrText xml:space="preserve"> IF 1 = 1 "</w:instrText>
      </w:r>
      <w:r w:rsidRPr="00D00F02">
        <w:fldChar w:fldCharType="begin"/>
      </w:r>
      <w:r w:rsidRPr="00D00F02">
        <w:instrText xml:space="preserve"> IF </w:instrText>
      </w:r>
      <w:r w:rsidRPr="00D00F02">
        <w:rPr>
          <w:noProof/>
        </w:rPr>
        <w:fldChar w:fldCharType="begin"/>
      </w:r>
      <w:r w:rsidRPr="00D00F02">
        <w:rPr>
          <w:noProof/>
        </w:rPr>
        <w:instrText xml:space="preserve"> STYLEREF "Heading 6" \l \n </w:instrText>
      </w:r>
      <w:r w:rsidRPr="00D00F02">
        <w:rPr>
          <w:noProof/>
        </w:rPr>
        <w:fldChar w:fldCharType="separate"/>
      </w:r>
      <w:r w:rsidR="00B833F1">
        <w:rPr>
          <w:noProof/>
        </w:rPr>
        <w:instrText>H</w:instrText>
      </w:r>
      <w:r w:rsidRPr="00D00F02">
        <w:rPr>
          <w:noProof/>
        </w:rPr>
        <w:fldChar w:fldCharType="end"/>
      </w:r>
      <w:r w:rsidRPr="00D00F02">
        <w:instrText xml:space="preserve"> = 0 "</w:instrText>
      </w:r>
      <w:r w:rsidRPr="00D00F02">
        <w:fldChar w:fldCharType="begin"/>
      </w:r>
      <w:r w:rsidRPr="00D00F02">
        <w:instrText xml:space="preserve"> IF </w:instrText>
      </w:r>
      <w:r w:rsidRPr="00D00F02">
        <w:fldChar w:fldCharType="begin"/>
      </w:r>
      <w:r w:rsidRPr="00D00F02">
        <w:instrText xml:space="preserve"> STYLEREF "Heading 1" \l \n </w:instrText>
      </w:r>
      <w:r w:rsidRPr="00D00F02">
        <w:fldChar w:fldCharType="separate"/>
      </w:r>
      <w:r w:rsidRPr="00D00F02">
        <w:rPr>
          <w:b/>
          <w:bCs/>
          <w:noProof/>
          <w:lang w:val="en-US"/>
        </w:rPr>
        <w:instrText>Error! No text of specified style in document.</w:instrText>
      </w:r>
      <w:r w:rsidRPr="00D00F02">
        <w:rPr>
          <w:noProof/>
        </w:rPr>
        <w:fldChar w:fldCharType="end"/>
      </w:r>
      <w:r w:rsidRPr="00D00F02">
        <w:instrText xml:space="preserve"> = 0 "" "</w:instrText>
      </w:r>
      <w:r w:rsidRPr="00D00F02">
        <w:fldChar w:fldCharType="begin"/>
      </w:r>
      <w:r w:rsidRPr="00D00F02">
        <w:instrText xml:space="preserve"> STYLEREF "Heading 1" \l \n </w:instrText>
      </w:r>
      <w:r w:rsidRPr="00D00F02">
        <w:fldChar w:fldCharType="separate"/>
      </w:r>
      <w:r w:rsidRPr="00D00F02">
        <w:rPr>
          <w:b/>
          <w:bCs/>
          <w:noProof/>
          <w:lang w:val="en-US"/>
        </w:rPr>
        <w:instrText>Error! No text of specified style in document.</w:instrText>
      </w:r>
      <w:r w:rsidRPr="00D00F02">
        <w:rPr>
          <w:noProof/>
        </w:rPr>
        <w:fldChar w:fldCharType="end"/>
      </w:r>
      <w:r w:rsidRPr="00D00F02">
        <w:instrText xml:space="preserve">." </w:instrText>
      </w:r>
      <w:r w:rsidRPr="00D00F02">
        <w:fldChar w:fldCharType="separate"/>
      </w:r>
      <w:r w:rsidRPr="00D00F02">
        <w:rPr>
          <w:b/>
          <w:bCs/>
          <w:noProof/>
          <w:lang w:val="en-US"/>
        </w:rPr>
        <w:instrText>Error! No text of specified style in document.</w:instrText>
      </w:r>
      <w:r w:rsidRPr="00D00F02">
        <w:rPr>
          <w:noProof/>
        </w:rPr>
        <w:instrText>.</w:instrText>
      </w:r>
      <w:r w:rsidRPr="00D00F02">
        <w:fldChar w:fldCharType="end"/>
      </w:r>
      <w:r w:rsidRPr="00D00F02">
        <w:instrText>" "</w:instrText>
      </w:r>
      <w:r w:rsidRPr="00D00F02">
        <w:rPr>
          <w:noProof/>
        </w:rPr>
        <w:fldChar w:fldCharType="begin"/>
      </w:r>
      <w:r w:rsidRPr="00D00F02">
        <w:rPr>
          <w:noProof/>
        </w:rPr>
        <w:instrText xml:space="preserve"> STYLEREF "Heading 6" \l \n </w:instrText>
      </w:r>
      <w:r w:rsidRPr="00D00F02">
        <w:rPr>
          <w:noProof/>
        </w:rPr>
        <w:fldChar w:fldCharType="separate"/>
      </w:r>
      <w:r w:rsidR="00B833F1">
        <w:rPr>
          <w:noProof/>
        </w:rPr>
        <w:instrText>H</w:instrText>
      </w:r>
      <w:r w:rsidRPr="00D00F02">
        <w:rPr>
          <w:noProof/>
        </w:rPr>
        <w:fldChar w:fldCharType="end"/>
      </w:r>
      <w:r w:rsidRPr="00D00F02">
        <w:instrText xml:space="preserve">." </w:instrText>
      </w:r>
      <w:r w:rsidRPr="00D00F02">
        <w:fldChar w:fldCharType="separate"/>
      </w:r>
      <w:r w:rsidR="00B833F1">
        <w:rPr>
          <w:noProof/>
        </w:rPr>
        <w:instrText>H</w:instrText>
      </w:r>
      <w:r w:rsidR="00B833F1" w:rsidRPr="00D00F02">
        <w:rPr>
          <w:noProof/>
        </w:rPr>
        <w:instrText>.</w:instrText>
      </w:r>
      <w:r w:rsidRPr="00D00F02">
        <w:fldChar w:fldCharType="end"/>
      </w:r>
      <w:r w:rsidRPr="00D00F02">
        <w:instrText xml:space="preserve">4" "" </w:instrText>
      </w:r>
      <w:r w:rsidRPr="00D00F02">
        <w:fldChar w:fldCharType="separate"/>
      </w:r>
      <w:bookmarkStart w:id="8591" w:name="_Caption6950"/>
      <w:bookmarkStart w:id="8592" w:name="_Caption2560"/>
      <w:bookmarkStart w:id="8593" w:name="_Caption5248"/>
      <w:bookmarkStart w:id="8594" w:name="_Caption1653"/>
      <w:bookmarkStart w:id="8595" w:name="_Caption4513"/>
      <w:bookmarkStart w:id="8596" w:name="_Caption2846"/>
      <w:bookmarkStart w:id="8597" w:name="_Caption3005"/>
      <w:bookmarkStart w:id="8598" w:name="_Caption0194"/>
      <w:bookmarkStart w:id="8599" w:name="_Caption1966"/>
      <w:bookmarkStart w:id="8600" w:name="_Caption4853"/>
      <w:bookmarkStart w:id="8601" w:name="_Caption4904"/>
      <w:bookmarkStart w:id="8602" w:name="_Caption0175"/>
      <w:bookmarkStart w:id="8603" w:name="_Caption8265"/>
      <w:bookmarkStart w:id="8604" w:name="_Caption7555"/>
      <w:bookmarkStart w:id="8605" w:name="_Caption0599"/>
      <w:bookmarkStart w:id="8606" w:name="_Caption7735"/>
      <w:bookmarkStart w:id="8607" w:name="_Caption9795"/>
      <w:bookmarkStart w:id="8608" w:name="_Caption7377"/>
      <w:bookmarkStart w:id="8609" w:name="_Caption4983"/>
      <w:bookmarkStart w:id="8610" w:name="_Caption0797"/>
      <w:bookmarkStart w:id="8611" w:name="_Caption4698"/>
      <w:bookmarkStart w:id="8612" w:name="_Caption5705"/>
      <w:bookmarkStart w:id="8613" w:name="_Caption7877"/>
      <w:bookmarkStart w:id="8614" w:name="_Caption0766"/>
      <w:bookmarkStart w:id="8615" w:name="_Caption9088"/>
      <w:bookmarkStart w:id="8616" w:name="_Caption6750"/>
      <w:bookmarkStart w:id="8617" w:name="_Caption1606"/>
      <w:bookmarkStart w:id="8618" w:name="_Caption7836"/>
      <w:bookmarkStart w:id="8619" w:name="_Caption6136"/>
      <w:bookmarkStart w:id="8620" w:name="_Caption8228"/>
      <w:bookmarkStart w:id="8621" w:name="_Caption9419"/>
      <w:bookmarkStart w:id="8622" w:name="_Caption7572"/>
      <w:bookmarkStart w:id="8623" w:name="_Caption3162"/>
      <w:bookmarkStart w:id="8624" w:name="_Caption1918"/>
      <w:bookmarkStart w:id="8625" w:name="_Caption6066"/>
      <w:bookmarkStart w:id="8626" w:name="_Caption2137"/>
      <w:bookmarkStart w:id="8627" w:name="_Caption6717"/>
      <w:bookmarkStart w:id="8628" w:name="_Caption6602"/>
      <w:bookmarkStart w:id="8629" w:name="_Caption9530"/>
      <w:bookmarkStart w:id="8630" w:name="_Caption4969"/>
      <w:bookmarkStart w:id="8631" w:name="_Caption0784"/>
      <w:bookmarkStart w:id="8632" w:name="_Caption4923"/>
      <w:bookmarkStart w:id="8633" w:name="_Caption3071"/>
      <w:bookmarkStart w:id="8634" w:name="_Caption9849"/>
      <w:bookmarkStart w:id="8635" w:name="_Caption7563"/>
      <w:bookmarkStart w:id="8636" w:name="_Caption5720"/>
      <w:bookmarkStart w:id="8637" w:name="_Caption3670"/>
      <w:bookmarkStart w:id="8638" w:name="_Caption4351"/>
      <w:bookmarkStart w:id="8639" w:name="_Caption2871"/>
      <w:bookmarkStart w:id="8640" w:name="_Caption7033"/>
      <w:bookmarkStart w:id="8641" w:name="_Caption7231"/>
      <w:bookmarkStart w:id="8642" w:name="_Caption1248"/>
      <w:bookmarkStart w:id="8643" w:name="_Caption8192"/>
      <w:bookmarkStart w:id="8644" w:name="_Caption9345"/>
      <w:bookmarkStart w:id="8645" w:name="_Caption0365"/>
      <w:bookmarkStart w:id="8646" w:name="_Caption7273"/>
      <w:bookmarkStart w:id="8647" w:name="_Caption2588"/>
      <w:bookmarkStart w:id="8648" w:name="_Caption3807"/>
      <w:bookmarkStart w:id="8649" w:name="_Caption9898"/>
      <w:bookmarkStart w:id="8650" w:name="_Caption8763"/>
      <w:bookmarkStart w:id="8651" w:name="_Caption4877"/>
      <w:bookmarkStart w:id="8652" w:name="_Caption4184"/>
      <w:bookmarkStart w:id="8653" w:name="_Caption8511"/>
      <w:bookmarkStart w:id="8654" w:name="_Caption1080"/>
      <w:bookmarkStart w:id="8655" w:name="_Caption1454"/>
      <w:bookmarkStart w:id="8656" w:name="_Caption8062"/>
      <w:bookmarkStart w:id="8657" w:name="_Caption8662"/>
      <w:bookmarkStart w:id="8658" w:name="_Caption9047"/>
      <w:bookmarkStart w:id="8659" w:name="_Caption1832"/>
      <w:bookmarkStart w:id="8660" w:name="_Caption3817"/>
      <w:bookmarkStart w:id="8661" w:name="_Caption6835"/>
      <w:bookmarkStart w:id="8662" w:name="_Caption1985"/>
      <w:bookmarkStart w:id="8663" w:name="_Caption4409"/>
      <w:bookmarkStart w:id="8664" w:name="_Caption5008"/>
      <w:bookmarkStart w:id="8665" w:name="_Caption9983"/>
      <w:bookmarkStart w:id="8666" w:name="_Caption1086"/>
      <w:bookmarkStart w:id="8667" w:name="_Caption2339"/>
      <w:bookmarkStart w:id="8668" w:name="_Caption2519"/>
      <w:bookmarkStart w:id="8669" w:name="_Caption2248"/>
      <w:bookmarkStart w:id="8670" w:name="_Caption9252"/>
      <w:bookmarkStart w:id="8671" w:name="_Caption6164"/>
      <w:bookmarkStart w:id="8672" w:name="_Caption8710"/>
      <w:bookmarkStart w:id="8673" w:name="_Caption0899"/>
      <w:bookmarkStart w:id="8674" w:name="_Caption1052"/>
      <w:bookmarkStart w:id="8675" w:name="_Caption9253"/>
      <w:bookmarkStart w:id="8676" w:name="_Caption4644"/>
      <w:bookmarkStart w:id="8677" w:name="_Caption9874"/>
      <w:bookmarkStart w:id="8678" w:name="_Caption3299"/>
      <w:bookmarkStart w:id="8679" w:name="_Caption9210"/>
      <w:bookmarkStart w:id="8680" w:name="_Caption5194"/>
      <w:bookmarkStart w:id="8681" w:name="_Caption7208"/>
      <w:bookmarkStart w:id="8682" w:name="_Caption6492"/>
      <w:bookmarkStart w:id="8683" w:name="_Caption1539"/>
      <w:bookmarkStart w:id="8684" w:name="_Caption6878"/>
      <w:bookmarkStart w:id="8685" w:name="_Caption0354"/>
      <w:bookmarkStart w:id="8686" w:name="_Caption6435"/>
      <w:bookmarkStart w:id="8687" w:name="_Caption6907"/>
      <w:bookmarkStart w:id="8688" w:name="_Toc509220905"/>
      <w:bookmarkStart w:id="8689" w:name="_Toc529870009"/>
      <w:bookmarkStart w:id="8690" w:name="_Toc530748505"/>
      <w:r w:rsidR="00EA42ED">
        <w:rPr>
          <w:noProof/>
        </w:rPr>
        <w:t>H</w:t>
      </w:r>
      <w:r w:rsidR="00EA42ED" w:rsidRPr="00D00F02">
        <w:rPr>
          <w:noProof/>
        </w:rPr>
        <w:t>.4</w:t>
      </w:r>
      <w:bookmarkStart w:id="8691" w:name="_Toc507523856"/>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r w:rsidRPr="00D00F02">
        <w:fldChar w:fldCharType="end"/>
      </w:r>
      <w:r w:rsidRPr="00D00F02">
        <w:tab/>
        <w:t>Retail electricity price projections — average of small and large users</w:t>
      </w:r>
      <w:bookmarkEnd w:id="8688"/>
      <w:bookmarkEnd w:id="8689"/>
      <w:bookmarkEnd w:id="8690"/>
      <w:bookmarkEnd w:id="8691"/>
    </w:p>
    <w:p w:rsidR="00612FD3" w:rsidRDefault="00612FD3" w:rsidP="00612FD3">
      <w:pPr>
        <w:pStyle w:val="Source"/>
      </w:pPr>
      <w:r w:rsidRPr="00BF5D8B">
        <w:rPr>
          <w:noProof/>
          <w:lang w:eastAsia="en-AU"/>
        </w:rPr>
        <w:drawing>
          <wp:inline distT="0" distB="0" distL="0" distR="0" wp14:anchorId="5FFF5C3E" wp14:editId="62829229">
            <wp:extent cx="5048250" cy="2266950"/>
            <wp:effectExtent l="0" t="0" r="0" b="0"/>
            <wp:docPr id="7" name="Picture 7" descr="This chart shows average retail electricity price projections by state and territory up to 2067 - average of projections for smaller and larger users." title="Retail electricity price projections — average of small and large 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3">
                      <a:extLst>
                        <a:ext uri="{28A0092B-C50C-407E-A947-70E740481C1C}">
                          <a14:useLocalDpi xmlns:a14="http://schemas.microsoft.com/office/drawing/2010/main" val="0"/>
                        </a:ext>
                      </a:extLst>
                    </a:blip>
                    <a:srcRect l="-2457" t="8208" r="2278" b="-1224"/>
                    <a:stretch/>
                  </pic:blipFill>
                  <pic:spPr bwMode="auto">
                    <a:xfrm>
                      <a:off x="0" y="0"/>
                      <a:ext cx="5048973" cy="2267275"/>
                    </a:xfrm>
                    <a:prstGeom prst="rect">
                      <a:avLst/>
                    </a:prstGeom>
                    <a:solidFill>
                      <a:schemeClr val="bg2"/>
                    </a:solidFill>
                    <a:ln>
                      <a:noFill/>
                    </a:ln>
                    <a:extLst>
                      <a:ext uri="{53640926-AAD7-44D8-BBD7-CCE9431645EC}">
                        <a14:shadowObscured xmlns:a14="http://schemas.microsoft.com/office/drawing/2010/main"/>
                      </a:ext>
                    </a:extLst>
                  </pic:spPr>
                </pic:pic>
              </a:graphicData>
            </a:graphic>
          </wp:inline>
        </w:drawing>
      </w:r>
      <w:r>
        <w:rPr>
          <w:i/>
        </w:rPr>
        <w:t>Data source</w:t>
      </w:r>
      <w:r w:rsidRPr="00A67576">
        <w:rPr>
          <w:i/>
        </w:rPr>
        <w:t>:</w:t>
      </w:r>
      <w:r>
        <w:t xml:space="preserve"> </w:t>
      </w:r>
      <w:r>
        <w:rPr>
          <w:lang w:val="en-GB"/>
        </w:rPr>
        <w:t xml:space="preserve">Energy Action, </w:t>
      </w:r>
      <w:r w:rsidRPr="00C15341">
        <w:rPr>
          <w:i/>
          <w:lang w:val="en-GB"/>
        </w:rPr>
        <w:t>Energy Pricing Assumptions</w:t>
      </w:r>
      <w:r>
        <w:rPr>
          <w:lang w:val="en-GB"/>
        </w:rPr>
        <w:t xml:space="preserve">, NCC Section J Revision, 1 March 2017, p. 2-4; Australian Energy Market Commission 2017, </w:t>
      </w:r>
      <w:r w:rsidRPr="00C15341">
        <w:rPr>
          <w:i/>
          <w:lang w:val="en-GB"/>
        </w:rPr>
        <w:t>2017 Residential Electricity Price Trends</w:t>
      </w:r>
      <w:r>
        <w:rPr>
          <w:lang w:val="en-GB"/>
        </w:rPr>
        <w:t>, Final Report, 18 December 2017; CIE.</w:t>
      </w:r>
    </w:p>
    <w:p w:rsidR="00612FD3" w:rsidRDefault="00612FD3" w:rsidP="00612FD3">
      <w:pPr>
        <w:pStyle w:val="Heading9"/>
      </w:pPr>
      <w:r>
        <w:t>Gas prices</w:t>
      </w:r>
    </w:p>
    <w:p w:rsidR="00612FD3" w:rsidRDefault="00612FD3" w:rsidP="00612FD3">
      <w:pPr>
        <w:pStyle w:val="BodyText"/>
      </w:pPr>
      <w:r>
        <w:t xml:space="preserve">As for electricity prices, </w:t>
      </w:r>
      <w:r w:rsidR="00EB5964">
        <w:t>EA</w:t>
      </w:r>
      <w:r>
        <w:t>’s modelling used a single national gas price based on a weighted average across states.</w:t>
      </w:r>
      <w:r w:rsidR="00F307B1">
        <w:t xml:space="preserve"> </w:t>
      </w:r>
      <w:r>
        <w:t>The state</w:t>
      </w:r>
      <w:r>
        <w:noBreakHyphen/>
        <w:t xml:space="preserve">based price series were generally based on gas prices achieved in recent tenders conducted by </w:t>
      </w:r>
      <w:r w:rsidR="00EB5964">
        <w:t>EA</w:t>
      </w:r>
      <w:r>
        <w:t xml:space="preserve"> in various locations. Future price increases were based on AEMO projections of future wholesale gas costs.</w:t>
      </w:r>
    </w:p>
    <w:p w:rsidR="00612FD3" w:rsidRDefault="00612FD3" w:rsidP="00612FD3">
      <w:pPr>
        <w:pStyle w:val="BodyText"/>
      </w:pPr>
      <w:r>
        <w:t>As for electricity prices, we use separate state</w:t>
      </w:r>
      <w:r>
        <w:noBreakHyphen/>
        <w:t xml:space="preserve">based prices in the RIS, using the same prices series as </w:t>
      </w:r>
      <w:r w:rsidR="00EB5964">
        <w:t>EA</w:t>
      </w:r>
      <w:r>
        <w:t xml:space="preserve">. </w:t>
      </w:r>
      <w:r w:rsidR="00EB5964">
        <w:t>EA</w:t>
      </w:r>
      <w:r>
        <w:t xml:space="preserve"> did not report prices in Tasmania, the Northern Territory and the ACT. For these jurisdictions, the prices used in the RIS are based on the following:</w:t>
      </w:r>
    </w:p>
    <w:p w:rsidR="00612FD3" w:rsidRDefault="00612FD3" w:rsidP="00612FD3">
      <w:pPr>
        <w:pStyle w:val="ListBullet"/>
        <w:numPr>
          <w:ilvl w:val="0"/>
          <w:numId w:val="36"/>
        </w:numPr>
      </w:pPr>
      <w:r>
        <w:t xml:space="preserve">For Tasmania, prices are based on the average across the jurisdictions reported by </w:t>
      </w:r>
      <w:r w:rsidR="00EB5964">
        <w:t>EA</w:t>
      </w:r>
      <w:r>
        <w:t xml:space="preserve"> less a margin of around 51 cents per MJ. This is based on the difference between Tasmanian residential gas retail prices and the national average in 2015, as reported in Oakley Greenwood (2016).</w:t>
      </w:r>
      <w:r>
        <w:rPr>
          <w:rStyle w:val="FootnoteReference"/>
        </w:rPr>
        <w:footnoteReference w:id="143"/>
      </w:r>
    </w:p>
    <w:p w:rsidR="00612FD3" w:rsidRDefault="00612FD3" w:rsidP="00612FD3">
      <w:pPr>
        <w:pStyle w:val="ListBullet"/>
        <w:numPr>
          <w:ilvl w:val="0"/>
          <w:numId w:val="36"/>
        </w:numPr>
      </w:pPr>
      <w:r>
        <w:t xml:space="preserve">Similarly, the ACT prices are based on the average across the jurisdictions reported by </w:t>
      </w:r>
      <w:r w:rsidR="00EB5964">
        <w:t>EA</w:t>
      </w:r>
      <w:r>
        <w:t xml:space="preserve"> less a margin of around 55 cents per MJ also based on the difference between ACT residential gas retail prices and the national average in 2015, as reported in Oakley Greenwood (2016).</w:t>
      </w:r>
      <w:r>
        <w:rPr>
          <w:rStyle w:val="FootnoteReference"/>
        </w:rPr>
        <w:footnoteReference w:id="144"/>
      </w:r>
    </w:p>
    <w:p w:rsidR="00612FD3" w:rsidRDefault="00612FD3" w:rsidP="00612FD3">
      <w:pPr>
        <w:pStyle w:val="ListBullet"/>
        <w:numPr>
          <w:ilvl w:val="0"/>
          <w:numId w:val="36"/>
        </w:numPr>
      </w:pPr>
      <w:r>
        <w:t xml:space="preserve">As Oakley Greenwood (2016) did not report retail gas prices for the Northern Territory, we used the national average price. Note that buildings in </w:t>
      </w:r>
      <w:r w:rsidR="00E31EE8">
        <w:t>Climate Zone</w:t>
      </w:r>
      <w:r>
        <w:t>s 1 and 2 tend to use relatively little gas, so the gas price will have relatively little impact on the Northern Territory.</w:t>
      </w:r>
    </w:p>
    <w:p w:rsidR="00612FD3" w:rsidRDefault="00612FD3" w:rsidP="00612FD3">
      <w:pPr>
        <w:pStyle w:val="BodyText"/>
      </w:pPr>
      <w:r>
        <w:t>The gas price assumptions used in the RIS are shown in chart </w:t>
      </w:r>
      <w:r>
        <w:rPr>
          <w:noProof/>
        </w:rPr>
        <w:fldChar w:fldCharType="begin"/>
      </w:r>
      <w:r>
        <w:rPr>
          <w:noProof/>
        </w:rPr>
        <w:instrText xml:space="preserve"> REF _Caption1735 </w:instrText>
      </w:r>
      <w:r>
        <w:rPr>
          <w:noProof/>
        </w:rPr>
        <w:fldChar w:fldCharType="separate"/>
      </w:r>
      <w:r w:rsidR="006B79B8" w:rsidRPr="00D00F02">
        <w:rPr>
          <w:noProof/>
        </w:rPr>
        <w:t xml:space="preserve">H.5 </w:t>
      </w:r>
      <w:r>
        <w:rPr>
          <w:noProof/>
        </w:rPr>
        <w:fldChar w:fldCharType="end"/>
      </w:r>
      <w:r>
        <w:t>.</w:t>
      </w:r>
    </w:p>
    <w:p w:rsidR="00612FD3" w:rsidRPr="00D00F02" w:rsidRDefault="00612FD3" w:rsidP="00612FD3">
      <w:pPr>
        <w:pStyle w:val="Caption"/>
        <w:numPr>
          <w:ilvl w:val="0"/>
          <w:numId w:val="7"/>
        </w:numPr>
      </w:pPr>
      <w:r w:rsidRPr="00D00F02">
        <w:fldChar w:fldCharType="begin"/>
      </w:r>
      <w:r w:rsidRPr="00D00F02">
        <w:instrText xml:space="preserve"> IF 1 = 1 "</w:instrText>
      </w:r>
      <w:r w:rsidRPr="00D00F02">
        <w:fldChar w:fldCharType="begin"/>
      </w:r>
      <w:r w:rsidRPr="00D00F02">
        <w:instrText xml:space="preserve"> IF </w:instrText>
      </w:r>
      <w:r w:rsidRPr="00D00F02">
        <w:rPr>
          <w:noProof/>
        </w:rPr>
        <w:fldChar w:fldCharType="begin"/>
      </w:r>
      <w:r w:rsidRPr="00D00F02">
        <w:rPr>
          <w:noProof/>
        </w:rPr>
        <w:instrText xml:space="preserve"> STYLEREF "Heading 6" \l \n </w:instrText>
      </w:r>
      <w:r w:rsidRPr="00D00F02">
        <w:rPr>
          <w:noProof/>
        </w:rPr>
        <w:fldChar w:fldCharType="separate"/>
      </w:r>
      <w:r w:rsidR="00B833F1">
        <w:rPr>
          <w:noProof/>
        </w:rPr>
        <w:instrText>H</w:instrText>
      </w:r>
      <w:r w:rsidRPr="00D00F02">
        <w:rPr>
          <w:noProof/>
        </w:rPr>
        <w:fldChar w:fldCharType="end"/>
      </w:r>
      <w:r w:rsidRPr="00D00F02">
        <w:instrText xml:space="preserve"> = 0 "</w:instrText>
      </w:r>
      <w:r w:rsidRPr="00D00F02">
        <w:fldChar w:fldCharType="begin"/>
      </w:r>
      <w:r w:rsidRPr="00D00F02">
        <w:instrText xml:space="preserve"> IF </w:instrText>
      </w:r>
      <w:r w:rsidRPr="00D00F02">
        <w:fldChar w:fldCharType="begin"/>
      </w:r>
      <w:r w:rsidRPr="00D00F02">
        <w:instrText xml:space="preserve"> STYLEREF "Heading 1" \l \n </w:instrText>
      </w:r>
      <w:r w:rsidRPr="00D00F02">
        <w:fldChar w:fldCharType="separate"/>
      </w:r>
      <w:r w:rsidRPr="00D00F02">
        <w:rPr>
          <w:b/>
          <w:bCs/>
          <w:noProof/>
          <w:lang w:val="en-US"/>
        </w:rPr>
        <w:instrText>Error! No text of specified style in document.</w:instrText>
      </w:r>
      <w:r w:rsidRPr="00D00F02">
        <w:rPr>
          <w:noProof/>
        </w:rPr>
        <w:fldChar w:fldCharType="end"/>
      </w:r>
      <w:r w:rsidRPr="00D00F02">
        <w:instrText xml:space="preserve"> = 0 "" "</w:instrText>
      </w:r>
      <w:r w:rsidRPr="00D00F02">
        <w:fldChar w:fldCharType="begin"/>
      </w:r>
      <w:r w:rsidRPr="00D00F02">
        <w:instrText xml:space="preserve"> STYLEREF "Heading 1" \l \n </w:instrText>
      </w:r>
      <w:r w:rsidRPr="00D00F02">
        <w:fldChar w:fldCharType="separate"/>
      </w:r>
      <w:r w:rsidRPr="00D00F02">
        <w:rPr>
          <w:b/>
          <w:bCs/>
          <w:noProof/>
          <w:lang w:val="en-US"/>
        </w:rPr>
        <w:instrText>Error! No text of specified style in document.</w:instrText>
      </w:r>
      <w:r w:rsidRPr="00D00F02">
        <w:rPr>
          <w:noProof/>
        </w:rPr>
        <w:fldChar w:fldCharType="end"/>
      </w:r>
      <w:r w:rsidRPr="00D00F02">
        <w:instrText xml:space="preserve">." </w:instrText>
      </w:r>
      <w:r w:rsidRPr="00D00F02">
        <w:fldChar w:fldCharType="separate"/>
      </w:r>
      <w:r w:rsidRPr="00D00F02">
        <w:rPr>
          <w:b/>
          <w:bCs/>
          <w:noProof/>
          <w:lang w:val="en-US"/>
        </w:rPr>
        <w:instrText>Error! No text of specified style in document.</w:instrText>
      </w:r>
      <w:r w:rsidRPr="00D00F02">
        <w:rPr>
          <w:noProof/>
        </w:rPr>
        <w:instrText>.</w:instrText>
      </w:r>
      <w:r w:rsidRPr="00D00F02">
        <w:fldChar w:fldCharType="end"/>
      </w:r>
      <w:r w:rsidRPr="00D00F02">
        <w:instrText>" "</w:instrText>
      </w:r>
      <w:r w:rsidRPr="00D00F02">
        <w:rPr>
          <w:noProof/>
        </w:rPr>
        <w:fldChar w:fldCharType="begin"/>
      </w:r>
      <w:r w:rsidRPr="00D00F02">
        <w:rPr>
          <w:noProof/>
        </w:rPr>
        <w:instrText xml:space="preserve"> STYLEREF "Heading 6" \l \n </w:instrText>
      </w:r>
      <w:r w:rsidRPr="00D00F02">
        <w:rPr>
          <w:noProof/>
        </w:rPr>
        <w:fldChar w:fldCharType="separate"/>
      </w:r>
      <w:r w:rsidR="00B833F1">
        <w:rPr>
          <w:noProof/>
        </w:rPr>
        <w:instrText>H</w:instrText>
      </w:r>
      <w:r w:rsidRPr="00D00F02">
        <w:rPr>
          <w:noProof/>
        </w:rPr>
        <w:fldChar w:fldCharType="end"/>
      </w:r>
      <w:r w:rsidRPr="00D00F02">
        <w:instrText xml:space="preserve">." </w:instrText>
      </w:r>
      <w:r w:rsidRPr="00D00F02">
        <w:fldChar w:fldCharType="separate"/>
      </w:r>
      <w:r w:rsidR="00B833F1">
        <w:rPr>
          <w:noProof/>
        </w:rPr>
        <w:instrText>H</w:instrText>
      </w:r>
      <w:r w:rsidR="00B833F1" w:rsidRPr="00D00F02">
        <w:rPr>
          <w:noProof/>
        </w:rPr>
        <w:instrText>.</w:instrText>
      </w:r>
      <w:r w:rsidRPr="00D00F02">
        <w:fldChar w:fldCharType="end"/>
      </w:r>
      <w:r w:rsidRPr="00D00F02">
        <w:instrText xml:space="preserve">5 " "" </w:instrText>
      </w:r>
      <w:r w:rsidRPr="00D00F02">
        <w:fldChar w:fldCharType="separate"/>
      </w:r>
      <w:bookmarkStart w:id="8692" w:name="_Caption4747"/>
      <w:bookmarkStart w:id="8693" w:name="_Caption6298"/>
      <w:bookmarkStart w:id="8694" w:name="_Caption6905"/>
      <w:bookmarkStart w:id="8695" w:name="_Caption7140"/>
      <w:bookmarkStart w:id="8696" w:name="_Caption1643"/>
      <w:bookmarkStart w:id="8697" w:name="_Caption7932"/>
      <w:bookmarkStart w:id="8698" w:name="_Caption6651"/>
      <w:bookmarkStart w:id="8699" w:name="_Caption4400"/>
      <w:bookmarkStart w:id="8700" w:name="_Caption9856"/>
      <w:bookmarkStart w:id="8701" w:name="_Caption9513"/>
      <w:bookmarkStart w:id="8702" w:name="_Caption1512"/>
      <w:bookmarkStart w:id="8703" w:name="_Caption4237"/>
      <w:bookmarkStart w:id="8704" w:name="_Caption6709"/>
      <w:bookmarkStart w:id="8705" w:name="_Caption0398"/>
      <w:bookmarkStart w:id="8706" w:name="_Caption2333"/>
      <w:bookmarkStart w:id="8707" w:name="_Caption9378"/>
      <w:bookmarkStart w:id="8708" w:name="_Caption8127"/>
      <w:bookmarkStart w:id="8709" w:name="_Caption2397"/>
      <w:bookmarkStart w:id="8710" w:name="_Caption9190"/>
      <w:bookmarkStart w:id="8711" w:name="_Caption7566"/>
      <w:bookmarkStart w:id="8712" w:name="_Caption9677"/>
      <w:bookmarkStart w:id="8713" w:name="_Caption7602"/>
      <w:bookmarkStart w:id="8714" w:name="_Caption4474"/>
      <w:bookmarkStart w:id="8715" w:name="_Caption6921"/>
      <w:bookmarkStart w:id="8716" w:name="_Caption9195"/>
      <w:bookmarkStart w:id="8717" w:name="_Caption9955"/>
      <w:bookmarkStart w:id="8718" w:name="_Caption3330"/>
      <w:bookmarkStart w:id="8719" w:name="_Caption9524"/>
      <w:bookmarkStart w:id="8720" w:name="_Caption7458"/>
      <w:bookmarkStart w:id="8721" w:name="_Caption9963"/>
      <w:bookmarkStart w:id="8722" w:name="_Caption2089"/>
      <w:bookmarkStart w:id="8723" w:name="_Caption9468"/>
      <w:bookmarkStart w:id="8724" w:name="_Caption3870"/>
      <w:bookmarkStart w:id="8725" w:name="_Caption0207"/>
      <w:bookmarkStart w:id="8726" w:name="_Caption7069"/>
      <w:bookmarkStart w:id="8727" w:name="_Caption2841"/>
      <w:bookmarkStart w:id="8728" w:name="_Caption5870"/>
      <w:bookmarkStart w:id="8729" w:name="_Caption4523"/>
      <w:bookmarkStart w:id="8730" w:name="_Caption9324"/>
      <w:bookmarkStart w:id="8731" w:name="_Caption4439"/>
      <w:bookmarkStart w:id="8732" w:name="_Caption6201"/>
      <w:bookmarkStart w:id="8733" w:name="_Caption7666"/>
      <w:bookmarkStart w:id="8734" w:name="_Caption1897"/>
      <w:bookmarkStart w:id="8735" w:name="_Caption4730"/>
      <w:bookmarkStart w:id="8736" w:name="_Caption2703"/>
      <w:bookmarkStart w:id="8737" w:name="_Caption8098"/>
      <w:bookmarkStart w:id="8738" w:name="_Caption3863"/>
      <w:bookmarkStart w:id="8739" w:name="_Caption4891"/>
      <w:bookmarkStart w:id="8740" w:name="_Caption6028"/>
      <w:bookmarkStart w:id="8741" w:name="_Caption1240"/>
      <w:bookmarkStart w:id="8742" w:name="_Caption9933"/>
      <w:bookmarkStart w:id="8743" w:name="_Caption8823"/>
      <w:bookmarkStart w:id="8744" w:name="_Caption7954"/>
      <w:bookmarkStart w:id="8745" w:name="_Caption6649"/>
      <w:bookmarkStart w:id="8746" w:name="_Caption7108"/>
      <w:bookmarkStart w:id="8747" w:name="_Caption6975"/>
      <w:bookmarkStart w:id="8748" w:name="_Caption1735"/>
      <w:bookmarkStart w:id="8749" w:name="_Caption4746"/>
      <w:bookmarkStart w:id="8750" w:name="_Caption6964"/>
      <w:bookmarkStart w:id="8751" w:name="_Caption4004"/>
      <w:bookmarkStart w:id="8752" w:name="_Caption0237"/>
      <w:bookmarkStart w:id="8753" w:name="_Caption7589"/>
      <w:bookmarkStart w:id="8754" w:name="_Caption0009"/>
      <w:bookmarkStart w:id="8755" w:name="_Caption7384"/>
      <w:bookmarkStart w:id="8756" w:name="_Caption7433"/>
      <w:bookmarkStart w:id="8757" w:name="_Caption8320"/>
      <w:bookmarkStart w:id="8758" w:name="_Caption1626"/>
      <w:bookmarkStart w:id="8759" w:name="_Caption4675"/>
      <w:bookmarkStart w:id="8760" w:name="_Caption3150"/>
      <w:bookmarkStart w:id="8761" w:name="_Caption6147"/>
      <w:bookmarkStart w:id="8762" w:name="_Caption1364"/>
      <w:bookmarkStart w:id="8763" w:name="_Caption1690"/>
      <w:bookmarkStart w:id="8764" w:name="_Caption7789"/>
      <w:bookmarkStart w:id="8765" w:name="_Caption1633"/>
      <w:bookmarkStart w:id="8766" w:name="_Caption5195"/>
      <w:bookmarkStart w:id="8767" w:name="_Caption8832"/>
      <w:bookmarkStart w:id="8768" w:name="_Caption0275"/>
      <w:bookmarkStart w:id="8769" w:name="_Caption6882"/>
      <w:bookmarkStart w:id="8770" w:name="_Caption7944"/>
      <w:bookmarkStart w:id="8771" w:name="_Caption1398"/>
      <w:bookmarkStart w:id="8772" w:name="_Caption0552"/>
      <w:bookmarkStart w:id="8773" w:name="_Caption0461"/>
      <w:bookmarkStart w:id="8774" w:name="_Caption7995"/>
      <w:bookmarkStart w:id="8775" w:name="_Caption0148"/>
      <w:bookmarkStart w:id="8776" w:name="_Caption2592"/>
      <w:bookmarkStart w:id="8777" w:name="_Caption5830"/>
      <w:bookmarkStart w:id="8778" w:name="_Caption9428"/>
      <w:bookmarkStart w:id="8779" w:name="_Caption1947"/>
      <w:bookmarkStart w:id="8780" w:name="_Caption3113"/>
      <w:bookmarkStart w:id="8781" w:name="_Caption2401"/>
      <w:bookmarkStart w:id="8782" w:name="_Caption3221"/>
      <w:bookmarkStart w:id="8783" w:name="_Caption8383"/>
      <w:bookmarkStart w:id="8784" w:name="_Caption4282"/>
      <w:bookmarkStart w:id="8785" w:name="_Caption2704"/>
      <w:bookmarkStart w:id="8786" w:name="_Caption0023"/>
      <w:bookmarkStart w:id="8787" w:name="_Caption5025"/>
      <w:bookmarkStart w:id="8788" w:name="_Toc509220906"/>
      <w:bookmarkStart w:id="8789" w:name="_Toc529870010"/>
      <w:bookmarkStart w:id="8790" w:name="_Toc530748506"/>
      <w:r w:rsidR="00EA42ED">
        <w:rPr>
          <w:noProof/>
        </w:rPr>
        <w:t>H</w:t>
      </w:r>
      <w:r w:rsidR="00EA42ED" w:rsidRPr="00D00F02">
        <w:rPr>
          <w:noProof/>
        </w:rPr>
        <w:t xml:space="preserve">.5 </w:t>
      </w:r>
      <w:bookmarkStart w:id="8791" w:name="_Toc507523857"/>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r w:rsidRPr="00D00F02">
        <w:fldChar w:fldCharType="end"/>
      </w:r>
      <w:r w:rsidRPr="00D00F02">
        <w:tab/>
        <w:t>Gas price projections</w:t>
      </w:r>
      <w:bookmarkEnd w:id="8788"/>
      <w:bookmarkEnd w:id="8789"/>
      <w:bookmarkEnd w:id="8790"/>
      <w:bookmarkEnd w:id="8791"/>
    </w:p>
    <w:p w:rsidR="00612FD3" w:rsidRDefault="00612FD3" w:rsidP="00612FD3">
      <w:pPr>
        <w:pStyle w:val="Source"/>
      </w:pPr>
      <w:r w:rsidRPr="00B35CD8">
        <w:rPr>
          <w:noProof/>
          <w:lang w:eastAsia="en-AU"/>
        </w:rPr>
        <w:drawing>
          <wp:inline distT="0" distB="0" distL="0" distR="0" wp14:anchorId="462E0E5A" wp14:editId="6FE97C44">
            <wp:extent cx="5019675" cy="2324100"/>
            <wp:effectExtent l="0" t="0" r="9525" b="0"/>
            <wp:docPr id="8" name="Picture 8" descr="This chart shows gas price projections by state and territory up to 2067.&#10;" title="Gas price projec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4">
                      <a:extLst>
                        <a:ext uri="{28A0092B-C50C-407E-A947-70E740481C1C}">
                          <a14:useLocalDpi xmlns:a14="http://schemas.microsoft.com/office/drawing/2010/main" val="0"/>
                        </a:ext>
                      </a:extLst>
                    </a:blip>
                    <a:srcRect l="-945" t="6250" r="1385" b="-1562"/>
                    <a:stretch/>
                  </pic:blipFill>
                  <pic:spPr bwMode="auto">
                    <a:xfrm>
                      <a:off x="0" y="0"/>
                      <a:ext cx="5019675" cy="2324100"/>
                    </a:xfrm>
                    <a:prstGeom prst="rect">
                      <a:avLst/>
                    </a:prstGeom>
                    <a:solidFill>
                      <a:schemeClr val="bg2"/>
                    </a:solidFill>
                    <a:ln>
                      <a:noFill/>
                    </a:ln>
                    <a:extLst>
                      <a:ext uri="{53640926-AAD7-44D8-BBD7-CCE9431645EC}">
                        <a14:shadowObscured xmlns:a14="http://schemas.microsoft.com/office/drawing/2010/main"/>
                      </a:ext>
                    </a:extLst>
                  </pic:spPr>
                </pic:pic>
              </a:graphicData>
            </a:graphic>
          </wp:inline>
        </w:drawing>
      </w:r>
      <w:r>
        <w:rPr>
          <w:i/>
        </w:rPr>
        <w:t>Data source</w:t>
      </w:r>
      <w:r w:rsidRPr="00A67576">
        <w:rPr>
          <w:i/>
        </w:rPr>
        <w:t>:</w:t>
      </w:r>
      <w:r>
        <w:t xml:space="preserve"> </w:t>
      </w:r>
      <w:r>
        <w:rPr>
          <w:lang w:val="en-GB"/>
        </w:rPr>
        <w:t xml:space="preserve">Energy Action 2017, </w:t>
      </w:r>
      <w:r w:rsidRPr="00C15341">
        <w:rPr>
          <w:i/>
          <w:lang w:val="en-GB"/>
        </w:rPr>
        <w:t>Energy Pricing Assumptions</w:t>
      </w:r>
      <w:r>
        <w:rPr>
          <w:lang w:val="en-GB"/>
        </w:rPr>
        <w:t xml:space="preserve">, NCC Section J Revision, 1 March 2017, p. 6-8; Australian Energy Market Commission 2017, </w:t>
      </w:r>
      <w:r w:rsidRPr="00C15341">
        <w:rPr>
          <w:i/>
          <w:lang w:val="en-GB"/>
        </w:rPr>
        <w:t>2017 Residential Electricity Price Trends</w:t>
      </w:r>
      <w:r>
        <w:rPr>
          <w:lang w:val="en-GB"/>
        </w:rPr>
        <w:t>, Final Report, 18 December 2017; CIE.</w:t>
      </w:r>
      <w:r w:rsidRPr="005D335E">
        <w:rPr>
          <w:noProof/>
          <w:lang w:eastAsia="en-AU"/>
        </w:rPr>
        <w:t xml:space="preserve"> </w:t>
      </w:r>
    </w:p>
    <w:p w:rsidR="00612FD3" w:rsidRDefault="00612FD3" w:rsidP="002B3C0A">
      <w:pPr>
        <w:pStyle w:val="Heading7"/>
      </w:pPr>
      <w:bookmarkStart w:id="8792" w:name="_Toc499847033"/>
      <w:bookmarkStart w:id="8793" w:name="_Toc505120629"/>
      <w:bookmarkStart w:id="8794" w:name="_Toc507523781"/>
      <w:bookmarkStart w:id="8795" w:name="_Toc509220830"/>
      <w:r>
        <w:t>Environmental benefits</w:t>
      </w:r>
      <w:bookmarkEnd w:id="8792"/>
      <w:bookmarkEnd w:id="8793"/>
      <w:bookmarkEnd w:id="8794"/>
      <w:bookmarkEnd w:id="8795"/>
    </w:p>
    <w:p w:rsidR="00612FD3" w:rsidRDefault="00612FD3" w:rsidP="00612FD3">
      <w:pPr>
        <w:pStyle w:val="BodyText"/>
      </w:pPr>
      <w:r>
        <w:t xml:space="preserve">In addition to the value of the resources saved, there are also environmental benefits associated with reduced energy consumption. Here the literature tends to focus mainly on valuing greenhouse gas emissions. Other environmental benefits </w:t>
      </w:r>
      <w:r w:rsidR="00103268">
        <w:t>could include</w:t>
      </w:r>
      <w:r>
        <w:t xml:space="preserve"> other avoided pollutants such as SOx and particulate matter.</w:t>
      </w:r>
    </w:p>
    <w:p w:rsidR="00D42D00" w:rsidRDefault="00D42D00" w:rsidP="002B3C0A">
      <w:pPr>
        <w:pStyle w:val="Heading8"/>
      </w:pPr>
      <w:r>
        <w:t>Emissions intensity</w:t>
      </w:r>
      <w:r w:rsidR="00DC41B8">
        <w:t xml:space="preserve"> of energy consumption</w:t>
      </w:r>
    </w:p>
    <w:p w:rsidR="00990023" w:rsidRDefault="00DC41B8" w:rsidP="00612FD3">
      <w:pPr>
        <w:pStyle w:val="BodyText"/>
      </w:pPr>
      <w:r>
        <w:t xml:space="preserve">Greenhouse gas emissions will depend on the emissions intensity of energy consumption, which varies </w:t>
      </w:r>
      <w:r w:rsidR="00990023">
        <w:t xml:space="preserve">by energy source. </w:t>
      </w:r>
      <w:r w:rsidR="00EB5964">
        <w:t>EA</w:t>
      </w:r>
      <w:r w:rsidR="00990023">
        <w:t>’s modelling was based on a national average emissions intensity. However, given that the emissions intensity of electricity varies significantly across States and Territories, it is important to take into account this variability for the purposes of the RIS.</w:t>
      </w:r>
    </w:p>
    <w:p w:rsidR="00990023" w:rsidRPr="002360AA" w:rsidRDefault="00990023" w:rsidP="00612FD3">
      <w:pPr>
        <w:pStyle w:val="BodyText"/>
      </w:pPr>
      <w:r w:rsidRPr="002360AA">
        <w:t>T</w:t>
      </w:r>
      <w:r w:rsidR="00103268" w:rsidRPr="002360AA">
        <w:t>he National Greenhouse Accounts Factors</w:t>
      </w:r>
      <w:r w:rsidRPr="002360AA">
        <w:t xml:space="preserve"> reports</w:t>
      </w:r>
      <w:r w:rsidR="00103268" w:rsidRPr="002360AA">
        <w:t xml:space="preserve"> emissions factors for end users of electricity in each State and Territory</w:t>
      </w:r>
      <w:r w:rsidRPr="002360AA">
        <w:t xml:space="preserve"> (table </w:t>
      </w:r>
      <w:r w:rsidR="00025FD2" w:rsidRPr="002360AA">
        <w:rPr>
          <w:noProof/>
        </w:rPr>
        <w:fldChar w:fldCharType="begin"/>
      </w:r>
      <w:r w:rsidR="00025FD2" w:rsidRPr="002360AA">
        <w:rPr>
          <w:noProof/>
        </w:rPr>
        <w:instrText xml:space="preserve"> REF _Caption6470 </w:instrText>
      </w:r>
      <w:r w:rsidR="002360AA">
        <w:rPr>
          <w:noProof/>
        </w:rPr>
        <w:instrText xml:space="preserve"> \* MERGEFORMAT </w:instrText>
      </w:r>
      <w:r w:rsidR="00025FD2" w:rsidRPr="002360AA">
        <w:rPr>
          <w:noProof/>
        </w:rPr>
        <w:fldChar w:fldCharType="separate"/>
      </w:r>
      <w:r w:rsidR="006B79B8" w:rsidRPr="00D00F02">
        <w:rPr>
          <w:noProof/>
        </w:rPr>
        <w:t>H.1</w:t>
      </w:r>
      <w:r w:rsidR="00025FD2" w:rsidRPr="002360AA">
        <w:rPr>
          <w:noProof/>
        </w:rPr>
        <w:fldChar w:fldCharType="end"/>
      </w:r>
      <w:r w:rsidRPr="002360AA">
        <w:t>), including:</w:t>
      </w:r>
    </w:p>
    <w:p w:rsidR="00990023" w:rsidRPr="002360AA" w:rsidRDefault="00990023" w:rsidP="002B3C0A">
      <w:pPr>
        <w:pStyle w:val="ListBullet"/>
      </w:pPr>
      <w:r w:rsidRPr="002360AA">
        <w:t>Scope 2 emissions — these are indirect emissions from the generation of the electricity purchased and consumed; and</w:t>
      </w:r>
    </w:p>
    <w:p w:rsidR="00990023" w:rsidRPr="002360AA" w:rsidRDefault="00990023" w:rsidP="002B3C0A">
      <w:pPr>
        <w:pStyle w:val="ListBullet"/>
      </w:pPr>
      <w:r w:rsidRPr="002360AA">
        <w:t>Scope 3 emissions — these are indirect emissions from the extraction</w:t>
      </w:r>
      <w:r w:rsidR="00B30FA1" w:rsidRPr="002360AA">
        <w:t>, production and transport of fuel burned at generation and the indirect emissions attributable to the electricity lost in delivery in the transmission and distribution network.</w:t>
      </w:r>
    </w:p>
    <w:p w:rsidR="00DC41B8" w:rsidRPr="00D00F02" w:rsidRDefault="00DC41B8" w:rsidP="00DC41B8">
      <w:pPr>
        <w:pStyle w:val="Caption"/>
      </w:pPr>
      <w:r w:rsidRPr="00D00F02">
        <w:fldChar w:fldCharType="begin"/>
      </w:r>
      <w:r w:rsidRPr="00D00F02">
        <w:instrText xml:space="preserve"> IF 1 = 1 "</w:instrText>
      </w:r>
      <w:r w:rsidRPr="00D00F02">
        <w:fldChar w:fldCharType="begin"/>
      </w:r>
      <w:r w:rsidRPr="00D00F02">
        <w:instrText xml:space="preserve"> IF </w:instrText>
      </w:r>
      <w:r w:rsidRPr="00D00F02">
        <w:rPr>
          <w:noProof/>
        </w:rPr>
        <w:fldChar w:fldCharType="begin"/>
      </w:r>
      <w:r w:rsidRPr="00D00F02">
        <w:rPr>
          <w:noProof/>
        </w:rPr>
        <w:instrText xml:space="preserve"> STYLEREF "Heading 6" \l \n </w:instrText>
      </w:r>
      <w:r w:rsidRPr="00D00F02">
        <w:rPr>
          <w:noProof/>
        </w:rPr>
        <w:fldChar w:fldCharType="separate"/>
      </w:r>
      <w:r w:rsidR="00B833F1">
        <w:rPr>
          <w:noProof/>
        </w:rPr>
        <w:instrText>H</w:instrText>
      </w:r>
      <w:r w:rsidRPr="00D00F02">
        <w:rPr>
          <w:noProof/>
        </w:rPr>
        <w:fldChar w:fldCharType="end"/>
      </w:r>
      <w:r w:rsidRPr="00D00F02">
        <w:instrText xml:space="preserve"> = 0 "</w:instrText>
      </w:r>
      <w:r w:rsidRPr="00D00F02">
        <w:fldChar w:fldCharType="begin"/>
      </w:r>
      <w:r w:rsidRPr="00D00F02">
        <w:instrText xml:space="preserve"> IF </w:instrText>
      </w:r>
      <w:r w:rsidRPr="00D00F02">
        <w:rPr>
          <w:noProof/>
        </w:rPr>
        <w:fldChar w:fldCharType="begin"/>
      </w:r>
      <w:r w:rsidRPr="00D00F02">
        <w:rPr>
          <w:noProof/>
        </w:rPr>
        <w:instrText xml:space="preserve"> STYLEREF "Heading 1" \l \n </w:instrText>
      </w:r>
      <w:r w:rsidRPr="00D00F02">
        <w:rPr>
          <w:noProof/>
        </w:rPr>
        <w:fldChar w:fldCharType="separate"/>
      </w:r>
      <w:r w:rsidRPr="00D00F02">
        <w:rPr>
          <w:noProof/>
        </w:rPr>
        <w:instrText>0</w:instrText>
      </w:r>
      <w:r w:rsidRPr="00D00F02">
        <w:rPr>
          <w:noProof/>
        </w:rPr>
        <w:fldChar w:fldCharType="end"/>
      </w:r>
      <w:r w:rsidRPr="00D00F02">
        <w:instrText xml:space="preserve"> = 0 "" "</w:instrText>
      </w:r>
      <w:r w:rsidRPr="00D00F02">
        <w:rPr>
          <w:noProof/>
        </w:rPr>
        <w:fldChar w:fldCharType="begin"/>
      </w:r>
      <w:r w:rsidRPr="00D00F02">
        <w:rPr>
          <w:noProof/>
        </w:rPr>
        <w:instrText xml:space="preserve"> STYLEREF "Heading 1" \l \n </w:instrText>
      </w:r>
      <w:r w:rsidRPr="00D00F02">
        <w:rPr>
          <w:noProof/>
        </w:rPr>
        <w:fldChar w:fldCharType="separate"/>
      </w:r>
      <w:r w:rsidRPr="00D00F02">
        <w:rPr>
          <w:noProof/>
        </w:rPr>
        <w:instrText>2</w:instrText>
      </w:r>
      <w:r w:rsidRPr="00D00F02">
        <w:rPr>
          <w:noProof/>
        </w:rPr>
        <w:fldChar w:fldCharType="end"/>
      </w:r>
      <w:r w:rsidRPr="00D00F02">
        <w:instrText xml:space="preserve">." </w:instrText>
      </w:r>
      <w:r w:rsidRPr="00D00F02">
        <w:fldChar w:fldCharType="end"/>
      </w:r>
      <w:r w:rsidRPr="00D00F02">
        <w:instrText>" "</w:instrText>
      </w:r>
      <w:r w:rsidR="00BB30D0" w:rsidRPr="00D00F02">
        <w:rPr>
          <w:noProof/>
        </w:rPr>
        <w:fldChar w:fldCharType="begin"/>
      </w:r>
      <w:r w:rsidR="00BB30D0" w:rsidRPr="00D00F02">
        <w:rPr>
          <w:noProof/>
        </w:rPr>
        <w:instrText xml:space="preserve"> STYLEREF "Heading 6" \l \n </w:instrText>
      </w:r>
      <w:r w:rsidR="00BB30D0" w:rsidRPr="00D00F02">
        <w:rPr>
          <w:noProof/>
        </w:rPr>
        <w:fldChar w:fldCharType="separate"/>
      </w:r>
      <w:r w:rsidR="00B833F1">
        <w:rPr>
          <w:noProof/>
        </w:rPr>
        <w:instrText>H</w:instrText>
      </w:r>
      <w:r w:rsidR="00BB30D0" w:rsidRPr="00D00F02">
        <w:rPr>
          <w:noProof/>
        </w:rPr>
        <w:fldChar w:fldCharType="end"/>
      </w:r>
      <w:r w:rsidRPr="00D00F02">
        <w:instrText xml:space="preserve">." </w:instrText>
      </w:r>
      <w:r w:rsidRPr="00D00F02">
        <w:fldChar w:fldCharType="separate"/>
      </w:r>
      <w:r w:rsidR="00B833F1">
        <w:rPr>
          <w:noProof/>
        </w:rPr>
        <w:instrText>H</w:instrText>
      </w:r>
      <w:r w:rsidR="00B833F1" w:rsidRPr="00D00F02">
        <w:rPr>
          <w:noProof/>
        </w:rPr>
        <w:instrText>.</w:instrText>
      </w:r>
      <w:r w:rsidRPr="00D00F02">
        <w:fldChar w:fldCharType="end"/>
      </w:r>
      <w:r w:rsidRPr="00D00F02">
        <w:fldChar w:fldCharType="begin"/>
      </w:r>
      <w:r w:rsidRPr="00D00F02">
        <w:instrText xml:space="preserve"> SEQ Item \* ARABIC \s </w:instrText>
      </w:r>
      <w:r w:rsidRPr="00D00F02">
        <w:fldChar w:fldCharType="begin"/>
      </w:r>
      <w:r w:rsidRPr="00D00F02">
        <w:instrText xml:space="preserve"> IF </w:instrText>
      </w:r>
      <w:r w:rsidRPr="00D00F02">
        <w:rPr>
          <w:noProof/>
        </w:rPr>
        <w:fldChar w:fldCharType="begin"/>
      </w:r>
      <w:r w:rsidRPr="00D00F02">
        <w:rPr>
          <w:noProof/>
        </w:rPr>
        <w:instrText xml:space="preserve"> STYLEREF "Heading 6" \l \n </w:instrText>
      </w:r>
      <w:r w:rsidRPr="00D00F02">
        <w:rPr>
          <w:noProof/>
        </w:rPr>
        <w:fldChar w:fldCharType="separate"/>
      </w:r>
      <w:r w:rsidR="00B833F1">
        <w:rPr>
          <w:noProof/>
        </w:rPr>
        <w:instrText>H</w:instrText>
      </w:r>
      <w:r w:rsidRPr="00D00F02">
        <w:rPr>
          <w:noProof/>
        </w:rPr>
        <w:fldChar w:fldCharType="end"/>
      </w:r>
      <w:r w:rsidRPr="00D00F02">
        <w:instrText xml:space="preserve"> = 0 "</w:instrText>
      </w:r>
      <w:r w:rsidRPr="00D00F02">
        <w:fldChar w:fldCharType="begin"/>
      </w:r>
      <w:r w:rsidRPr="00D00F02">
        <w:instrText xml:space="preserve"> IF </w:instrText>
      </w:r>
      <w:r w:rsidRPr="00D00F02">
        <w:rPr>
          <w:noProof/>
        </w:rPr>
        <w:fldChar w:fldCharType="begin"/>
      </w:r>
      <w:r w:rsidRPr="00D00F02">
        <w:rPr>
          <w:noProof/>
        </w:rPr>
        <w:instrText xml:space="preserve"> STYLEREF "Heading 1" \l \n </w:instrText>
      </w:r>
      <w:r w:rsidRPr="00D00F02">
        <w:rPr>
          <w:noProof/>
        </w:rPr>
        <w:fldChar w:fldCharType="separate"/>
      </w:r>
      <w:r w:rsidRPr="00D00F02">
        <w:rPr>
          <w:noProof/>
        </w:rPr>
        <w:instrText>0</w:instrText>
      </w:r>
      <w:r w:rsidRPr="00D00F02">
        <w:rPr>
          <w:noProof/>
        </w:rPr>
        <w:fldChar w:fldCharType="end"/>
      </w:r>
      <w:r w:rsidRPr="00D00F02">
        <w:instrText xml:space="preserve"> = 0 "" "1" </w:instrText>
      </w:r>
      <w:r w:rsidRPr="00D00F02">
        <w:fldChar w:fldCharType="end"/>
      </w:r>
      <w:r w:rsidRPr="00D00F02">
        <w:instrText xml:space="preserve">" "6" </w:instrText>
      </w:r>
      <w:r w:rsidRPr="00D00F02">
        <w:fldChar w:fldCharType="separate"/>
      </w:r>
      <w:r w:rsidR="00B833F1" w:rsidRPr="00D00F02">
        <w:rPr>
          <w:noProof/>
        </w:rPr>
        <w:instrText>6</w:instrText>
      </w:r>
      <w:r w:rsidRPr="00D00F02">
        <w:fldChar w:fldCharType="end"/>
      </w:r>
      <w:r w:rsidRPr="00D00F02">
        <w:instrText xml:space="preserve"> </w:instrText>
      </w:r>
      <w:r w:rsidRPr="00D00F02">
        <w:fldChar w:fldCharType="separate"/>
      </w:r>
      <w:r w:rsidR="00B833F1">
        <w:rPr>
          <w:noProof/>
        </w:rPr>
        <w:instrText>1</w:instrText>
      </w:r>
      <w:r w:rsidRPr="00D00F02">
        <w:fldChar w:fldCharType="end"/>
      </w:r>
      <w:r w:rsidRPr="00D00F02">
        <w:instrText xml:space="preserve">" "" </w:instrText>
      </w:r>
      <w:r w:rsidRPr="00D00F02">
        <w:fldChar w:fldCharType="separate"/>
      </w:r>
      <w:bookmarkStart w:id="8796" w:name="_Caption0582"/>
      <w:bookmarkStart w:id="8797" w:name="_Caption5138"/>
      <w:bookmarkStart w:id="8798" w:name="_Caption7225"/>
      <w:bookmarkStart w:id="8799" w:name="_Caption0130"/>
      <w:bookmarkStart w:id="8800" w:name="_Caption1923"/>
      <w:bookmarkStart w:id="8801" w:name="_Caption1723"/>
      <w:bookmarkStart w:id="8802" w:name="_Caption7454"/>
      <w:bookmarkStart w:id="8803" w:name="_Caption6470"/>
      <w:bookmarkStart w:id="8804" w:name="_Caption8647"/>
      <w:bookmarkStart w:id="8805" w:name="_Caption5574"/>
      <w:bookmarkStart w:id="8806" w:name="_Caption3414"/>
      <w:bookmarkStart w:id="8807" w:name="_Caption4856"/>
      <w:bookmarkStart w:id="8808" w:name="_Caption7587"/>
      <w:bookmarkStart w:id="8809" w:name="_Caption9680"/>
      <w:bookmarkStart w:id="8810" w:name="_Caption7059"/>
      <w:bookmarkStart w:id="8811" w:name="_Caption8012"/>
      <w:bookmarkStart w:id="8812" w:name="_Caption5314"/>
      <w:bookmarkStart w:id="8813" w:name="_Caption9863"/>
      <w:bookmarkStart w:id="8814" w:name="_Caption2286"/>
      <w:bookmarkStart w:id="8815" w:name="_Caption6126"/>
      <w:bookmarkStart w:id="8816" w:name="_Caption9268"/>
      <w:bookmarkStart w:id="8817" w:name="_Caption7646"/>
      <w:bookmarkStart w:id="8818" w:name="_Caption0230"/>
      <w:bookmarkStart w:id="8819" w:name="_Caption6807"/>
      <w:bookmarkStart w:id="8820" w:name="_Caption1063"/>
      <w:bookmarkStart w:id="8821" w:name="_Caption1478"/>
      <w:bookmarkStart w:id="8822" w:name="_Caption2815"/>
      <w:bookmarkStart w:id="8823" w:name="_Caption7805"/>
      <w:bookmarkStart w:id="8824" w:name="_Toc529870011"/>
      <w:bookmarkStart w:id="8825" w:name="_Toc530748507"/>
      <w:r w:rsidR="00EA42ED">
        <w:rPr>
          <w:noProof/>
        </w:rPr>
        <w:t>H</w:t>
      </w:r>
      <w:r w:rsidR="00EA42ED" w:rsidRPr="00D00F02">
        <w:rPr>
          <w:noProof/>
        </w:rPr>
        <w:t>.</w:t>
      </w:r>
      <w:r w:rsidR="00EA42ED">
        <w:rPr>
          <w:noProof/>
        </w:rPr>
        <w:t>1</w:t>
      </w:r>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r w:rsidRPr="00D00F02">
        <w:fldChar w:fldCharType="end"/>
      </w:r>
      <w:r w:rsidRPr="00D00F02">
        <w:tab/>
        <w:t>Electricity emissions factors for end users</w:t>
      </w:r>
      <w:bookmarkEnd w:id="8824"/>
      <w:bookmarkEnd w:id="8825"/>
    </w:p>
    <w:tbl>
      <w:tblPr>
        <w:tblW w:w="7937" w:type="dxa"/>
        <w:tblLayout w:type="fixed"/>
        <w:tblLook w:val="0000" w:firstRow="0" w:lastRow="0" w:firstColumn="0" w:lastColumn="0" w:noHBand="0" w:noVBand="0"/>
        <w:tblCaption w:val="Table H.1: Electricty emssions factors for end users"/>
        <w:tblDescription w:val="This table shows electicity emission factors for end users by jurisdiction. "/>
      </w:tblPr>
      <w:tblGrid>
        <w:gridCol w:w="1575"/>
        <w:gridCol w:w="795"/>
        <w:gridCol w:w="796"/>
        <w:gridCol w:w="795"/>
        <w:gridCol w:w="795"/>
        <w:gridCol w:w="795"/>
        <w:gridCol w:w="795"/>
        <w:gridCol w:w="796"/>
        <w:gridCol w:w="795"/>
      </w:tblGrid>
      <w:tr w:rsidR="00DC41B8" w:rsidRPr="002360AA" w:rsidTr="00DC41B8">
        <w:trPr>
          <w:trHeight w:val="461"/>
        </w:trPr>
        <w:tc>
          <w:tcPr>
            <w:tcW w:w="1575" w:type="dxa"/>
            <w:shd w:val="clear" w:color="auto" w:fill="6F6652"/>
            <w:tcMar>
              <w:left w:w="57" w:type="dxa"/>
              <w:right w:w="57" w:type="dxa"/>
            </w:tcMar>
          </w:tcPr>
          <w:p w:rsidR="00DC41B8" w:rsidRPr="002360AA" w:rsidRDefault="00DC41B8" w:rsidP="00DC41B8">
            <w:pPr>
              <w:pStyle w:val="TableDataColumnHeading"/>
              <w:jc w:val="left"/>
              <w:rPr>
                <w:lang w:val="en-GB"/>
              </w:rPr>
            </w:pPr>
          </w:p>
        </w:tc>
        <w:tc>
          <w:tcPr>
            <w:tcW w:w="795" w:type="dxa"/>
            <w:shd w:val="clear" w:color="auto" w:fill="6F6652"/>
            <w:tcMar>
              <w:left w:w="57" w:type="dxa"/>
              <w:right w:w="57" w:type="dxa"/>
            </w:tcMar>
          </w:tcPr>
          <w:p w:rsidR="00DC41B8" w:rsidRPr="002360AA" w:rsidRDefault="00DC41B8" w:rsidP="00DC41B8">
            <w:pPr>
              <w:pStyle w:val="TableDataColumnHeading"/>
              <w:rPr>
                <w:lang w:val="en-GB"/>
              </w:rPr>
            </w:pPr>
            <w:r w:rsidRPr="002360AA">
              <w:rPr>
                <w:lang w:val="en-GB"/>
              </w:rPr>
              <w:t>NSW</w:t>
            </w:r>
          </w:p>
        </w:tc>
        <w:tc>
          <w:tcPr>
            <w:tcW w:w="796" w:type="dxa"/>
            <w:shd w:val="clear" w:color="auto" w:fill="6F6652"/>
            <w:tcMar>
              <w:left w:w="57" w:type="dxa"/>
              <w:right w:w="57" w:type="dxa"/>
            </w:tcMar>
          </w:tcPr>
          <w:p w:rsidR="00DC41B8" w:rsidRPr="002360AA" w:rsidRDefault="00DC41B8" w:rsidP="00DC41B8">
            <w:pPr>
              <w:pStyle w:val="TableDataColumnHeading"/>
              <w:rPr>
                <w:lang w:val="en-GB"/>
              </w:rPr>
            </w:pPr>
            <w:r w:rsidRPr="002360AA">
              <w:rPr>
                <w:lang w:val="en-GB"/>
              </w:rPr>
              <w:t>Vic</w:t>
            </w:r>
          </w:p>
        </w:tc>
        <w:tc>
          <w:tcPr>
            <w:tcW w:w="795" w:type="dxa"/>
            <w:shd w:val="clear" w:color="auto" w:fill="6F6652"/>
            <w:tcMar>
              <w:left w:w="57" w:type="dxa"/>
              <w:right w:w="57" w:type="dxa"/>
            </w:tcMar>
          </w:tcPr>
          <w:p w:rsidR="00DC41B8" w:rsidRPr="002360AA" w:rsidRDefault="00DC41B8" w:rsidP="00DC41B8">
            <w:pPr>
              <w:pStyle w:val="TableDataColumnHeading"/>
              <w:rPr>
                <w:lang w:val="en-GB"/>
              </w:rPr>
            </w:pPr>
            <w:r w:rsidRPr="002360AA">
              <w:rPr>
                <w:lang w:val="en-GB"/>
              </w:rPr>
              <w:t>Qld</w:t>
            </w:r>
          </w:p>
        </w:tc>
        <w:tc>
          <w:tcPr>
            <w:tcW w:w="795" w:type="dxa"/>
            <w:shd w:val="clear" w:color="auto" w:fill="6F6652"/>
            <w:tcMar>
              <w:left w:w="57" w:type="dxa"/>
              <w:right w:w="57" w:type="dxa"/>
            </w:tcMar>
          </w:tcPr>
          <w:p w:rsidR="00DC41B8" w:rsidRPr="002360AA" w:rsidRDefault="00DC41B8" w:rsidP="00DC41B8">
            <w:pPr>
              <w:pStyle w:val="TableDataColumnHeading"/>
              <w:rPr>
                <w:lang w:val="en-GB"/>
              </w:rPr>
            </w:pPr>
            <w:r w:rsidRPr="002360AA">
              <w:rPr>
                <w:lang w:val="en-GB"/>
              </w:rPr>
              <w:t>SA</w:t>
            </w:r>
          </w:p>
        </w:tc>
        <w:tc>
          <w:tcPr>
            <w:tcW w:w="795" w:type="dxa"/>
            <w:shd w:val="clear" w:color="auto" w:fill="6F6652"/>
            <w:tcMar>
              <w:left w:w="57" w:type="dxa"/>
              <w:right w:w="57" w:type="dxa"/>
            </w:tcMar>
          </w:tcPr>
          <w:p w:rsidR="00DC41B8" w:rsidRPr="002360AA" w:rsidRDefault="00DC41B8" w:rsidP="00DC41B8">
            <w:pPr>
              <w:pStyle w:val="TableDataColumnHeading"/>
              <w:rPr>
                <w:lang w:val="en-GB"/>
              </w:rPr>
            </w:pPr>
            <w:r w:rsidRPr="002360AA">
              <w:rPr>
                <w:lang w:val="en-GB"/>
              </w:rPr>
              <w:t>WA</w:t>
            </w:r>
          </w:p>
        </w:tc>
        <w:tc>
          <w:tcPr>
            <w:tcW w:w="795" w:type="dxa"/>
            <w:shd w:val="clear" w:color="auto" w:fill="6F6652"/>
            <w:tcMar>
              <w:left w:w="57" w:type="dxa"/>
              <w:right w:w="57" w:type="dxa"/>
            </w:tcMar>
          </w:tcPr>
          <w:p w:rsidR="00DC41B8" w:rsidRPr="002360AA" w:rsidRDefault="00DC41B8" w:rsidP="00DC41B8">
            <w:pPr>
              <w:pStyle w:val="TableDataColumnHeading"/>
              <w:rPr>
                <w:lang w:val="en-GB"/>
              </w:rPr>
            </w:pPr>
            <w:r w:rsidRPr="002360AA">
              <w:rPr>
                <w:lang w:val="en-GB"/>
              </w:rPr>
              <w:t>Tas</w:t>
            </w:r>
          </w:p>
        </w:tc>
        <w:tc>
          <w:tcPr>
            <w:tcW w:w="796" w:type="dxa"/>
            <w:shd w:val="clear" w:color="auto" w:fill="6F6652"/>
            <w:tcMar>
              <w:left w:w="57" w:type="dxa"/>
              <w:right w:w="57" w:type="dxa"/>
            </w:tcMar>
          </w:tcPr>
          <w:p w:rsidR="00DC41B8" w:rsidRPr="002360AA" w:rsidRDefault="00DC41B8" w:rsidP="00DC41B8">
            <w:pPr>
              <w:pStyle w:val="TableDataColumnHeading"/>
              <w:rPr>
                <w:lang w:val="en-GB"/>
              </w:rPr>
            </w:pPr>
            <w:r w:rsidRPr="002360AA">
              <w:rPr>
                <w:lang w:val="en-GB"/>
              </w:rPr>
              <w:t>ACT</w:t>
            </w:r>
          </w:p>
        </w:tc>
        <w:tc>
          <w:tcPr>
            <w:tcW w:w="795" w:type="dxa"/>
            <w:shd w:val="clear" w:color="auto" w:fill="6F6652"/>
            <w:tcMar>
              <w:left w:w="57" w:type="dxa"/>
              <w:right w:w="57" w:type="dxa"/>
            </w:tcMar>
          </w:tcPr>
          <w:p w:rsidR="00DC41B8" w:rsidRPr="002360AA" w:rsidRDefault="00DC41B8" w:rsidP="00DC41B8">
            <w:pPr>
              <w:pStyle w:val="TableDataColumnHeading"/>
              <w:rPr>
                <w:lang w:val="en-GB"/>
              </w:rPr>
            </w:pPr>
            <w:r w:rsidRPr="002360AA">
              <w:rPr>
                <w:lang w:val="en-GB"/>
              </w:rPr>
              <w:t>NT</w:t>
            </w:r>
          </w:p>
        </w:tc>
      </w:tr>
      <w:tr w:rsidR="00DC41B8" w:rsidRPr="002360AA" w:rsidTr="00DC41B8">
        <w:trPr>
          <w:trHeight w:val="461"/>
        </w:trPr>
        <w:tc>
          <w:tcPr>
            <w:tcW w:w="1575" w:type="dxa"/>
            <w:tcBorders>
              <w:bottom w:val="single" w:sz="8" w:space="0" w:color="FFFFFF" w:themeColor="background1"/>
            </w:tcBorders>
            <w:shd w:val="clear" w:color="auto" w:fill="auto"/>
            <w:tcMar>
              <w:left w:w="57" w:type="dxa"/>
              <w:right w:w="57" w:type="dxa"/>
            </w:tcMar>
          </w:tcPr>
          <w:p w:rsidR="00DC41B8" w:rsidRPr="002360AA" w:rsidRDefault="00DC41B8" w:rsidP="00DC41B8">
            <w:pPr>
              <w:pStyle w:val="TableUnit"/>
              <w:jc w:val="left"/>
              <w:rPr>
                <w:lang w:val="en-GB"/>
              </w:rPr>
            </w:pPr>
          </w:p>
        </w:tc>
        <w:tc>
          <w:tcPr>
            <w:tcW w:w="795" w:type="dxa"/>
            <w:tcBorders>
              <w:bottom w:val="single" w:sz="8" w:space="0" w:color="FFFFFF" w:themeColor="background1"/>
            </w:tcBorders>
            <w:shd w:val="clear" w:color="auto" w:fill="auto"/>
            <w:tcMar>
              <w:left w:w="57" w:type="dxa"/>
              <w:right w:w="57" w:type="dxa"/>
            </w:tcMar>
          </w:tcPr>
          <w:p w:rsidR="00DC41B8" w:rsidRPr="002360AA" w:rsidRDefault="00DC41B8" w:rsidP="00DC41B8">
            <w:pPr>
              <w:pStyle w:val="TableUnit"/>
              <w:rPr>
                <w:lang w:val="en-GB"/>
              </w:rPr>
            </w:pPr>
            <w:r w:rsidRPr="002360AA">
              <w:rPr>
                <w:lang w:val="en-GB"/>
              </w:rPr>
              <w:t>Kg CO</w:t>
            </w:r>
            <w:r w:rsidRPr="002360AA">
              <w:rPr>
                <w:vertAlign w:val="subscript"/>
                <w:lang w:val="en-GB"/>
              </w:rPr>
              <w:t>2-e</w:t>
            </w:r>
            <w:r w:rsidRPr="002360AA">
              <w:rPr>
                <w:lang w:val="en-GB"/>
              </w:rPr>
              <w:t xml:space="preserve"> per Kwh</w:t>
            </w:r>
          </w:p>
        </w:tc>
        <w:tc>
          <w:tcPr>
            <w:tcW w:w="796" w:type="dxa"/>
            <w:tcBorders>
              <w:bottom w:val="single" w:sz="8" w:space="0" w:color="FFFFFF" w:themeColor="background1"/>
            </w:tcBorders>
            <w:shd w:val="clear" w:color="auto" w:fill="auto"/>
            <w:tcMar>
              <w:left w:w="57" w:type="dxa"/>
              <w:right w:w="57" w:type="dxa"/>
            </w:tcMar>
          </w:tcPr>
          <w:p w:rsidR="00DC41B8" w:rsidRPr="002360AA" w:rsidRDefault="00DC41B8" w:rsidP="00DC41B8">
            <w:pPr>
              <w:pStyle w:val="TableUnit"/>
              <w:rPr>
                <w:lang w:val="en-GB"/>
              </w:rPr>
            </w:pPr>
            <w:r w:rsidRPr="002360AA">
              <w:rPr>
                <w:lang w:val="en-GB"/>
              </w:rPr>
              <w:t>Kg CO</w:t>
            </w:r>
            <w:r w:rsidRPr="002360AA">
              <w:rPr>
                <w:vertAlign w:val="subscript"/>
                <w:lang w:val="en-GB"/>
              </w:rPr>
              <w:t>2-e</w:t>
            </w:r>
            <w:r w:rsidRPr="002360AA">
              <w:rPr>
                <w:lang w:val="en-GB"/>
              </w:rPr>
              <w:t xml:space="preserve"> per Kwh</w:t>
            </w:r>
          </w:p>
        </w:tc>
        <w:tc>
          <w:tcPr>
            <w:tcW w:w="795" w:type="dxa"/>
            <w:tcBorders>
              <w:bottom w:val="single" w:sz="8" w:space="0" w:color="FFFFFF" w:themeColor="background1"/>
            </w:tcBorders>
            <w:shd w:val="clear" w:color="auto" w:fill="auto"/>
            <w:tcMar>
              <w:left w:w="57" w:type="dxa"/>
              <w:right w:w="57" w:type="dxa"/>
            </w:tcMar>
          </w:tcPr>
          <w:p w:rsidR="00DC41B8" w:rsidRPr="002360AA" w:rsidRDefault="00DC41B8" w:rsidP="00DC41B8">
            <w:pPr>
              <w:pStyle w:val="TableUnit"/>
              <w:rPr>
                <w:lang w:val="en-GB"/>
              </w:rPr>
            </w:pPr>
            <w:r w:rsidRPr="002360AA">
              <w:rPr>
                <w:lang w:val="en-GB"/>
              </w:rPr>
              <w:t>Kg CO</w:t>
            </w:r>
            <w:r w:rsidRPr="002360AA">
              <w:rPr>
                <w:vertAlign w:val="subscript"/>
                <w:lang w:val="en-GB"/>
              </w:rPr>
              <w:t>2-e</w:t>
            </w:r>
            <w:r w:rsidRPr="002360AA">
              <w:rPr>
                <w:lang w:val="en-GB"/>
              </w:rPr>
              <w:t xml:space="preserve"> per Kwh</w:t>
            </w:r>
          </w:p>
        </w:tc>
        <w:tc>
          <w:tcPr>
            <w:tcW w:w="795" w:type="dxa"/>
            <w:tcBorders>
              <w:bottom w:val="single" w:sz="8" w:space="0" w:color="FFFFFF" w:themeColor="background1"/>
            </w:tcBorders>
            <w:shd w:val="clear" w:color="auto" w:fill="auto"/>
            <w:tcMar>
              <w:left w:w="57" w:type="dxa"/>
              <w:right w:w="57" w:type="dxa"/>
            </w:tcMar>
          </w:tcPr>
          <w:p w:rsidR="00DC41B8" w:rsidRPr="002360AA" w:rsidRDefault="00DC41B8" w:rsidP="00DC41B8">
            <w:pPr>
              <w:pStyle w:val="TableUnit"/>
              <w:rPr>
                <w:lang w:val="en-GB"/>
              </w:rPr>
            </w:pPr>
            <w:r w:rsidRPr="002360AA">
              <w:rPr>
                <w:lang w:val="en-GB"/>
              </w:rPr>
              <w:t>Kg CO</w:t>
            </w:r>
            <w:r w:rsidRPr="002360AA">
              <w:rPr>
                <w:vertAlign w:val="subscript"/>
                <w:lang w:val="en-GB"/>
              </w:rPr>
              <w:t>2-e</w:t>
            </w:r>
            <w:r w:rsidRPr="002360AA">
              <w:rPr>
                <w:lang w:val="en-GB"/>
              </w:rPr>
              <w:t xml:space="preserve"> per Kwh</w:t>
            </w:r>
          </w:p>
        </w:tc>
        <w:tc>
          <w:tcPr>
            <w:tcW w:w="795" w:type="dxa"/>
            <w:tcBorders>
              <w:bottom w:val="single" w:sz="8" w:space="0" w:color="FFFFFF" w:themeColor="background1"/>
            </w:tcBorders>
            <w:shd w:val="clear" w:color="auto" w:fill="auto"/>
            <w:tcMar>
              <w:left w:w="57" w:type="dxa"/>
              <w:right w:w="57" w:type="dxa"/>
            </w:tcMar>
          </w:tcPr>
          <w:p w:rsidR="00DC41B8" w:rsidRPr="002360AA" w:rsidRDefault="00DC41B8" w:rsidP="00DC41B8">
            <w:pPr>
              <w:pStyle w:val="TableUnit"/>
              <w:rPr>
                <w:lang w:val="en-GB"/>
              </w:rPr>
            </w:pPr>
            <w:r w:rsidRPr="002360AA">
              <w:rPr>
                <w:lang w:val="en-GB"/>
              </w:rPr>
              <w:t>Kg CO</w:t>
            </w:r>
            <w:r w:rsidRPr="002360AA">
              <w:rPr>
                <w:vertAlign w:val="subscript"/>
                <w:lang w:val="en-GB"/>
              </w:rPr>
              <w:t>2-e</w:t>
            </w:r>
            <w:r w:rsidRPr="002360AA">
              <w:rPr>
                <w:lang w:val="en-GB"/>
              </w:rPr>
              <w:t xml:space="preserve"> per Kwh</w:t>
            </w:r>
          </w:p>
        </w:tc>
        <w:tc>
          <w:tcPr>
            <w:tcW w:w="795" w:type="dxa"/>
            <w:tcBorders>
              <w:bottom w:val="single" w:sz="8" w:space="0" w:color="FFFFFF" w:themeColor="background1"/>
            </w:tcBorders>
            <w:shd w:val="clear" w:color="auto" w:fill="auto"/>
            <w:tcMar>
              <w:left w:w="57" w:type="dxa"/>
              <w:right w:w="57" w:type="dxa"/>
            </w:tcMar>
          </w:tcPr>
          <w:p w:rsidR="00DC41B8" w:rsidRPr="002360AA" w:rsidRDefault="00DC41B8" w:rsidP="00DC41B8">
            <w:pPr>
              <w:pStyle w:val="TableUnit"/>
              <w:rPr>
                <w:lang w:val="en-GB"/>
              </w:rPr>
            </w:pPr>
            <w:r w:rsidRPr="002360AA">
              <w:rPr>
                <w:lang w:val="en-GB"/>
              </w:rPr>
              <w:t>Kg CO</w:t>
            </w:r>
            <w:r w:rsidRPr="002360AA">
              <w:rPr>
                <w:vertAlign w:val="subscript"/>
                <w:lang w:val="en-GB"/>
              </w:rPr>
              <w:t>2-e</w:t>
            </w:r>
            <w:r w:rsidRPr="002360AA">
              <w:rPr>
                <w:lang w:val="en-GB"/>
              </w:rPr>
              <w:t xml:space="preserve"> per Kwh</w:t>
            </w:r>
          </w:p>
        </w:tc>
        <w:tc>
          <w:tcPr>
            <w:tcW w:w="796" w:type="dxa"/>
            <w:tcBorders>
              <w:bottom w:val="single" w:sz="8" w:space="0" w:color="FFFFFF" w:themeColor="background1"/>
            </w:tcBorders>
            <w:shd w:val="clear" w:color="auto" w:fill="auto"/>
            <w:tcMar>
              <w:left w:w="57" w:type="dxa"/>
              <w:right w:w="57" w:type="dxa"/>
            </w:tcMar>
          </w:tcPr>
          <w:p w:rsidR="00DC41B8" w:rsidRPr="002360AA" w:rsidRDefault="00DC41B8" w:rsidP="00DC41B8">
            <w:pPr>
              <w:pStyle w:val="TableUnit"/>
              <w:rPr>
                <w:lang w:val="en-GB"/>
              </w:rPr>
            </w:pPr>
            <w:r w:rsidRPr="002360AA">
              <w:rPr>
                <w:lang w:val="en-GB"/>
              </w:rPr>
              <w:t>Kg CO</w:t>
            </w:r>
            <w:r w:rsidRPr="002360AA">
              <w:rPr>
                <w:vertAlign w:val="subscript"/>
                <w:lang w:val="en-GB"/>
              </w:rPr>
              <w:t>2-e</w:t>
            </w:r>
            <w:r w:rsidRPr="002360AA">
              <w:rPr>
                <w:lang w:val="en-GB"/>
              </w:rPr>
              <w:t xml:space="preserve"> per Kwh</w:t>
            </w:r>
          </w:p>
        </w:tc>
        <w:tc>
          <w:tcPr>
            <w:tcW w:w="795" w:type="dxa"/>
            <w:tcBorders>
              <w:bottom w:val="single" w:sz="8" w:space="0" w:color="FFFFFF" w:themeColor="background1"/>
            </w:tcBorders>
            <w:shd w:val="clear" w:color="auto" w:fill="auto"/>
            <w:tcMar>
              <w:left w:w="57" w:type="dxa"/>
              <w:right w:w="57" w:type="dxa"/>
            </w:tcMar>
          </w:tcPr>
          <w:p w:rsidR="00DC41B8" w:rsidRPr="002360AA" w:rsidRDefault="00DC41B8" w:rsidP="00DC41B8">
            <w:pPr>
              <w:pStyle w:val="TableUnit"/>
              <w:rPr>
                <w:lang w:val="en-GB"/>
              </w:rPr>
            </w:pPr>
            <w:r w:rsidRPr="002360AA">
              <w:rPr>
                <w:lang w:val="en-GB"/>
              </w:rPr>
              <w:t>Kg CO</w:t>
            </w:r>
            <w:r w:rsidRPr="002360AA">
              <w:rPr>
                <w:vertAlign w:val="subscript"/>
                <w:lang w:val="en-GB"/>
              </w:rPr>
              <w:t>2-e</w:t>
            </w:r>
            <w:r w:rsidRPr="002360AA">
              <w:rPr>
                <w:lang w:val="en-GB"/>
              </w:rPr>
              <w:t xml:space="preserve"> per Kwh</w:t>
            </w:r>
          </w:p>
        </w:tc>
      </w:tr>
      <w:tr w:rsidR="00DC41B8" w:rsidRPr="002360AA" w:rsidTr="00DC41B8">
        <w:trPr>
          <w:trHeight w:val="230"/>
        </w:trPr>
        <w:tc>
          <w:tcPr>
            <w:tcW w:w="157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DC41B8" w:rsidRPr="002360AA" w:rsidRDefault="00DC41B8" w:rsidP="00DC41B8">
            <w:pPr>
              <w:pStyle w:val="TableDataEntries"/>
              <w:jc w:val="left"/>
              <w:rPr>
                <w:lang w:val="en-GB"/>
              </w:rPr>
            </w:pPr>
            <w:r w:rsidRPr="002360AA">
              <w:rPr>
                <w:lang w:val="en-GB"/>
              </w:rPr>
              <w:t>Scope 2 emissions</w:t>
            </w:r>
          </w:p>
        </w:tc>
        <w:tc>
          <w:tcPr>
            <w:tcW w:w="79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DC41B8" w:rsidRPr="002360AA" w:rsidRDefault="00DC41B8" w:rsidP="00DC41B8">
            <w:pPr>
              <w:pStyle w:val="TableDataEntries"/>
              <w:rPr>
                <w:lang w:val="en-GB"/>
              </w:rPr>
            </w:pPr>
            <w:r w:rsidRPr="002360AA">
              <w:rPr>
                <w:lang w:val="en-GB"/>
              </w:rPr>
              <w:t>0.82</w:t>
            </w:r>
          </w:p>
        </w:tc>
        <w:tc>
          <w:tcPr>
            <w:tcW w:w="79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DC41B8" w:rsidRPr="002360AA" w:rsidRDefault="00DC41B8" w:rsidP="00DC41B8">
            <w:pPr>
              <w:pStyle w:val="TableDataEntries"/>
              <w:rPr>
                <w:lang w:val="en-GB"/>
              </w:rPr>
            </w:pPr>
            <w:r w:rsidRPr="002360AA">
              <w:rPr>
                <w:lang w:val="en-GB"/>
              </w:rPr>
              <w:t>1.07</w:t>
            </w:r>
          </w:p>
        </w:tc>
        <w:tc>
          <w:tcPr>
            <w:tcW w:w="79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DC41B8" w:rsidRPr="002360AA" w:rsidRDefault="00DC41B8" w:rsidP="00DC41B8">
            <w:pPr>
              <w:pStyle w:val="TableDataEntries"/>
              <w:rPr>
                <w:lang w:val="en-GB"/>
              </w:rPr>
            </w:pPr>
            <w:r w:rsidRPr="002360AA">
              <w:rPr>
                <w:lang w:val="en-GB"/>
              </w:rPr>
              <w:t>0.80</w:t>
            </w:r>
          </w:p>
        </w:tc>
        <w:tc>
          <w:tcPr>
            <w:tcW w:w="79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DC41B8" w:rsidRPr="002360AA" w:rsidRDefault="00DC41B8" w:rsidP="00DC41B8">
            <w:pPr>
              <w:pStyle w:val="TableDataEntries"/>
              <w:rPr>
                <w:lang w:val="en-GB"/>
              </w:rPr>
            </w:pPr>
            <w:r w:rsidRPr="002360AA">
              <w:rPr>
                <w:lang w:val="en-GB"/>
              </w:rPr>
              <w:t>0.51</w:t>
            </w:r>
          </w:p>
        </w:tc>
        <w:tc>
          <w:tcPr>
            <w:tcW w:w="79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DC41B8" w:rsidRPr="002360AA" w:rsidRDefault="00DC41B8" w:rsidP="00DC41B8">
            <w:pPr>
              <w:pStyle w:val="TableDataEntries"/>
              <w:rPr>
                <w:lang w:val="en-GB"/>
              </w:rPr>
            </w:pPr>
            <w:r w:rsidRPr="002360AA">
              <w:rPr>
                <w:lang w:val="en-GB"/>
              </w:rPr>
              <w:t>0.70</w:t>
            </w:r>
          </w:p>
        </w:tc>
        <w:tc>
          <w:tcPr>
            <w:tcW w:w="79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DC41B8" w:rsidRPr="002360AA" w:rsidRDefault="00DC41B8" w:rsidP="00DC41B8">
            <w:pPr>
              <w:pStyle w:val="TableDataEntries"/>
              <w:rPr>
                <w:lang w:val="en-GB"/>
              </w:rPr>
            </w:pPr>
            <w:r w:rsidRPr="002360AA">
              <w:rPr>
                <w:lang w:val="en-GB"/>
              </w:rPr>
              <w:t>0.19</w:t>
            </w:r>
          </w:p>
        </w:tc>
        <w:tc>
          <w:tcPr>
            <w:tcW w:w="79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DC41B8" w:rsidRPr="002360AA" w:rsidRDefault="00DC41B8" w:rsidP="00DC41B8">
            <w:pPr>
              <w:pStyle w:val="TableDataEntries"/>
              <w:rPr>
                <w:lang w:val="en-GB"/>
              </w:rPr>
            </w:pPr>
            <w:r w:rsidRPr="002360AA">
              <w:rPr>
                <w:lang w:val="en-GB"/>
              </w:rPr>
              <w:t>0.82</w:t>
            </w:r>
          </w:p>
        </w:tc>
        <w:tc>
          <w:tcPr>
            <w:tcW w:w="79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DC41B8" w:rsidRPr="002360AA" w:rsidRDefault="00DC41B8" w:rsidP="00DC41B8">
            <w:pPr>
              <w:pStyle w:val="TableDataEntries"/>
              <w:rPr>
                <w:lang w:val="en-GB"/>
              </w:rPr>
            </w:pPr>
            <w:r w:rsidRPr="002360AA">
              <w:rPr>
                <w:lang w:val="en-GB"/>
              </w:rPr>
              <w:t>0.64</w:t>
            </w:r>
          </w:p>
        </w:tc>
      </w:tr>
      <w:tr w:rsidR="00DC41B8" w:rsidRPr="002360AA" w:rsidTr="00DC41B8">
        <w:trPr>
          <w:trHeight w:val="230"/>
        </w:trPr>
        <w:tc>
          <w:tcPr>
            <w:tcW w:w="157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DC41B8" w:rsidRPr="002360AA" w:rsidRDefault="00DC41B8" w:rsidP="00DC41B8">
            <w:pPr>
              <w:pStyle w:val="TableDataEntries"/>
              <w:jc w:val="left"/>
              <w:rPr>
                <w:lang w:val="en-GB"/>
              </w:rPr>
            </w:pPr>
            <w:r w:rsidRPr="002360AA">
              <w:rPr>
                <w:lang w:val="en-GB"/>
              </w:rPr>
              <w:t>Scope 3 emissions</w:t>
            </w:r>
          </w:p>
        </w:tc>
        <w:tc>
          <w:tcPr>
            <w:tcW w:w="79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DC41B8" w:rsidRPr="002360AA" w:rsidRDefault="00DC41B8" w:rsidP="00DC41B8">
            <w:pPr>
              <w:pStyle w:val="TableDataEntries"/>
              <w:rPr>
                <w:lang w:val="en-GB"/>
              </w:rPr>
            </w:pPr>
            <w:r w:rsidRPr="002360AA">
              <w:rPr>
                <w:lang w:val="en-GB"/>
              </w:rPr>
              <w:t>0.10</w:t>
            </w:r>
          </w:p>
        </w:tc>
        <w:tc>
          <w:tcPr>
            <w:tcW w:w="79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DC41B8" w:rsidRPr="002360AA" w:rsidRDefault="00DC41B8" w:rsidP="00DC41B8">
            <w:pPr>
              <w:pStyle w:val="TableDataEntries"/>
              <w:rPr>
                <w:lang w:val="en-GB"/>
              </w:rPr>
            </w:pPr>
            <w:r w:rsidRPr="002360AA">
              <w:rPr>
                <w:lang w:val="en-GB"/>
              </w:rPr>
              <w:t>0.10</w:t>
            </w:r>
          </w:p>
        </w:tc>
        <w:tc>
          <w:tcPr>
            <w:tcW w:w="79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DC41B8" w:rsidRPr="002360AA" w:rsidRDefault="00DC41B8" w:rsidP="00DC41B8">
            <w:pPr>
              <w:pStyle w:val="TableDataEntries"/>
              <w:rPr>
                <w:lang w:val="en-GB"/>
              </w:rPr>
            </w:pPr>
            <w:r w:rsidRPr="002360AA">
              <w:rPr>
                <w:lang w:val="en-GB"/>
              </w:rPr>
              <w:t>0.13</w:t>
            </w:r>
          </w:p>
        </w:tc>
        <w:tc>
          <w:tcPr>
            <w:tcW w:w="79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DC41B8" w:rsidRPr="002360AA" w:rsidRDefault="00DC41B8" w:rsidP="00DC41B8">
            <w:pPr>
              <w:pStyle w:val="TableDataEntries"/>
              <w:rPr>
                <w:lang w:val="en-GB"/>
              </w:rPr>
            </w:pPr>
            <w:r w:rsidRPr="002360AA">
              <w:rPr>
                <w:lang w:val="en-GB"/>
              </w:rPr>
              <w:t>0.10</w:t>
            </w:r>
          </w:p>
        </w:tc>
        <w:tc>
          <w:tcPr>
            <w:tcW w:w="79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DC41B8" w:rsidRPr="002360AA" w:rsidRDefault="00DC41B8" w:rsidP="00DC41B8">
            <w:pPr>
              <w:pStyle w:val="TableDataEntries"/>
              <w:rPr>
                <w:lang w:val="en-GB"/>
              </w:rPr>
            </w:pPr>
            <w:r w:rsidRPr="002360AA">
              <w:rPr>
                <w:lang w:val="en-GB"/>
              </w:rPr>
              <w:t>0.05</w:t>
            </w:r>
          </w:p>
        </w:tc>
        <w:tc>
          <w:tcPr>
            <w:tcW w:w="79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DC41B8" w:rsidRPr="002360AA" w:rsidRDefault="00DC41B8" w:rsidP="00DC41B8">
            <w:pPr>
              <w:pStyle w:val="TableDataEntries"/>
              <w:rPr>
                <w:lang w:val="en-GB"/>
              </w:rPr>
            </w:pPr>
            <w:r w:rsidRPr="002360AA">
              <w:rPr>
                <w:lang w:val="en-GB"/>
              </w:rPr>
              <w:t>0.03</w:t>
            </w:r>
          </w:p>
        </w:tc>
        <w:tc>
          <w:tcPr>
            <w:tcW w:w="79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DC41B8" w:rsidRPr="002360AA" w:rsidRDefault="00DC41B8" w:rsidP="00DC41B8">
            <w:pPr>
              <w:pStyle w:val="TableDataEntries"/>
              <w:rPr>
                <w:lang w:val="en-GB"/>
              </w:rPr>
            </w:pPr>
            <w:r w:rsidRPr="002360AA">
              <w:rPr>
                <w:lang w:val="en-GB"/>
              </w:rPr>
              <w:t>0.10</w:t>
            </w:r>
          </w:p>
        </w:tc>
        <w:tc>
          <w:tcPr>
            <w:tcW w:w="79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DC41B8" w:rsidRPr="002360AA" w:rsidRDefault="00DC41B8" w:rsidP="00DC41B8">
            <w:pPr>
              <w:pStyle w:val="TableDataEntries"/>
              <w:rPr>
                <w:lang w:val="en-GB"/>
              </w:rPr>
            </w:pPr>
            <w:r w:rsidRPr="002360AA">
              <w:rPr>
                <w:lang w:val="en-GB"/>
              </w:rPr>
              <w:t>0.09</w:t>
            </w:r>
          </w:p>
        </w:tc>
      </w:tr>
      <w:tr w:rsidR="00DC41B8" w:rsidRPr="00143A66" w:rsidTr="00DC41B8">
        <w:trPr>
          <w:trHeight w:val="230"/>
        </w:trPr>
        <w:tc>
          <w:tcPr>
            <w:tcW w:w="1575"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rsidR="00DC41B8" w:rsidRPr="00143A66" w:rsidRDefault="00DC41B8" w:rsidP="00DC41B8">
            <w:pPr>
              <w:pStyle w:val="TableDataEntries"/>
              <w:jc w:val="left"/>
              <w:rPr>
                <w:rFonts w:ascii="Franklin Gothic Demi" w:hAnsi="Franklin Gothic Demi"/>
                <w:lang w:val="en-GB"/>
              </w:rPr>
            </w:pPr>
            <w:r w:rsidRPr="00143A66">
              <w:rPr>
                <w:rFonts w:ascii="Franklin Gothic Demi" w:hAnsi="Franklin Gothic Demi"/>
                <w:lang w:val="en-GB"/>
              </w:rPr>
              <w:t>Total</w:t>
            </w:r>
          </w:p>
        </w:tc>
        <w:tc>
          <w:tcPr>
            <w:tcW w:w="795"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rsidR="00DC41B8" w:rsidRPr="00143A66" w:rsidRDefault="00DC41B8" w:rsidP="00DC41B8">
            <w:pPr>
              <w:pStyle w:val="TableDataEntries"/>
              <w:rPr>
                <w:rFonts w:ascii="Franklin Gothic Demi" w:hAnsi="Franklin Gothic Demi"/>
                <w:lang w:val="en-GB"/>
              </w:rPr>
            </w:pPr>
            <w:r w:rsidRPr="00143A66">
              <w:rPr>
                <w:rFonts w:ascii="Franklin Gothic Demi" w:hAnsi="Franklin Gothic Demi"/>
                <w:lang w:val="en-GB"/>
              </w:rPr>
              <w:t>0.92</w:t>
            </w:r>
          </w:p>
        </w:tc>
        <w:tc>
          <w:tcPr>
            <w:tcW w:w="796"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rsidR="00DC41B8" w:rsidRPr="00143A66" w:rsidRDefault="00DC41B8" w:rsidP="00DC41B8">
            <w:pPr>
              <w:pStyle w:val="TableDataEntries"/>
              <w:rPr>
                <w:rFonts w:ascii="Franklin Gothic Demi" w:hAnsi="Franklin Gothic Demi"/>
                <w:lang w:val="en-GB"/>
              </w:rPr>
            </w:pPr>
            <w:r w:rsidRPr="00143A66">
              <w:rPr>
                <w:rFonts w:ascii="Franklin Gothic Demi" w:hAnsi="Franklin Gothic Demi"/>
                <w:lang w:val="en-GB"/>
              </w:rPr>
              <w:t>1.17</w:t>
            </w:r>
          </w:p>
        </w:tc>
        <w:tc>
          <w:tcPr>
            <w:tcW w:w="795"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rsidR="00DC41B8" w:rsidRPr="00143A66" w:rsidRDefault="00DC41B8" w:rsidP="00DC41B8">
            <w:pPr>
              <w:pStyle w:val="TableDataEntries"/>
              <w:rPr>
                <w:rFonts w:ascii="Franklin Gothic Demi" w:hAnsi="Franklin Gothic Demi"/>
                <w:lang w:val="en-GB"/>
              </w:rPr>
            </w:pPr>
            <w:r w:rsidRPr="00143A66">
              <w:rPr>
                <w:rFonts w:ascii="Franklin Gothic Demi" w:hAnsi="Franklin Gothic Demi"/>
                <w:lang w:val="en-GB"/>
              </w:rPr>
              <w:t>0.93</w:t>
            </w:r>
          </w:p>
        </w:tc>
        <w:tc>
          <w:tcPr>
            <w:tcW w:w="795"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rsidR="00DC41B8" w:rsidRPr="00143A66" w:rsidRDefault="00DC41B8" w:rsidP="00DC41B8">
            <w:pPr>
              <w:pStyle w:val="TableDataEntries"/>
              <w:rPr>
                <w:rFonts w:ascii="Franklin Gothic Demi" w:hAnsi="Franklin Gothic Demi"/>
                <w:lang w:val="en-GB"/>
              </w:rPr>
            </w:pPr>
            <w:r w:rsidRPr="00143A66">
              <w:rPr>
                <w:rFonts w:ascii="Franklin Gothic Demi" w:hAnsi="Franklin Gothic Demi"/>
                <w:lang w:val="en-GB"/>
              </w:rPr>
              <w:t>0.61</w:t>
            </w:r>
          </w:p>
        </w:tc>
        <w:tc>
          <w:tcPr>
            <w:tcW w:w="795"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rsidR="00DC41B8" w:rsidRPr="00143A66" w:rsidRDefault="00DC41B8" w:rsidP="00DC41B8">
            <w:pPr>
              <w:pStyle w:val="TableDataEntries"/>
              <w:rPr>
                <w:rFonts w:ascii="Franklin Gothic Demi" w:hAnsi="Franklin Gothic Demi"/>
                <w:lang w:val="en-GB"/>
              </w:rPr>
            </w:pPr>
            <w:r w:rsidRPr="00143A66">
              <w:rPr>
                <w:rFonts w:ascii="Franklin Gothic Demi" w:hAnsi="Franklin Gothic Demi"/>
                <w:lang w:val="en-GB"/>
              </w:rPr>
              <w:t>0.75</w:t>
            </w:r>
          </w:p>
        </w:tc>
        <w:tc>
          <w:tcPr>
            <w:tcW w:w="795"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rsidR="00DC41B8" w:rsidRPr="00143A66" w:rsidRDefault="00DC41B8" w:rsidP="00DC41B8">
            <w:pPr>
              <w:pStyle w:val="TableDataEntries"/>
              <w:rPr>
                <w:rFonts w:ascii="Franklin Gothic Demi" w:hAnsi="Franklin Gothic Demi"/>
                <w:lang w:val="en-GB"/>
              </w:rPr>
            </w:pPr>
            <w:r w:rsidRPr="00143A66">
              <w:rPr>
                <w:rFonts w:ascii="Franklin Gothic Demi" w:hAnsi="Franklin Gothic Demi"/>
                <w:lang w:val="en-GB"/>
              </w:rPr>
              <w:t>0.22</w:t>
            </w:r>
          </w:p>
        </w:tc>
        <w:tc>
          <w:tcPr>
            <w:tcW w:w="796"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rsidR="00DC41B8" w:rsidRPr="00143A66" w:rsidRDefault="00DC41B8" w:rsidP="00DC41B8">
            <w:pPr>
              <w:pStyle w:val="TableDataEntries"/>
              <w:rPr>
                <w:rFonts w:ascii="Franklin Gothic Demi" w:hAnsi="Franklin Gothic Demi"/>
                <w:lang w:val="en-GB"/>
              </w:rPr>
            </w:pPr>
            <w:r w:rsidRPr="00143A66">
              <w:rPr>
                <w:rFonts w:ascii="Franklin Gothic Demi" w:hAnsi="Franklin Gothic Demi"/>
                <w:lang w:val="en-GB"/>
              </w:rPr>
              <w:t>0.92</w:t>
            </w:r>
          </w:p>
        </w:tc>
        <w:tc>
          <w:tcPr>
            <w:tcW w:w="795"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rsidR="00DC41B8" w:rsidRPr="00143A66" w:rsidRDefault="00DC41B8" w:rsidP="00DC41B8">
            <w:pPr>
              <w:pStyle w:val="TableDataEntries"/>
              <w:rPr>
                <w:rFonts w:ascii="Franklin Gothic Demi" w:hAnsi="Franklin Gothic Demi"/>
                <w:lang w:val="en-GB"/>
              </w:rPr>
            </w:pPr>
            <w:r w:rsidRPr="00143A66">
              <w:rPr>
                <w:rFonts w:ascii="Franklin Gothic Demi" w:hAnsi="Franklin Gothic Demi"/>
                <w:lang w:val="en-GB"/>
              </w:rPr>
              <w:t>0.73</w:t>
            </w:r>
          </w:p>
        </w:tc>
      </w:tr>
    </w:tbl>
    <w:p w:rsidR="00DC41B8" w:rsidRPr="002360AA" w:rsidRDefault="00DC41B8" w:rsidP="00DC41B8">
      <w:pPr>
        <w:pStyle w:val="Source"/>
      </w:pPr>
      <w:r w:rsidRPr="002360AA">
        <w:rPr>
          <w:i/>
        </w:rPr>
        <w:t>Source:</w:t>
      </w:r>
      <w:r w:rsidRPr="002360AA">
        <w:t xml:space="preserve"> Australian Government Department of the Environment and Energy, </w:t>
      </w:r>
      <w:r w:rsidRPr="002360AA">
        <w:rPr>
          <w:i/>
        </w:rPr>
        <w:t>National Greenhouse Accounts Factors</w:t>
      </w:r>
      <w:r w:rsidRPr="002360AA">
        <w:t>, Australian National Greenhouse Accounts, July 2018, pp. 68</w:t>
      </w:r>
      <w:r w:rsidRPr="002360AA">
        <w:noBreakHyphen/>
        <w:t>80.</w:t>
      </w:r>
    </w:p>
    <w:p w:rsidR="00DC41B8" w:rsidRPr="002360AA" w:rsidRDefault="00B30FA1" w:rsidP="00612FD3">
      <w:pPr>
        <w:pStyle w:val="BodyText"/>
      </w:pPr>
      <w:r w:rsidRPr="002360AA">
        <w:t xml:space="preserve">The national emissions factors used by </w:t>
      </w:r>
      <w:r w:rsidR="00EB5964" w:rsidRPr="002360AA">
        <w:t>EA</w:t>
      </w:r>
      <w:r w:rsidRPr="002360AA">
        <w:t xml:space="preserve"> were projected to decline over time. Although the emissions intensity of electricity could depend to a significant extent on State and Territory Government policies (which vary), we apply the national rate of decline reflected in </w:t>
      </w:r>
      <w:r w:rsidR="00EB5964" w:rsidRPr="002360AA">
        <w:t>EA</w:t>
      </w:r>
      <w:r w:rsidRPr="002360AA">
        <w:t>’s projections to each State and Territory’s emissions factors (except Tasmania, given its already low emissions intensity) (chart </w:t>
      </w:r>
      <w:r w:rsidR="00025FD2" w:rsidRPr="002360AA">
        <w:rPr>
          <w:noProof/>
        </w:rPr>
        <w:fldChar w:fldCharType="begin"/>
      </w:r>
      <w:r w:rsidR="00025FD2" w:rsidRPr="002360AA">
        <w:rPr>
          <w:noProof/>
        </w:rPr>
        <w:instrText xml:space="preserve"> REF _Caption9203 </w:instrText>
      </w:r>
      <w:r w:rsidR="002360AA">
        <w:rPr>
          <w:noProof/>
        </w:rPr>
        <w:instrText xml:space="preserve"> \* MERGEFORMAT </w:instrText>
      </w:r>
      <w:r w:rsidR="00025FD2" w:rsidRPr="002360AA">
        <w:rPr>
          <w:noProof/>
        </w:rPr>
        <w:fldChar w:fldCharType="separate"/>
      </w:r>
      <w:r w:rsidR="006B79B8" w:rsidRPr="00D00F02">
        <w:rPr>
          <w:noProof/>
        </w:rPr>
        <w:t>H.2</w:t>
      </w:r>
      <w:r w:rsidR="00025FD2" w:rsidRPr="002360AA">
        <w:rPr>
          <w:noProof/>
        </w:rPr>
        <w:fldChar w:fldCharType="end"/>
      </w:r>
      <w:r w:rsidRPr="002360AA">
        <w:t>).</w:t>
      </w:r>
    </w:p>
    <w:p w:rsidR="00DC41B8" w:rsidRPr="00D00F02" w:rsidRDefault="00DC41B8" w:rsidP="003A0222">
      <w:pPr>
        <w:pStyle w:val="Caption"/>
      </w:pPr>
      <w:r w:rsidRPr="00D00F02">
        <w:fldChar w:fldCharType="begin"/>
      </w:r>
      <w:r w:rsidRPr="00D00F02">
        <w:instrText xml:space="preserve"> IF 1 = 1 "</w:instrText>
      </w:r>
      <w:r w:rsidRPr="00D00F02">
        <w:fldChar w:fldCharType="begin"/>
      </w:r>
      <w:r w:rsidRPr="00D00F02">
        <w:instrText xml:space="preserve"> IF </w:instrText>
      </w:r>
      <w:r w:rsidRPr="00D00F02">
        <w:rPr>
          <w:noProof/>
        </w:rPr>
        <w:fldChar w:fldCharType="begin"/>
      </w:r>
      <w:r w:rsidRPr="00D00F02">
        <w:rPr>
          <w:noProof/>
        </w:rPr>
        <w:instrText xml:space="preserve"> STYLEREF "Heading 6" \l \n </w:instrText>
      </w:r>
      <w:r w:rsidRPr="00D00F02">
        <w:rPr>
          <w:noProof/>
        </w:rPr>
        <w:fldChar w:fldCharType="separate"/>
      </w:r>
      <w:r w:rsidR="00B833F1">
        <w:rPr>
          <w:noProof/>
        </w:rPr>
        <w:instrText>H</w:instrText>
      </w:r>
      <w:r w:rsidRPr="00D00F02">
        <w:rPr>
          <w:noProof/>
        </w:rPr>
        <w:fldChar w:fldCharType="end"/>
      </w:r>
      <w:r w:rsidRPr="00D00F02">
        <w:instrText xml:space="preserve"> = 0 "</w:instrText>
      </w:r>
      <w:r w:rsidRPr="00D00F02">
        <w:fldChar w:fldCharType="begin"/>
      </w:r>
      <w:r w:rsidRPr="00D00F02">
        <w:instrText xml:space="preserve"> IF </w:instrText>
      </w:r>
      <w:r w:rsidRPr="00D00F02">
        <w:fldChar w:fldCharType="begin"/>
      </w:r>
      <w:r w:rsidRPr="00D00F02">
        <w:instrText xml:space="preserve"> STYLEREF "Heading 1" \l \n </w:instrText>
      </w:r>
      <w:r w:rsidRPr="00D00F02">
        <w:fldChar w:fldCharType="separate"/>
      </w:r>
      <w:r w:rsidRPr="00D00F02">
        <w:rPr>
          <w:b/>
          <w:bCs/>
          <w:noProof/>
          <w:lang w:val="en-US"/>
        </w:rPr>
        <w:instrText>Error! No text of specified style in document.</w:instrText>
      </w:r>
      <w:r w:rsidRPr="00D00F02">
        <w:rPr>
          <w:noProof/>
        </w:rPr>
        <w:fldChar w:fldCharType="end"/>
      </w:r>
      <w:r w:rsidRPr="00D00F02">
        <w:instrText xml:space="preserve"> = 0 "" "</w:instrText>
      </w:r>
      <w:r w:rsidRPr="00D00F02">
        <w:fldChar w:fldCharType="begin"/>
      </w:r>
      <w:r w:rsidRPr="00D00F02">
        <w:instrText xml:space="preserve"> STYLEREF "Heading 1" \l \n </w:instrText>
      </w:r>
      <w:r w:rsidRPr="00D00F02">
        <w:fldChar w:fldCharType="separate"/>
      </w:r>
      <w:r w:rsidRPr="00D00F02">
        <w:rPr>
          <w:b/>
          <w:bCs/>
          <w:noProof/>
          <w:lang w:val="en-US"/>
        </w:rPr>
        <w:instrText>Error! No text of specified style in document.</w:instrText>
      </w:r>
      <w:r w:rsidRPr="00D00F02">
        <w:rPr>
          <w:noProof/>
        </w:rPr>
        <w:fldChar w:fldCharType="end"/>
      </w:r>
      <w:r w:rsidRPr="00D00F02">
        <w:instrText xml:space="preserve">." </w:instrText>
      </w:r>
      <w:r w:rsidRPr="00D00F02">
        <w:fldChar w:fldCharType="separate"/>
      </w:r>
      <w:r w:rsidRPr="00D00F02">
        <w:rPr>
          <w:b/>
          <w:bCs/>
          <w:noProof/>
          <w:lang w:val="en-US"/>
        </w:rPr>
        <w:instrText>Error! No text of specified style in document.</w:instrText>
      </w:r>
      <w:r w:rsidRPr="00D00F02">
        <w:rPr>
          <w:noProof/>
        </w:rPr>
        <w:instrText>.</w:instrText>
      </w:r>
      <w:r w:rsidRPr="00D00F02">
        <w:fldChar w:fldCharType="end"/>
      </w:r>
      <w:r w:rsidRPr="00D00F02">
        <w:instrText>" "</w:instrText>
      </w:r>
      <w:r w:rsidRPr="00D00F02">
        <w:rPr>
          <w:noProof/>
        </w:rPr>
        <w:fldChar w:fldCharType="begin"/>
      </w:r>
      <w:r w:rsidRPr="00D00F02">
        <w:rPr>
          <w:noProof/>
        </w:rPr>
        <w:instrText xml:space="preserve"> STYLEREF "Heading 6" \l \n </w:instrText>
      </w:r>
      <w:r w:rsidRPr="00D00F02">
        <w:rPr>
          <w:noProof/>
        </w:rPr>
        <w:fldChar w:fldCharType="separate"/>
      </w:r>
      <w:r w:rsidR="00B833F1">
        <w:rPr>
          <w:noProof/>
        </w:rPr>
        <w:instrText>H</w:instrText>
      </w:r>
      <w:r w:rsidRPr="00D00F02">
        <w:rPr>
          <w:noProof/>
        </w:rPr>
        <w:fldChar w:fldCharType="end"/>
      </w:r>
      <w:r w:rsidRPr="00D00F02">
        <w:instrText xml:space="preserve">." </w:instrText>
      </w:r>
      <w:r w:rsidRPr="00D00F02">
        <w:fldChar w:fldCharType="separate"/>
      </w:r>
      <w:r w:rsidR="00B833F1">
        <w:rPr>
          <w:noProof/>
        </w:rPr>
        <w:instrText>H</w:instrText>
      </w:r>
      <w:r w:rsidR="00B833F1" w:rsidRPr="00D00F02">
        <w:rPr>
          <w:noProof/>
        </w:rPr>
        <w:instrText>.</w:instrText>
      </w:r>
      <w:r w:rsidRPr="00D00F02">
        <w:fldChar w:fldCharType="end"/>
      </w:r>
      <w:r w:rsidRPr="00D00F02">
        <w:fldChar w:fldCharType="begin"/>
      </w:r>
      <w:r w:rsidRPr="00D00F02">
        <w:instrText xml:space="preserve"> SEQ Item \* ARABIC \s </w:instrText>
      </w:r>
      <w:r w:rsidRPr="00D00F02">
        <w:fldChar w:fldCharType="begin"/>
      </w:r>
      <w:r w:rsidRPr="00D00F02">
        <w:instrText xml:space="preserve"> IF </w:instrText>
      </w:r>
      <w:r w:rsidRPr="00D00F02">
        <w:rPr>
          <w:noProof/>
        </w:rPr>
        <w:fldChar w:fldCharType="begin"/>
      </w:r>
      <w:r w:rsidRPr="00D00F02">
        <w:rPr>
          <w:noProof/>
        </w:rPr>
        <w:instrText xml:space="preserve"> STYLEREF "Heading 6" \l \n </w:instrText>
      </w:r>
      <w:r w:rsidRPr="00D00F02">
        <w:rPr>
          <w:noProof/>
        </w:rPr>
        <w:fldChar w:fldCharType="separate"/>
      </w:r>
      <w:r w:rsidR="00B833F1">
        <w:rPr>
          <w:noProof/>
        </w:rPr>
        <w:instrText>H</w:instrText>
      </w:r>
      <w:r w:rsidRPr="00D00F02">
        <w:rPr>
          <w:noProof/>
        </w:rPr>
        <w:fldChar w:fldCharType="end"/>
      </w:r>
      <w:r w:rsidRPr="00D00F02">
        <w:instrText xml:space="preserve"> = 0 "</w:instrText>
      </w:r>
      <w:r w:rsidRPr="00D00F02">
        <w:fldChar w:fldCharType="begin"/>
      </w:r>
      <w:r w:rsidRPr="00D00F02">
        <w:instrText xml:space="preserve"> IF </w:instrText>
      </w:r>
      <w:r w:rsidRPr="00D00F02">
        <w:fldChar w:fldCharType="begin"/>
      </w:r>
      <w:r w:rsidRPr="00D00F02">
        <w:instrText xml:space="preserve"> STYLEREF "Heading 1" \l \n </w:instrText>
      </w:r>
      <w:r w:rsidRPr="00D00F02">
        <w:fldChar w:fldCharType="separate"/>
      </w:r>
      <w:r w:rsidRPr="00D00F02">
        <w:rPr>
          <w:b/>
          <w:bCs/>
          <w:noProof/>
          <w:lang w:val="en-US"/>
        </w:rPr>
        <w:instrText>Error! No text of specified style in document.</w:instrText>
      </w:r>
      <w:r w:rsidRPr="00D00F02">
        <w:rPr>
          <w:noProof/>
        </w:rPr>
        <w:fldChar w:fldCharType="end"/>
      </w:r>
      <w:r w:rsidRPr="00D00F02">
        <w:instrText xml:space="preserve"> = 0 "" "1" </w:instrText>
      </w:r>
      <w:r w:rsidRPr="00D00F02">
        <w:fldChar w:fldCharType="separate"/>
      </w:r>
      <w:r w:rsidRPr="00D00F02">
        <w:rPr>
          <w:noProof/>
        </w:rPr>
        <w:instrText>1</w:instrText>
      </w:r>
      <w:r w:rsidRPr="00D00F02">
        <w:fldChar w:fldCharType="end"/>
      </w:r>
      <w:r w:rsidRPr="00D00F02">
        <w:instrText xml:space="preserve">" "6" </w:instrText>
      </w:r>
      <w:r w:rsidRPr="00D00F02">
        <w:fldChar w:fldCharType="separate"/>
      </w:r>
      <w:r w:rsidR="00B833F1" w:rsidRPr="00D00F02">
        <w:rPr>
          <w:noProof/>
        </w:rPr>
        <w:instrText>6</w:instrText>
      </w:r>
      <w:r w:rsidRPr="00D00F02">
        <w:fldChar w:fldCharType="end"/>
      </w:r>
      <w:r w:rsidRPr="00D00F02">
        <w:instrText xml:space="preserve"> </w:instrText>
      </w:r>
      <w:r w:rsidRPr="00D00F02">
        <w:fldChar w:fldCharType="separate"/>
      </w:r>
      <w:r w:rsidR="00B833F1">
        <w:rPr>
          <w:noProof/>
        </w:rPr>
        <w:instrText>2</w:instrText>
      </w:r>
      <w:r w:rsidRPr="00D00F02">
        <w:fldChar w:fldCharType="end"/>
      </w:r>
      <w:r w:rsidRPr="00D00F02">
        <w:instrText xml:space="preserve">" "" </w:instrText>
      </w:r>
      <w:r w:rsidRPr="00D00F02">
        <w:fldChar w:fldCharType="separate"/>
      </w:r>
      <w:bookmarkStart w:id="8826" w:name="_Caption2556"/>
      <w:bookmarkStart w:id="8827" w:name="_Caption9113"/>
      <w:bookmarkStart w:id="8828" w:name="_Caption7863"/>
      <w:bookmarkStart w:id="8829" w:name="_Caption7316"/>
      <w:bookmarkStart w:id="8830" w:name="_Caption8387"/>
      <w:bookmarkStart w:id="8831" w:name="_Caption7112"/>
      <w:bookmarkStart w:id="8832" w:name="_Caption9203"/>
      <w:bookmarkStart w:id="8833" w:name="_Caption9715"/>
      <w:bookmarkStart w:id="8834" w:name="_Caption6909"/>
      <w:bookmarkStart w:id="8835" w:name="_Caption5888"/>
      <w:bookmarkStart w:id="8836" w:name="_Caption5993"/>
      <w:bookmarkStart w:id="8837" w:name="_Caption3950"/>
      <w:bookmarkStart w:id="8838" w:name="_Caption7653"/>
      <w:bookmarkStart w:id="8839" w:name="_Caption9294"/>
      <w:bookmarkStart w:id="8840" w:name="_Caption8621"/>
      <w:bookmarkStart w:id="8841" w:name="_Caption7386"/>
      <w:bookmarkStart w:id="8842" w:name="_Caption2113"/>
      <w:bookmarkStart w:id="8843" w:name="_Caption9023"/>
      <w:bookmarkStart w:id="8844" w:name="_Caption6769"/>
      <w:bookmarkStart w:id="8845" w:name="_Caption2332"/>
      <w:bookmarkStart w:id="8846" w:name="_Caption9372"/>
      <w:bookmarkStart w:id="8847" w:name="_Caption4236"/>
      <w:bookmarkStart w:id="8848" w:name="_Caption3683"/>
      <w:bookmarkStart w:id="8849" w:name="_Caption3926"/>
      <w:bookmarkStart w:id="8850" w:name="_Caption9505"/>
      <w:bookmarkStart w:id="8851" w:name="_Caption8247"/>
      <w:bookmarkStart w:id="8852" w:name="_Caption4851"/>
      <w:bookmarkStart w:id="8853" w:name="_Caption8608"/>
      <w:bookmarkStart w:id="8854" w:name="_Toc529870012"/>
      <w:bookmarkStart w:id="8855" w:name="_Toc530748508"/>
      <w:r w:rsidR="00EA42ED">
        <w:rPr>
          <w:noProof/>
        </w:rPr>
        <w:t>H</w:t>
      </w:r>
      <w:r w:rsidR="00EA42ED" w:rsidRPr="00D00F02">
        <w:rPr>
          <w:noProof/>
        </w:rPr>
        <w:t>.</w:t>
      </w:r>
      <w:r w:rsidR="00EA42ED">
        <w:rPr>
          <w:noProof/>
        </w:rPr>
        <w:t>2</w:t>
      </w:r>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r w:rsidRPr="00D00F02">
        <w:fldChar w:fldCharType="end"/>
      </w:r>
      <w:r w:rsidRPr="00D00F02">
        <w:tab/>
      </w:r>
      <w:r w:rsidR="00F307B1" w:rsidRPr="00D00F02">
        <w:t>Electricity emissions factors over time</w:t>
      </w:r>
      <w:bookmarkEnd w:id="8854"/>
      <w:bookmarkEnd w:id="8855"/>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8"/>
      </w:tblGrid>
      <w:tr w:rsidR="00DC41B8" w:rsidRPr="002360AA" w:rsidTr="003A0222">
        <w:trPr>
          <w:cantSplit/>
        </w:trPr>
        <w:tc>
          <w:tcPr>
            <w:tcW w:w="7938" w:type="dxa"/>
            <w:shd w:val="clear" w:color="auto" w:fill="E9E8E5" w:themeFill="background2"/>
          </w:tcPr>
          <w:p w:rsidR="00DC41B8" w:rsidRPr="002360AA" w:rsidRDefault="00F307B1" w:rsidP="00681E72">
            <w:pPr>
              <w:pStyle w:val="Chart"/>
              <w:jc w:val="center"/>
            </w:pPr>
            <w:r w:rsidRPr="002360AA">
              <w:rPr>
                <w:noProof/>
                <w:lang w:eastAsia="en-AU"/>
              </w:rPr>
              <w:drawing>
                <wp:inline distT="0" distB="0" distL="0" distR="0" wp14:anchorId="6B513A48" wp14:editId="2635C67B">
                  <wp:extent cx="4743450" cy="2241550"/>
                  <wp:effectExtent l="0" t="0" r="0" b="0"/>
                  <wp:docPr id="19" name="Picture 19" descr="This chart shows electricity emissions factors over time by state and territory. Emission factors vary across states and over time reflecting the change in fuel mix. Tasmania has the lowest factor, only slightly above 0.2 tCO2-e/MWh, while Victoria has the highest - starting from 0.2tCO2-e/MWh in 2017 down to 0.5tCO2-e/MWh by 2056 and stabilising thereaf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5">
                            <a:extLst>
                              <a:ext uri="{28A0092B-C50C-407E-A947-70E740481C1C}">
                                <a14:useLocalDpi xmlns:a14="http://schemas.microsoft.com/office/drawing/2010/main" val="0"/>
                              </a:ext>
                            </a:extLst>
                          </a:blip>
                          <a:srcRect t="7833" r="5920"/>
                          <a:stretch/>
                        </pic:blipFill>
                        <pic:spPr bwMode="auto">
                          <a:xfrm>
                            <a:off x="0" y="0"/>
                            <a:ext cx="4743450" cy="22415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DC41B8" w:rsidRPr="002360AA" w:rsidRDefault="00DC41B8" w:rsidP="003A0222">
      <w:pPr>
        <w:pStyle w:val="Note"/>
      </w:pPr>
      <w:r w:rsidRPr="002360AA">
        <w:t xml:space="preserve"> </w:t>
      </w:r>
    </w:p>
    <w:p w:rsidR="00DC41B8" w:rsidRPr="002360AA" w:rsidRDefault="00DC41B8" w:rsidP="003A0222">
      <w:pPr>
        <w:pStyle w:val="Note"/>
      </w:pPr>
      <w:r w:rsidRPr="002360AA">
        <w:rPr>
          <w:i/>
        </w:rPr>
        <w:t xml:space="preserve">Note: </w:t>
      </w:r>
    </w:p>
    <w:p w:rsidR="00DC41B8" w:rsidRPr="002360AA" w:rsidRDefault="00DC41B8" w:rsidP="003A0222">
      <w:pPr>
        <w:pStyle w:val="Source"/>
      </w:pPr>
      <w:r w:rsidRPr="002360AA">
        <w:rPr>
          <w:i/>
        </w:rPr>
        <w:t>Data source:</w:t>
      </w:r>
      <w:r w:rsidRPr="002360AA">
        <w:t xml:space="preserve"> </w:t>
      </w:r>
      <w:r w:rsidR="00B30FA1" w:rsidRPr="002360AA">
        <w:t xml:space="preserve">Australian Government Department of the Environment and Energy, </w:t>
      </w:r>
      <w:r w:rsidR="00B30FA1" w:rsidRPr="002360AA">
        <w:rPr>
          <w:i/>
        </w:rPr>
        <w:t>National Greenhouse Accounts Factors</w:t>
      </w:r>
      <w:r w:rsidR="00B30FA1" w:rsidRPr="002360AA">
        <w:t>, Australian National Greenhouse Accounts, July 2018, pp. 68</w:t>
      </w:r>
      <w:r w:rsidR="00B30FA1" w:rsidRPr="002360AA">
        <w:noBreakHyphen/>
        <w:t xml:space="preserve">80; </w:t>
      </w:r>
      <w:r w:rsidR="00EB5964" w:rsidRPr="002360AA">
        <w:t>EA</w:t>
      </w:r>
      <w:r w:rsidR="00B30FA1" w:rsidRPr="002360AA">
        <w:t>; CIE.</w:t>
      </w:r>
    </w:p>
    <w:p w:rsidR="00DC41B8" w:rsidRPr="002360AA" w:rsidRDefault="00B30FA1" w:rsidP="00612FD3">
      <w:pPr>
        <w:pStyle w:val="BodyText"/>
      </w:pPr>
      <w:r w:rsidRPr="002360AA">
        <w:t xml:space="preserve">For natural gas consumption, </w:t>
      </w:r>
      <w:r w:rsidR="00EB5964" w:rsidRPr="002360AA">
        <w:t>EA</w:t>
      </w:r>
      <w:r w:rsidRPr="002360AA">
        <w:t xml:space="preserve"> used an emissions factor of </w:t>
      </w:r>
      <w:r w:rsidR="00F96C42" w:rsidRPr="002360AA">
        <w:t>51.4 Kg Co2</w:t>
      </w:r>
      <w:r w:rsidR="00F96C42" w:rsidRPr="002360AA">
        <w:noBreakHyphen/>
        <w:t>e per GJ, which is consistent</w:t>
      </w:r>
      <w:r w:rsidR="00D60E59" w:rsidRPr="002360AA">
        <w:t xml:space="preserve"> with </w:t>
      </w:r>
      <w:r w:rsidR="00853AF0" w:rsidRPr="002360AA">
        <w:t>emission factors for the consumption of natural gas reported in the National Greenhouse Accounts Factors, excluding Scope 3 emissions.</w:t>
      </w:r>
      <w:r w:rsidR="00853AF0" w:rsidRPr="002360AA">
        <w:rPr>
          <w:rStyle w:val="FootnoteReference"/>
        </w:rPr>
        <w:footnoteReference w:id="145"/>
      </w:r>
      <w:r w:rsidR="00853AF0" w:rsidRPr="002360AA">
        <w:t xml:space="preserve"> For the RIS, we add estimates of Scope 3 emissions, as reported in the National Greenhouse Accounts Factors (table </w:t>
      </w:r>
      <w:r w:rsidR="00025FD2" w:rsidRPr="002360AA">
        <w:rPr>
          <w:noProof/>
        </w:rPr>
        <w:fldChar w:fldCharType="begin"/>
      </w:r>
      <w:r w:rsidR="00025FD2" w:rsidRPr="002360AA">
        <w:rPr>
          <w:noProof/>
        </w:rPr>
        <w:instrText xml:space="preserve"> REF _Caption7017 </w:instrText>
      </w:r>
      <w:r w:rsidR="002360AA">
        <w:rPr>
          <w:noProof/>
        </w:rPr>
        <w:instrText xml:space="preserve"> \* MERGEFORMAT </w:instrText>
      </w:r>
      <w:r w:rsidR="00025FD2" w:rsidRPr="002360AA">
        <w:rPr>
          <w:noProof/>
        </w:rPr>
        <w:fldChar w:fldCharType="separate"/>
      </w:r>
      <w:r w:rsidR="006B79B8">
        <w:rPr>
          <w:noProof/>
        </w:rPr>
        <w:t>H</w:t>
      </w:r>
      <w:r w:rsidR="006B79B8" w:rsidRPr="002360AA">
        <w:rPr>
          <w:noProof/>
        </w:rPr>
        <w:t>.</w:t>
      </w:r>
      <w:r w:rsidR="006B79B8">
        <w:rPr>
          <w:noProof/>
        </w:rPr>
        <w:t>3</w:t>
      </w:r>
      <w:r w:rsidR="00025FD2" w:rsidRPr="002360AA">
        <w:rPr>
          <w:noProof/>
        </w:rPr>
        <w:fldChar w:fldCharType="end"/>
      </w:r>
      <w:r w:rsidR="00853AF0" w:rsidRPr="002360AA">
        <w:t>).</w:t>
      </w:r>
      <w:r w:rsidR="00853AF0" w:rsidRPr="002360AA">
        <w:rPr>
          <w:rStyle w:val="FootnoteReference"/>
        </w:rPr>
        <w:footnoteReference w:id="146"/>
      </w:r>
    </w:p>
    <w:p w:rsidR="00F96C42" w:rsidRPr="002360AA" w:rsidRDefault="00F96C42" w:rsidP="00F96C42">
      <w:pPr>
        <w:pStyle w:val="Caption"/>
      </w:pPr>
      <w:r w:rsidRPr="002360AA">
        <w:fldChar w:fldCharType="begin"/>
      </w:r>
      <w:r w:rsidRPr="002360AA">
        <w:instrText xml:space="preserve"> IF 1 = 1 "</w:instrText>
      </w:r>
      <w:r w:rsidRPr="002360AA">
        <w:fldChar w:fldCharType="begin"/>
      </w:r>
      <w:r w:rsidRPr="002360AA">
        <w:instrText xml:space="preserve"> IF </w:instrText>
      </w:r>
      <w:r w:rsidRPr="002360AA">
        <w:rPr>
          <w:noProof/>
        </w:rPr>
        <w:fldChar w:fldCharType="begin"/>
      </w:r>
      <w:r w:rsidRPr="002360AA">
        <w:rPr>
          <w:noProof/>
        </w:rPr>
        <w:instrText xml:space="preserve"> STYLEREF "Heading 6" \l \n </w:instrText>
      </w:r>
      <w:r w:rsidRPr="002360AA">
        <w:rPr>
          <w:noProof/>
        </w:rPr>
        <w:fldChar w:fldCharType="separate"/>
      </w:r>
      <w:r w:rsidR="00B833F1">
        <w:rPr>
          <w:noProof/>
        </w:rPr>
        <w:instrText>H</w:instrText>
      </w:r>
      <w:r w:rsidRPr="002360AA">
        <w:rPr>
          <w:noProof/>
        </w:rPr>
        <w:fldChar w:fldCharType="end"/>
      </w:r>
      <w:r w:rsidRPr="002360AA">
        <w:instrText xml:space="preserve"> = 0 "</w:instrText>
      </w:r>
      <w:r w:rsidRPr="002360AA">
        <w:fldChar w:fldCharType="begin"/>
      </w:r>
      <w:r w:rsidRPr="002360AA">
        <w:instrText xml:space="preserve"> IF </w:instrText>
      </w:r>
      <w:r w:rsidRPr="002360AA">
        <w:rPr>
          <w:noProof/>
        </w:rPr>
        <w:fldChar w:fldCharType="begin"/>
      </w:r>
      <w:r w:rsidRPr="002360AA">
        <w:rPr>
          <w:noProof/>
        </w:rPr>
        <w:instrText xml:space="preserve"> STYLEREF "Heading 1" \l \n </w:instrText>
      </w:r>
      <w:r w:rsidRPr="002360AA">
        <w:rPr>
          <w:noProof/>
        </w:rPr>
        <w:fldChar w:fldCharType="separate"/>
      </w:r>
      <w:r w:rsidRPr="002360AA">
        <w:rPr>
          <w:noProof/>
        </w:rPr>
        <w:instrText>0</w:instrText>
      </w:r>
      <w:r w:rsidRPr="002360AA">
        <w:rPr>
          <w:noProof/>
        </w:rPr>
        <w:fldChar w:fldCharType="end"/>
      </w:r>
      <w:r w:rsidRPr="002360AA">
        <w:instrText xml:space="preserve"> = 0 "" "</w:instrText>
      </w:r>
      <w:r w:rsidRPr="002360AA">
        <w:rPr>
          <w:noProof/>
        </w:rPr>
        <w:fldChar w:fldCharType="begin"/>
      </w:r>
      <w:r w:rsidRPr="002360AA">
        <w:rPr>
          <w:noProof/>
        </w:rPr>
        <w:instrText xml:space="preserve"> STYLEREF "Heading 1" \l \n </w:instrText>
      </w:r>
      <w:r w:rsidRPr="002360AA">
        <w:rPr>
          <w:noProof/>
        </w:rPr>
        <w:fldChar w:fldCharType="separate"/>
      </w:r>
      <w:r w:rsidRPr="002360AA">
        <w:rPr>
          <w:noProof/>
        </w:rPr>
        <w:instrText>2</w:instrText>
      </w:r>
      <w:r w:rsidRPr="002360AA">
        <w:rPr>
          <w:noProof/>
        </w:rPr>
        <w:fldChar w:fldCharType="end"/>
      </w:r>
      <w:r w:rsidRPr="002360AA">
        <w:instrText xml:space="preserve">." </w:instrText>
      </w:r>
      <w:r w:rsidRPr="002360AA">
        <w:fldChar w:fldCharType="end"/>
      </w:r>
      <w:r w:rsidRPr="002360AA">
        <w:instrText>" "</w:instrText>
      </w:r>
      <w:r w:rsidR="00BB30D0">
        <w:rPr>
          <w:noProof/>
        </w:rPr>
        <w:fldChar w:fldCharType="begin"/>
      </w:r>
      <w:r w:rsidR="00BB30D0">
        <w:rPr>
          <w:noProof/>
        </w:rPr>
        <w:instrText xml:space="preserve"> STYLEREF "Heading 6" \l \n </w:instrText>
      </w:r>
      <w:r w:rsidR="00BB30D0">
        <w:rPr>
          <w:noProof/>
        </w:rPr>
        <w:fldChar w:fldCharType="separate"/>
      </w:r>
      <w:r w:rsidR="00B833F1">
        <w:rPr>
          <w:noProof/>
        </w:rPr>
        <w:instrText>H</w:instrText>
      </w:r>
      <w:r w:rsidR="00BB30D0">
        <w:rPr>
          <w:noProof/>
        </w:rPr>
        <w:fldChar w:fldCharType="end"/>
      </w:r>
      <w:r w:rsidRPr="002360AA">
        <w:instrText xml:space="preserve">." </w:instrText>
      </w:r>
      <w:r w:rsidRPr="002360AA">
        <w:fldChar w:fldCharType="separate"/>
      </w:r>
      <w:r w:rsidR="00B833F1">
        <w:rPr>
          <w:noProof/>
        </w:rPr>
        <w:instrText>H</w:instrText>
      </w:r>
      <w:r w:rsidR="00B833F1" w:rsidRPr="002360AA">
        <w:rPr>
          <w:noProof/>
        </w:rPr>
        <w:instrText>.</w:instrText>
      </w:r>
      <w:r w:rsidRPr="002360AA">
        <w:fldChar w:fldCharType="end"/>
      </w:r>
      <w:r w:rsidRPr="002360AA">
        <w:fldChar w:fldCharType="begin"/>
      </w:r>
      <w:r w:rsidRPr="002360AA">
        <w:instrText xml:space="preserve"> SEQ Item \* ARABIC \s </w:instrText>
      </w:r>
      <w:r w:rsidRPr="002360AA">
        <w:fldChar w:fldCharType="begin"/>
      </w:r>
      <w:r w:rsidRPr="002360AA">
        <w:instrText xml:space="preserve"> IF </w:instrText>
      </w:r>
      <w:r w:rsidRPr="002360AA">
        <w:rPr>
          <w:noProof/>
        </w:rPr>
        <w:fldChar w:fldCharType="begin"/>
      </w:r>
      <w:r w:rsidRPr="002360AA">
        <w:rPr>
          <w:noProof/>
        </w:rPr>
        <w:instrText xml:space="preserve"> STYLEREF "Heading 6" \l \n </w:instrText>
      </w:r>
      <w:r w:rsidRPr="002360AA">
        <w:rPr>
          <w:noProof/>
        </w:rPr>
        <w:fldChar w:fldCharType="separate"/>
      </w:r>
      <w:r w:rsidR="00B833F1">
        <w:rPr>
          <w:noProof/>
        </w:rPr>
        <w:instrText>H</w:instrText>
      </w:r>
      <w:r w:rsidRPr="002360AA">
        <w:rPr>
          <w:noProof/>
        </w:rPr>
        <w:fldChar w:fldCharType="end"/>
      </w:r>
      <w:r w:rsidRPr="002360AA">
        <w:instrText xml:space="preserve"> = 0 "</w:instrText>
      </w:r>
      <w:r w:rsidRPr="002360AA">
        <w:fldChar w:fldCharType="begin"/>
      </w:r>
      <w:r w:rsidRPr="002360AA">
        <w:instrText xml:space="preserve"> IF </w:instrText>
      </w:r>
      <w:r w:rsidRPr="002360AA">
        <w:rPr>
          <w:noProof/>
        </w:rPr>
        <w:fldChar w:fldCharType="begin"/>
      </w:r>
      <w:r w:rsidRPr="002360AA">
        <w:rPr>
          <w:noProof/>
        </w:rPr>
        <w:instrText xml:space="preserve"> STYLEREF "Heading 1" \l \n </w:instrText>
      </w:r>
      <w:r w:rsidRPr="002360AA">
        <w:rPr>
          <w:noProof/>
        </w:rPr>
        <w:fldChar w:fldCharType="separate"/>
      </w:r>
      <w:r w:rsidRPr="002360AA">
        <w:rPr>
          <w:noProof/>
        </w:rPr>
        <w:instrText>0</w:instrText>
      </w:r>
      <w:r w:rsidRPr="002360AA">
        <w:rPr>
          <w:noProof/>
        </w:rPr>
        <w:fldChar w:fldCharType="end"/>
      </w:r>
      <w:r w:rsidRPr="002360AA">
        <w:instrText xml:space="preserve"> = 0 "" "1" </w:instrText>
      </w:r>
      <w:r w:rsidRPr="002360AA">
        <w:fldChar w:fldCharType="end"/>
      </w:r>
      <w:r w:rsidRPr="002360AA">
        <w:instrText xml:space="preserve">" "6" </w:instrText>
      </w:r>
      <w:r w:rsidRPr="002360AA">
        <w:fldChar w:fldCharType="separate"/>
      </w:r>
      <w:r w:rsidR="00B833F1" w:rsidRPr="002360AA">
        <w:rPr>
          <w:noProof/>
        </w:rPr>
        <w:instrText>6</w:instrText>
      </w:r>
      <w:r w:rsidRPr="002360AA">
        <w:fldChar w:fldCharType="end"/>
      </w:r>
      <w:r w:rsidRPr="002360AA">
        <w:instrText xml:space="preserve"> </w:instrText>
      </w:r>
      <w:r w:rsidRPr="002360AA">
        <w:fldChar w:fldCharType="separate"/>
      </w:r>
      <w:r w:rsidR="00B833F1">
        <w:rPr>
          <w:noProof/>
        </w:rPr>
        <w:instrText>3</w:instrText>
      </w:r>
      <w:r w:rsidRPr="002360AA">
        <w:fldChar w:fldCharType="end"/>
      </w:r>
      <w:r w:rsidRPr="002360AA">
        <w:instrText xml:space="preserve">" "" </w:instrText>
      </w:r>
      <w:r w:rsidRPr="002360AA">
        <w:fldChar w:fldCharType="separate"/>
      </w:r>
      <w:bookmarkStart w:id="8856" w:name="_Caption0850"/>
      <w:bookmarkStart w:id="8857" w:name="_Caption7352"/>
      <w:bookmarkStart w:id="8858" w:name="_Caption7196"/>
      <w:bookmarkStart w:id="8859" w:name="_Caption1508"/>
      <w:bookmarkStart w:id="8860" w:name="_Caption5904"/>
      <w:bookmarkStart w:id="8861" w:name="_Caption7017"/>
      <w:bookmarkStart w:id="8862" w:name="_Caption5951"/>
      <w:bookmarkStart w:id="8863" w:name="_Caption1251"/>
      <w:bookmarkStart w:id="8864" w:name="_Caption2619"/>
      <w:bookmarkStart w:id="8865" w:name="_Caption0750"/>
      <w:bookmarkStart w:id="8866" w:name="_Caption3697"/>
      <w:bookmarkStart w:id="8867" w:name="_Caption7222"/>
      <w:bookmarkStart w:id="8868" w:name="_Caption3123"/>
      <w:bookmarkStart w:id="8869" w:name="_Caption5968"/>
      <w:bookmarkStart w:id="8870" w:name="_Caption5971"/>
      <w:bookmarkStart w:id="8871" w:name="_Caption2533"/>
      <w:bookmarkStart w:id="8872" w:name="_Caption8545"/>
      <w:bookmarkStart w:id="8873" w:name="_Caption3030"/>
      <w:bookmarkStart w:id="8874" w:name="_Caption0622"/>
      <w:bookmarkStart w:id="8875" w:name="_Caption2114"/>
      <w:bookmarkStart w:id="8876" w:name="_Caption5216"/>
      <w:bookmarkStart w:id="8877" w:name="_Toc529870013"/>
      <w:bookmarkStart w:id="8878" w:name="_Toc530748509"/>
      <w:r w:rsidR="00EA42ED">
        <w:rPr>
          <w:noProof/>
        </w:rPr>
        <w:t>H</w:t>
      </w:r>
      <w:r w:rsidR="00EA42ED" w:rsidRPr="002360AA">
        <w:rPr>
          <w:noProof/>
        </w:rPr>
        <w:t>.</w:t>
      </w:r>
      <w:r w:rsidR="00EA42ED">
        <w:rPr>
          <w:noProof/>
        </w:rPr>
        <w:t>3</w:t>
      </w:r>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r w:rsidRPr="002360AA">
        <w:fldChar w:fldCharType="end"/>
      </w:r>
      <w:r w:rsidRPr="002360AA">
        <w:tab/>
        <w:t>Natural gas emissions factors</w:t>
      </w:r>
      <w:bookmarkEnd w:id="8877"/>
      <w:bookmarkEnd w:id="8878"/>
    </w:p>
    <w:tbl>
      <w:tblPr>
        <w:tblW w:w="7937" w:type="dxa"/>
        <w:tblLayout w:type="fixed"/>
        <w:tblLook w:val="0000" w:firstRow="0" w:lastRow="0" w:firstColumn="0" w:lastColumn="0" w:noHBand="0" w:noVBand="0"/>
        <w:tblCaption w:val="Table H.3: Natural gas emssions factors"/>
        <w:tblDescription w:val="This table shows the natural gas emission factors by jurisdiction. "/>
      </w:tblPr>
      <w:tblGrid>
        <w:gridCol w:w="1575"/>
        <w:gridCol w:w="795"/>
        <w:gridCol w:w="796"/>
        <w:gridCol w:w="795"/>
        <w:gridCol w:w="795"/>
        <w:gridCol w:w="795"/>
        <w:gridCol w:w="795"/>
        <w:gridCol w:w="796"/>
        <w:gridCol w:w="795"/>
      </w:tblGrid>
      <w:tr w:rsidR="00F96C42" w:rsidRPr="002360AA" w:rsidTr="00F96C42">
        <w:trPr>
          <w:trHeight w:val="461"/>
        </w:trPr>
        <w:tc>
          <w:tcPr>
            <w:tcW w:w="1575" w:type="dxa"/>
            <w:shd w:val="clear" w:color="auto" w:fill="6F6652"/>
            <w:tcMar>
              <w:left w:w="57" w:type="dxa"/>
              <w:right w:w="57" w:type="dxa"/>
            </w:tcMar>
          </w:tcPr>
          <w:p w:rsidR="00F96C42" w:rsidRPr="002360AA" w:rsidRDefault="00F96C42" w:rsidP="00F96C42">
            <w:pPr>
              <w:pStyle w:val="TableDataColumnHeading"/>
              <w:jc w:val="left"/>
              <w:rPr>
                <w:lang w:val="en-GB"/>
              </w:rPr>
            </w:pPr>
          </w:p>
        </w:tc>
        <w:tc>
          <w:tcPr>
            <w:tcW w:w="795" w:type="dxa"/>
            <w:shd w:val="clear" w:color="auto" w:fill="6F6652"/>
            <w:tcMar>
              <w:left w:w="57" w:type="dxa"/>
              <w:right w:w="57" w:type="dxa"/>
            </w:tcMar>
          </w:tcPr>
          <w:p w:rsidR="00F96C42" w:rsidRPr="002360AA" w:rsidRDefault="00F96C42" w:rsidP="00F96C42">
            <w:pPr>
              <w:pStyle w:val="TableDataColumnHeading"/>
              <w:rPr>
                <w:lang w:val="en-GB"/>
              </w:rPr>
            </w:pPr>
            <w:r w:rsidRPr="002360AA">
              <w:rPr>
                <w:lang w:val="en-GB"/>
              </w:rPr>
              <w:t>NSW</w:t>
            </w:r>
          </w:p>
        </w:tc>
        <w:tc>
          <w:tcPr>
            <w:tcW w:w="796" w:type="dxa"/>
            <w:shd w:val="clear" w:color="auto" w:fill="6F6652"/>
            <w:tcMar>
              <w:left w:w="57" w:type="dxa"/>
              <w:right w:w="57" w:type="dxa"/>
            </w:tcMar>
          </w:tcPr>
          <w:p w:rsidR="00F96C42" w:rsidRPr="002360AA" w:rsidRDefault="00F96C42" w:rsidP="00F96C42">
            <w:pPr>
              <w:pStyle w:val="TableDataColumnHeading"/>
              <w:rPr>
                <w:lang w:val="en-GB"/>
              </w:rPr>
            </w:pPr>
            <w:r w:rsidRPr="002360AA">
              <w:rPr>
                <w:lang w:val="en-GB"/>
              </w:rPr>
              <w:t>Vic</w:t>
            </w:r>
          </w:p>
        </w:tc>
        <w:tc>
          <w:tcPr>
            <w:tcW w:w="795" w:type="dxa"/>
            <w:shd w:val="clear" w:color="auto" w:fill="6F6652"/>
            <w:tcMar>
              <w:left w:w="57" w:type="dxa"/>
              <w:right w:w="57" w:type="dxa"/>
            </w:tcMar>
          </w:tcPr>
          <w:p w:rsidR="00F96C42" w:rsidRPr="002360AA" w:rsidRDefault="00F96C42" w:rsidP="00F96C42">
            <w:pPr>
              <w:pStyle w:val="TableDataColumnHeading"/>
              <w:rPr>
                <w:lang w:val="en-GB"/>
              </w:rPr>
            </w:pPr>
            <w:r w:rsidRPr="002360AA">
              <w:rPr>
                <w:lang w:val="en-GB"/>
              </w:rPr>
              <w:t>Qld</w:t>
            </w:r>
          </w:p>
        </w:tc>
        <w:tc>
          <w:tcPr>
            <w:tcW w:w="795" w:type="dxa"/>
            <w:shd w:val="clear" w:color="auto" w:fill="6F6652"/>
            <w:tcMar>
              <w:left w:w="57" w:type="dxa"/>
              <w:right w:w="57" w:type="dxa"/>
            </w:tcMar>
          </w:tcPr>
          <w:p w:rsidR="00F96C42" w:rsidRPr="002360AA" w:rsidRDefault="00F96C42" w:rsidP="00F96C42">
            <w:pPr>
              <w:pStyle w:val="TableDataColumnHeading"/>
              <w:rPr>
                <w:lang w:val="en-GB"/>
              </w:rPr>
            </w:pPr>
            <w:r w:rsidRPr="002360AA">
              <w:rPr>
                <w:lang w:val="en-GB"/>
              </w:rPr>
              <w:t>SA</w:t>
            </w:r>
          </w:p>
        </w:tc>
        <w:tc>
          <w:tcPr>
            <w:tcW w:w="795" w:type="dxa"/>
            <w:shd w:val="clear" w:color="auto" w:fill="6F6652"/>
            <w:tcMar>
              <w:left w:w="57" w:type="dxa"/>
              <w:right w:w="57" w:type="dxa"/>
            </w:tcMar>
          </w:tcPr>
          <w:p w:rsidR="00F96C42" w:rsidRPr="002360AA" w:rsidRDefault="00F96C42" w:rsidP="00F96C42">
            <w:pPr>
              <w:pStyle w:val="TableDataColumnHeading"/>
              <w:rPr>
                <w:lang w:val="en-GB"/>
              </w:rPr>
            </w:pPr>
            <w:r w:rsidRPr="002360AA">
              <w:rPr>
                <w:lang w:val="en-GB"/>
              </w:rPr>
              <w:t>WA</w:t>
            </w:r>
          </w:p>
        </w:tc>
        <w:tc>
          <w:tcPr>
            <w:tcW w:w="795" w:type="dxa"/>
            <w:shd w:val="clear" w:color="auto" w:fill="6F6652"/>
            <w:tcMar>
              <w:left w:w="57" w:type="dxa"/>
              <w:right w:w="57" w:type="dxa"/>
            </w:tcMar>
          </w:tcPr>
          <w:p w:rsidR="00F96C42" w:rsidRPr="002360AA" w:rsidRDefault="00F96C42" w:rsidP="00F96C42">
            <w:pPr>
              <w:pStyle w:val="TableDataColumnHeading"/>
              <w:rPr>
                <w:lang w:val="en-GB"/>
              </w:rPr>
            </w:pPr>
            <w:r w:rsidRPr="002360AA">
              <w:rPr>
                <w:lang w:val="en-GB"/>
              </w:rPr>
              <w:t>Tas</w:t>
            </w:r>
          </w:p>
        </w:tc>
        <w:tc>
          <w:tcPr>
            <w:tcW w:w="796" w:type="dxa"/>
            <w:shd w:val="clear" w:color="auto" w:fill="6F6652"/>
            <w:tcMar>
              <w:left w:w="57" w:type="dxa"/>
              <w:right w:w="57" w:type="dxa"/>
            </w:tcMar>
          </w:tcPr>
          <w:p w:rsidR="00F96C42" w:rsidRPr="002360AA" w:rsidRDefault="00F96C42" w:rsidP="00F96C42">
            <w:pPr>
              <w:pStyle w:val="TableDataColumnHeading"/>
              <w:rPr>
                <w:lang w:val="en-GB"/>
              </w:rPr>
            </w:pPr>
            <w:r w:rsidRPr="002360AA">
              <w:rPr>
                <w:lang w:val="en-GB"/>
              </w:rPr>
              <w:t>ACT</w:t>
            </w:r>
          </w:p>
        </w:tc>
        <w:tc>
          <w:tcPr>
            <w:tcW w:w="795" w:type="dxa"/>
            <w:shd w:val="clear" w:color="auto" w:fill="6F6652"/>
            <w:tcMar>
              <w:left w:w="57" w:type="dxa"/>
              <w:right w:w="57" w:type="dxa"/>
            </w:tcMar>
          </w:tcPr>
          <w:p w:rsidR="00F96C42" w:rsidRPr="002360AA" w:rsidRDefault="00F96C42" w:rsidP="00F96C42">
            <w:pPr>
              <w:pStyle w:val="TableDataColumnHeading"/>
              <w:rPr>
                <w:lang w:val="en-GB"/>
              </w:rPr>
            </w:pPr>
            <w:r w:rsidRPr="002360AA">
              <w:rPr>
                <w:lang w:val="en-GB"/>
              </w:rPr>
              <w:t>NT</w:t>
            </w:r>
          </w:p>
        </w:tc>
      </w:tr>
      <w:tr w:rsidR="00F96C42" w:rsidRPr="002360AA" w:rsidTr="00F96C42">
        <w:trPr>
          <w:trHeight w:val="230"/>
        </w:trPr>
        <w:tc>
          <w:tcPr>
            <w:tcW w:w="1575" w:type="dxa"/>
            <w:tcBorders>
              <w:bottom w:val="single" w:sz="8" w:space="0" w:color="FFFFFF" w:themeColor="background1"/>
            </w:tcBorders>
            <w:shd w:val="clear" w:color="auto" w:fill="auto"/>
            <w:tcMar>
              <w:left w:w="57" w:type="dxa"/>
              <w:right w:w="57" w:type="dxa"/>
            </w:tcMar>
          </w:tcPr>
          <w:p w:rsidR="00F96C42" w:rsidRPr="002360AA" w:rsidRDefault="00F96C42" w:rsidP="00F96C42">
            <w:pPr>
              <w:pStyle w:val="TableUnit"/>
              <w:jc w:val="left"/>
              <w:rPr>
                <w:lang w:val="en-GB"/>
              </w:rPr>
            </w:pPr>
          </w:p>
        </w:tc>
        <w:tc>
          <w:tcPr>
            <w:tcW w:w="795" w:type="dxa"/>
            <w:tcBorders>
              <w:bottom w:val="single" w:sz="8" w:space="0" w:color="FFFFFF" w:themeColor="background1"/>
            </w:tcBorders>
            <w:shd w:val="clear" w:color="auto" w:fill="auto"/>
            <w:tcMar>
              <w:left w:w="57" w:type="dxa"/>
              <w:right w:w="57" w:type="dxa"/>
            </w:tcMar>
          </w:tcPr>
          <w:p w:rsidR="00F96C42" w:rsidRPr="002360AA" w:rsidRDefault="00F96C42" w:rsidP="00F96C42">
            <w:pPr>
              <w:pStyle w:val="TableUnit"/>
              <w:rPr>
                <w:lang w:val="en-GB"/>
              </w:rPr>
            </w:pPr>
            <w:r w:rsidRPr="002360AA">
              <w:rPr>
                <w:lang w:val="en-GB"/>
              </w:rPr>
              <w:t>Kg CO</w:t>
            </w:r>
            <w:r w:rsidRPr="002360AA">
              <w:rPr>
                <w:vertAlign w:val="subscript"/>
                <w:lang w:val="en-GB"/>
              </w:rPr>
              <w:t>2-e</w:t>
            </w:r>
            <w:r w:rsidR="00853AF0" w:rsidRPr="002360AA">
              <w:rPr>
                <w:lang w:val="en-GB"/>
              </w:rPr>
              <w:t xml:space="preserve"> per </w:t>
            </w:r>
            <w:r w:rsidRPr="002360AA">
              <w:rPr>
                <w:lang w:val="en-GB"/>
              </w:rPr>
              <w:t>GJ</w:t>
            </w:r>
          </w:p>
        </w:tc>
        <w:tc>
          <w:tcPr>
            <w:tcW w:w="796" w:type="dxa"/>
            <w:tcBorders>
              <w:bottom w:val="single" w:sz="8" w:space="0" w:color="FFFFFF" w:themeColor="background1"/>
            </w:tcBorders>
            <w:shd w:val="clear" w:color="auto" w:fill="auto"/>
            <w:tcMar>
              <w:left w:w="57" w:type="dxa"/>
              <w:right w:w="57" w:type="dxa"/>
            </w:tcMar>
          </w:tcPr>
          <w:p w:rsidR="00F96C42" w:rsidRPr="002360AA" w:rsidRDefault="00F96C42" w:rsidP="00F96C42">
            <w:pPr>
              <w:pStyle w:val="TableUnit"/>
              <w:rPr>
                <w:lang w:val="en-GB"/>
              </w:rPr>
            </w:pPr>
            <w:r w:rsidRPr="002360AA">
              <w:rPr>
                <w:lang w:val="en-GB"/>
              </w:rPr>
              <w:t>Kg CO</w:t>
            </w:r>
            <w:r w:rsidRPr="002360AA">
              <w:rPr>
                <w:vertAlign w:val="subscript"/>
                <w:lang w:val="en-GB"/>
              </w:rPr>
              <w:t>2-e</w:t>
            </w:r>
            <w:r w:rsidR="00853AF0" w:rsidRPr="002360AA">
              <w:rPr>
                <w:lang w:val="en-GB"/>
              </w:rPr>
              <w:t xml:space="preserve"> per </w:t>
            </w:r>
            <w:r w:rsidRPr="002360AA">
              <w:rPr>
                <w:lang w:val="en-GB"/>
              </w:rPr>
              <w:t>GJ</w:t>
            </w:r>
          </w:p>
        </w:tc>
        <w:tc>
          <w:tcPr>
            <w:tcW w:w="795" w:type="dxa"/>
            <w:tcBorders>
              <w:bottom w:val="single" w:sz="8" w:space="0" w:color="FFFFFF" w:themeColor="background1"/>
            </w:tcBorders>
            <w:shd w:val="clear" w:color="auto" w:fill="auto"/>
            <w:tcMar>
              <w:left w:w="57" w:type="dxa"/>
              <w:right w:w="57" w:type="dxa"/>
            </w:tcMar>
          </w:tcPr>
          <w:p w:rsidR="00F96C42" w:rsidRPr="002360AA" w:rsidRDefault="00F96C42" w:rsidP="00F96C42">
            <w:pPr>
              <w:pStyle w:val="TableUnit"/>
              <w:rPr>
                <w:lang w:val="en-GB"/>
              </w:rPr>
            </w:pPr>
            <w:r w:rsidRPr="002360AA">
              <w:rPr>
                <w:lang w:val="en-GB"/>
              </w:rPr>
              <w:t>Kg CO</w:t>
            </w:r>
            <w:r w:rsidRPr="002360AA">
              <w:rPr>
                <w:vertAlign w:val="subscript"/>
                <w:lang w:val="en-GB"/>
              </w:rPr>
              <w:t>2-e</w:t>
            </w:r>
            <w:r w:rsidR="00853AF0" w:rsidRPr="002360AA">
              <w:rPr>
                <w:lang w:val="en-GB"/>
              </w:rPr>
              <w:t xml:space="preserve"> per </w:t>
            </w:r>
            <w:r w:rsidRPr="002360AA">
              <w:rPr>
                <w:lang w:val="en-GB"/>
              </w:rPr>
              <w:t>GJ</w:t>
            </w:r>
          </w:p>
        </w:tc>
        <w:tc>
          <w:tcPr>
            <w:tcW w:w="795" w:type="dxa"/>
            <w:tcBorders>
              <w:bottom w:val="single" w:sz="8" w:space="0" w:color="FFFFFF" w:themeColor="background1"/>
            </w:tcBorders>
            <w:shd w:val="clear" w:color="auto" w:fill="auto"/>
            <w:tcMar>
              <w:left w:w="57" w:type="dxa"/>
              <w:right w:w="57" w:type="dxa"/>
            </w:tcMar>
          </w:tcPr>
          <w:p w:rsidR="00F96C42" w:rsidRPr="002360AA" w:rsidRDefault="00F96C42" w:rsidP="00F96C42">
            <w:pPr>
              <w:pStyle w:val="TableUnit"/>
              <w:rPr>
                <w:lang w:val="en-GB"/>
              </w:rPr>
            </w:pPr>
            <w:r w:rsidRPr="002360AA">
              <w:rPr>
                <w:lang w:val="en-GB"/>
              </w:rPr>
              <w:t>Kg CO</w:t>
            </w:r>
            <w:r w:rsidRPr="002360AA">
              <w:rPr>
                <w:vertAlign w:val="subscript"/>
                <w:lang w:val="en-GB"/>
              </w:rPr>
              <w:t>2-e</w:t>
            </w:r>
            <w:r w:rsidR="00853AF0" w:rsidRPr="002360AA">
              <w:rPr>
                <w:lang w:val="en-GB"/>
              </w:rPr>
              <w:t xml:space="preserve"> per </w:t>
            </w:r>
            <w:r w:rsidRPr="002360AA">
              <w:rPr>
                <w:lang w:val="en-GB"/>
              </w:rPr>
              <w:t>GJ</w:t>
            </w:r>
          </w:p>
        </w:tc>
        <w:tc>
          <w:tcPr>
            <w:tcW w:w="795" w:type="dxa"/>
            <w:tcBorders>
              <w:bottom w:val="single" w:sz="8" w:space="0" w:color="FFFFFF" w:themeColor="background1"/>
            </w:tcBorders>
            <w:shd w:val="clear" w:color="auto" w:fill="auto"/>
            <w:tcMar>
              <w:left w:w="57" w:type="dxa"/>
              <w:right w:w="57" w:type="dxa"/>
            </w:tcMar>
          </w:tcPr>
          <w:p w:rsidR="00F96C42" w:rsidRPr="002360AA" w:rsidRDefault="00F96C42" w:rsidP="00F96C42">
            <w:pPr>
              <w:pStyle w:val="TableUnit"/>
              <w:rPr>
                <w:lang w:val="en-GB"/>
              </w:rPr>
            </w:pPr>
            <w:r w:rsidRPr="002360AA">
              <w:rPr>
                <w:lang w:val="en-GB"/>
              </w:rPr>
              <w:t>Kg CO</w:t>
            </w:r>
            <w:r w:rsidRPr="002360AA">
              <w:rPr>
                <w:vertAlign w:val="subscript"/>
                <w:lang w:val="en-GB"/>
              </w:rPr>
              <w:t>2-e</w:t>
            </w:r>
            <w:r w:rsidR="00853AF0" w:rsidRPr="002360AA">
              <w:rPr>
                <w:lang w:val="en-GB"/>
              </w:rPr>
              <w:t xml:space="preserve"> per </w:t>
            </w:r>
            <w:r w:rsidRPr="002360AA">
              <w:rPr>
                <w:lang w:val="en-GB"/>
              </w:rPr>
              <w:t>GJ</w:t>
            </w:r>
          </w:p>
        </w:tc>
        <w:tc>
          <w:tcPr>
            <w:tcW w:w="795" w:type="dxa"/>
            <w:tcBorders>
              <w:bottom w:val="single" w:sz="8" w:space="0" w:color="FFFFFF" w:themeColor="background1"/>
            </w:tcBorders>
            <w:shd w:val="clear" w:color="auto" w:fill="auto"/>
            <w:tcMar>
              <w:left w:w="57" w:type="dxa"/>
              <w:right w:w="57" w:type="dxa"/>
            </w:tcMar>
          </w:tcPr>
          <w:p w:rsidR="00F96C42" w:rsidRPr="002360AA" w:rsidRDefault="00F96C42" w:rsidP="00F96C42">
            <w:pPr>
              <w:pStyle w:val="TableUnit"/>
              <w:rPr>
                <w:lang w:val="en-GB"/>
              </w:rPr>
            </w:pPr>
            <w:r w:rsidRPr="002360AA">
              <w:rPr>
                <w:lang w:val="en-GB"/>
              </w:rPr>
              <w:t>Kg CO</w:t>
            </w:r>
            <w:r w:rsidRPr="002360AA">
              <w:rPr>
                <w:vertAlign w:val="subscript"/>
                <w:lang w:val="en-GB"/>
              </w:rPr>
              <w:t>2-e</w:t>
            </w:r>
            <w:r w:rsidR="00853AF0" w:rsidRPr="002360AA">
              <w:rPr>
                <w:lang w:val="en-GB"/>
              </w:rPr>
              <w:t xml:space="preserve"> per </w:t>
            </w:r>
            <w:r w:rsidRPr="002360AA">
              <w:rPr>
                <w:lang w:val="en-GB"/>
              </w:rPr>
              <w:t>GJ</w:t>
            </w:r>
          </w:p>
        </w:tc>
        <w:tc>
          <w:tcPr>
            <w:tcW w:w="796" w:type="dxa"/>
            <w:tcBorders>
              <w:bottom w:val="single" w:sz="8" w:space="0" w:color="FFFFFF" w:themeColor="background1"/>
            </w:tcBorders>
            <w:shd w:val="clear" w:color="auto" w:fill="auto"/>
            <w:tcMar>
              <w:left w:w="57" w:type="dxa"/>
              <w:right w:w="57" w:type="dxa"/>
            </w:tcMar>
          </w:tcPr>
          <w:p w:rsidR="00F96C42" w:rsidRPr="002360AA" w:rsidRDefault="00F96C42" w:rsidP="00F96C42">
            <w:pPr>
              <w:pStyle w:val="TableUnit"/>
              <w:rPr>
                <w:lang w:val="en-GB"/>
              </w:rPr>
            </w:pPr>
            <w:r w:rsidRPr="002360AA">
              <w:rPr>
                <w:lang w:val="en-GB"/>
              </w:rPr>
              <w:t>Kg CO</w:t>
            </w:r>
            <w:r w:rsidRPr="002360AA">
              <w:rPr>
                <w:vertAlign w:val="subscript"/>
                <w:lang w:val="en-GB"/>
              </w:rPr>
              <w:t>2-e</w:t>
            </w:r>
            <w:r w:rsidR="00853AF0" w:rsidRPr="002360AA">
              <w:rPr>
                <w:lang w:val="en-GB"/>
              </w:rPr>
              <w:t xml:space="preserve"> per </w:t>
            </w:r>
            <w:r w:rsidRPr="002360AA">
              <w:rPr>
                <w:lang w:val="en-GB"/>
              </w:rPr>
              <w:t>GJ</w:t>
            </w:r>
          </w:p>
        </w:tc>
        <w:tc>
          <w:tcPr>
            <w:tcW w:w="795" w:type="dxa"/>
            <w:tcBorders>
              <w:bottom w:val="single" w:sz="8" w:space="0" w:color="FFFFFF" w:themeColor="background1"/>
            </w:tcBorders>
            <w:shd w:val="clear" w:color="auto" w:fill="auto"/>
            <w:tcMar>
              <w:left w:w="57" w:type="dxa"/>
              <w:right w:w="57" w:type="dxa"/>
            </w:tcMar>
          </w:tcPr>
          <w:p w:rsidR="00F96C42" w:rsidRPr="002360AA" w:rsidRDefault="00F96C42" w:rsidP="00F96C42">
            <w:pPr>
              <w:pStyle w:val="TableUnit"/>
              <w:rPr>
                <w:lang w:val="en-GB"/>
              </w:rPr>
            </w:pPr>
            <w:r w:rsidRPr="002360AA">
              <w:rPr>
                <w:lang w:val="en-GB"/>
              </w:rPr>
              <w:t>Kg CO</w:t>
            </w:r>
            <w:r w:rsidRPr="002360AA">
              <w:rPr>
                <w:vertAlign w:val="subscript"/>
                <w:lang w:val="en-GB"/>
              </w:rPr>
              <w:t>2-e</w:t>
            </w:r>
            <w:r w:rsidR="00853AF0" w:rsidRPr="002360AA">
              <w:rPr>
                <w:lang w:val="en-GB"/>
              </w:rPr>
              <w:t xml:space="preserve"> per </w:t>
            </w:r>
            <w:r w:rsidRPr="002360AA">
              <w:rPr>
                <w:lang w:val="en-GB"/>
              </w:rPr>
              <w:t>GJ</w:t>
            </w:r>
          </w:p>
        </w:tc>
      </w:tr>
      <w:tr w:rsidR="00F96C42" w:rsidRPr="002360AA" w:rsidTr="00F96C42">
        <w:trPr>
          <w:trHeight w:val="230"/>
        </w:trPr>
        <w:tc>
          <w:tcPr>
            <w:tcW w:w="157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F96C42" w:rsidRPr="002360AA" w:rsidRDefault="00F96C42" w:rsidP="00F96C42">
            <w:pPr>
              <w:pStyle w:val="TableDataEntries"/>
              <w:jc w:val="left"/>
              <w:rPr>
                <w:lang w:val="en-GB"/>
              </w:rPr>
            </w:pPr>
            <w:r w:rsidRPr="002360AA">
              <w:rPr>
                <w:lang w:val="en-GB"/>
              </w:rPr>
              <w:t>Scope 1 emissions</w:t>
            </w:r>
          </w:p>
        </w:tc>
        <w:tc>
          <w:tcPr>
            <w:tcW w:w="79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F96C42" w:rsidRPr="002360AA" w:rsidRDefault="00F96C42" w:rsidP="00F96C42">
            <w:pPr>
              <w:pStyle w:val="TableDataEntries"/>
              <w:rPr>
                <w:lang w:val="en-GB"/>
              </w:rPr>
            </w:pPr>
            <w:r w:rsidRPr="002360AA">
              <w:rPr>
                <w:lang w:val="en-GB"/>
              </w:rPr>
              <w:t>51.4</w:t>
            </w:r>
          </w:p>
        </w:tc>
        <w:tc>
          <w:tcPr>
            <w:tcW w:w="79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F96C42" w:rsidRPr="002360AA" w:rsidRDefault="00F96C42" w:rsidP="00F96C42">
            <w:pPr>
              <w:pStyle w:val="TableDataEntries"/>
              <w:rPr>
                <w:lang w:val="en-GB"/>
              </w:rPr>
            </w:pPr>
            <w:r w:rsidRPr="002360AA">
              <w:rPr>
                <w:lang w:val="en-GB"/>
              </w:rPr>
              <w:t>51.4</w:t>
            </w:r>
          </w:p>
        </w:tc>
        <w:tc>
          <w:tcPr>
            <w:tcW w:w="79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F96C42" w:rsidRPr="002360AA" w:rsidRDefault="00F96C42" w:rsidP="00F96C42">
            <w:pPr>
              <w:pStyle w:val="TableDataEntries"/>
              <w:rPr>
                <w:lang w:val="en-GB"/>
              </w:rPr>
            </w:pPr>
            <w:r w:rsidRPr="002360AA">
              <w:rPr>
                <w:lang w:val="en-GB"/>
              </w:rPr>
              <w:t>51.4</w:t>
            </w:r>
          </w:p>
        </w:tc>
        <w:tc>
          <w:tcPr>
            <w:tcW w:w="79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F96C42" w:rsidRPr="002360AA" w:rsidRDefault="00F96C42" w:rsidP="00F96C42">
            <w:pPr>
              <w:pStyle w:val="TableDataEntries"/>
              <w:rPr>
                <w:lang w:val="en-GB"/>
              </w:rPr>
            </w:pPr>
            <w:r w:rsidRPr="002360AA">
              <w:rPr>
                <w:lang w:val="en-GB"/>
              </w:rPr>
              <w:t>51.4</w:t>
            </w:r>
          </w:p>
        </w:tc>
        <w:tc>
          <w:tcPr>
            <w:tcW w:w="79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F96C42" w:rsidRPr="002360AA" w:rsidRDefault="00F96C42" w:rsidP="00F96C42">
            <w:pPr>
              <w:pStyle w:val="TableDataEntries"/>
              <w:rPr>
                <w:lang w:val="en-GB"/>
              </w:rPr>
            </w:pPr>
            <w:r w:rsidRPr="002360AA">
              <w:rPr>
                <w:lang w:val="en-GB"/>
              </w:rPr>
              <w:t>51.4</w:t>
            </w:r>
          </w:p>
        </w:tc>
        <w:tc>
          <w:tcPr>
            <w:tcW w:w="79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F96C42" w:rsidRPr="002360AA" w:rsidRDefault="00F96C42" w:rsidP="00F96C42">
            <w:pPr>
              <w:pStyle w:val="TableDataEntries"/>
              <w:rPr>
                <w:lang w:val="en-GB"/>
              </w:rPr>
            </w:pPr>
            <w:r w:rsidRPr="002360AA">
              <w:rPr>
                <w:lang w:val="en-GB"/>
              </w:rPr>
              <w:t>51.4</w:t>
            </w:r>
          </w:p>
        </w:tc>
        <w:tc>
          <w:tcPr>
            <w:tcW w:w="79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F96C42" w:rsidRPr="002360AA" w:rsidRDefault="00F96C42" w:rsidP="00F96C42">
            <w:pPr>
              <w:pStyle w:val="TableDataEntries"/>
              <w:rPr>
                <w:lang w:val="en-GB"/>
              </w:rPr>
            </w:pPr>
            <w:r w:rsidRPr="002360AA">
              <w:rPr>
                <w:lang w:val="en-GB"/>
              </w:rPr>
              <w:t>51.4</w:t>
            </w:r>
          </w:p>
        </w:tc>
        <w:tc>
          <w:tcPr>
            <w:tcW w:w="79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F96C42" w:rsidRPr="002360AA" w:rsidRDefault="00F96C42" w:rsidP="00F96C42">
            <w:pPr>
              <w:pStyle w:val="TableDataEntries"/>
              <w:rPr>
                <w:lang w:val="en-GB"/>
              </w:rPr>
            </w:pPr>
            <w:r w:rsidRPr="002360AA">
              <w:rPr>
                <w:lang w:val="en-GB"/>
              </w:rPr>
              <w:t>51.4</w:t>
            </w:r>
          </w:p>
        </w:tc>
      </w:tr>
      <w:tr w:rsidR="00F96C42" w:rsidRPr="002360AA" w:rsidTr="00F96C42">
        <w:trPr>
          <w:trHeight w:val="230"/>
        </w:trPr>
        <w:tc>
          <w:tcPr>
            <w:tcW w:w="157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F96C42" w:rsidRPr="002360AA" w:rsidRDefault="00F96C42" w:rsidP="00F96C42">
            <w:pPr>
              <w:pStyle w:val="TableDataEntries"/>
              <w:jc w:val="left"/>
              <w:rPr>
                <w:lang w:val="en-GB"/>
              </w:rPr>
            </w:pPr>
            <w:r w:rsidRPr="002360AA">
              <w:rPr>
                <w:lang w:val="en-GB"/>
              </w:rPr>
              <w:t>Scope 3 emissions</w:t>
            </w:r>
            <w:r w:rsidRPr="002360AA">
              <w:rPr>
                <w:rStyle w:val="NoteLabel"/>
              </w:rPr>
              <w:t>a</w:t>
            </w:r>
          </w:p>
        </w:tc>
        <w:tc>
          <w:tcPr>
            <w:tcW w:w="79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F96C42" w:rsidRPr="002360AA" w:rsidRDefault="00F96C42" w:rsidP="00F96C42">
            <w:pPr>
              <w:pStyle w:val="TableDataEntries"/>
              <w:rPr>
                <w:lang w:val="en-GB"/>
              </w:rPr>
            </w:pPr>
            <w:r w:rsidRPr="002360AA">
              <w:rPr>
                <w:lang w:val="en-GB"/>
              </w:rPr>
              <w:t>12.8</w:t>
            </w:r>
          </w:p>
        </w:tc>
        <w:tc>
          <w:tcPr>
            <w:tcW w:w="79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F96C42" w:rsidRPr="002360AA" w:rsidRDefault="00F96C42" w:rsidP="00F96C42">
            <w:pPr>
              <w:pStyle w:val="TableDataEntries"/>
              <w:rPr>
                <w:lang w:val="en-GB"/>
              </w:rPr>
            </w:pPr>
            <w:r w:rsidRPr="002360AA">
              <w:rPr>
                <w:lang w:val="en-GB"/>
              </w:rPr>
              <w:t>3.9</w:t>
            </w:r>
          </w:p>
        </w:tc>
        <w:tc>
          <w:tcPr>
            <w:tcW w:w="79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F96C42" w:rsidRPr="002360AA" w:rsidRDefault="00F96C42" w:rsidP="00F96C42">
            <w:pPr>
              <w:pStyle w:val="TableDataEntries"/>
              <w:rPr>
                <w:lang w:val="en-GB"/>
              </w:rPr>
            </w:pPr>
            <w:r w:rsidRPr="002360AA">
              <w:rPr>
                <w:lang w:val="en-GB"/>
              </w:rPr>
              <w:t>8.7</w:t>
            </w:r>
          </w:p>
        </w:tc>
        <w:tc>
          <w:tcPr>
            <w:tcW w:w="79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F96C42" w:rsidRPr="002360AA" w:rsidRDefault="00F96C42" w:rsidP="00F96C42">
            <w:pPr>
              <w:pStyle w:val="TableDataEntries"/>
              <w:rPr>
                <w:lang w:val="en-GB"/>
              </w:rPr>
            </w:pPr>
            <w:r w:rsidRPr="002360AA">
              <w:rPr>
                <w:lang w:val="en-GB"/>
              </w:rPr>
              <w:t>10.4</w:t>
            </w:r>
          </w:p>
        </w:tc>
        <w:tc>
          <w:tcPr>
            <w:tcW w:w="79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F96C42" w:rsidRPr="002360AA" w:rsidRDefault="00F96C42" w:rsidP="00F96C42">
            <w:pPr>
              <w:pStyle w:val="TableDataEntries"/>
              <w:rPr>
                <w:lang w:val="en-GB"/>
              </w:rPr>
            </w:pPr>
            <w:r w:rsidRPr="002360AA">
              <w:rPr>
                <w:lang w:val="en-GB"/>
              </w:rPr>
              <w:t>4.0</w:t>
            </w:r>
          </w:p>
        </w:tc>
        <w:tc>
          <w:tcPr>
            <w:tcW w:w="79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F96C42" w:rsidRPr="002360AA" w:rsidRDefault="00F96C42" w:rsidP="00F96C42">
            <w:pPr>
              <w:pStyle w:val="TableDataEntries"/>
              <w:rPr>
                <w:lang w:val="en-GB"/>
              </w:rPr>
            </w:pPr>
            <w:r w:rsidRPr="002360AA">
              <w:rPr>
                <w:lang w:val="en-GB"/>
              </w:rPr>
              <w:t>3.9</w:t>
            </w:r>
            <w:r w:rsidRPr="002360AA">
              <w:rPr>
                <w:rStyle w:val="NoteLabel"/>
              </w:rPr>
              <w:t>b</w:t>
            </w:r>
          </w:p>
        </w:tc>
        <w:tc>
          <w:tcPr>
            <w:tcW w:w="79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F96C42" w:rsidRPr="002360AA" w:rsidRDefault="00F96C42" w:rsidP="00F96C42">
            <w:pPr>
              <w:pStyle w:val="TableDataEntries"/>
              <w:rPr>
                <w:lang w:val="en-GB"/>
              </w:rPr>
            </w:pPr>
            <w:r w:rsidRPr="002360AA">
              <w:rPr>
                <w:lang w:val="en-GB"/>
              </w:rPr>
              <w:t>12.8</w:t>
            </w:r>
          </w:p>
        </w:tc>
        <w:tc>
          <w:tcPr>
            <w:tcW w:w="79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F96C42" w:rsidRPr="002360AA" w:rsidRDefault="00F96C42" w:rsidP="00F96C42">
            <w:pPr>
              <w:pStyle w:val="TableDataEntries"/>
              <w:rPr>
                <w:lang w:val="en-GB"/>
              </w:rPr>
            </w:pPr>
            <w:r w:rsidRPr="002360AA">
              <w:rPr>
                <w:lang w:val="en-GB"/>
              </w:rPr>
              <w:t>4.0</w:t>
            </w:r>
            <w:r w:rsidRPr="002360AA">
              <w:rPr>
                <w:rStyle w:val="NoteLabel"/>
              </w:rPr>
              <w:t>c</w:t>
            </w:r>
          </w:p>
        </w:tc>
      </w:tr>
      <w:tr w:rsidR="00F96C42" w:rsidRPr="00143A66" w:rsidTr="00F96C42">
        <w:trPr>
          <w:trHeight w:val="230"/>
        </w:trPr>
        <w:tc>
          <w:tcPr>
            <w:tcW w:w="1575"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rsidR="00F96C42" w:rsidRPr="00143A66" w:rsidRDefault="00F96C42" w:rsidP="00F96C42">
            <w:pPr>
              <w:pStyle w:val="TableDataEntries"/>
              <w:jc w:val="left"/>
              <w:rPr>
                <w:rFonts w:ascii="Franklin Gothic Demi" w:hAnsi="Franklin Gothic Demi"/>
                <w:lang w:val="en-GB"/>
              </w:rPr>
            </w:pPr>
            <w:r w:rsidRPr="00143A66">
              <w:rPr>
                <w:rFonts w:ascii="Franklin Gothic Demi" w:hAnsi="Franklin Gothic Demi"/>
                <w:lang w:val="en-GB"/>
              </w:rPr>
              <w:t>Total</w:t>
            </w:r>
          </w:p>
        </w:tc>
        <w:tc>
          <w:tcPr>
            <w:tcW w:w="795"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rsidR="00F96C42" w:rsidRPr="00143A66" w:rsidRDefault="00F96C42" w:rsidP="00F96C42">
            <w:pPr>
              <w:pStyle w:val="TableDataEntries"/>
              <w:rPr>
                <w:rFonts w:ascii="Franklin Gothic Demi" w:hAnsi="Franklin Gothic Demi"/>
                <w:lang w:val="en-GB"/>
              </w:rPr>
            </w:pPr>
            <w:r w:rsidRPr="00143A66">
              <w:rPr>
                <w:rFonts w:ascii="Franklin Gothic Demi" w:hAnsi="Franklin Gothic Demi"/>
                <w:lang w:val="en-GB"/>
              </w:rPr>
              <w:t>64.2</w:t>
            </w:r>
          </w:p>
        </w:tc>
        <w:tc>
          <w:tcPr>
            <w:tcW w:w="796"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rsidR="00F96C42" w:rsidRPr="00143A66" w:rsidRDefault="00F96C42" w:rsidP="00F96C42">
            <w:pPr>
              <w:pStyle w:val="TableDataEntries"/>
              <w:rPr>
                <w:rFonts w:ascii="Franklin Gothic Demi" w:hAnsi="Franklin Gothic Demi"/>
                <w:lang w:val="en-GB"/>
              </w:rPr>
            </w:pPr>
            <w:r w:rsidRPr="00143A66">
              <w:rPr>
                <w:rFonts w:ascii="Franklin Gothic Demi" w:hAnsi="Franklin Gothic Demi"/>
                <w:lang w:val="en-GB"/>
              </w:rPr>
              <w:t>55.3</w:t>
            </w:r>
          </w:p>
        </w:tc>
        <w:tc>
          <w:tcPr>
            <w:tcW w:w="795"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rsidR="00F96C42" w:rsidRPr="00143A66" w:rsidRDefault="00F96C42" w:rsidP="00F96C42">
            <w:pPr>
              <w:pStyle w:val="TableDataEntries"/>
              <w:rPr>
                <w:rFonts w:ascii="Franklin Gothic Demi" w:hAnsi="Franklin Gothic Demi"/>
                <w:lang w:val="en-GB"/>
              </w:rPr>
            </w:pPr>
            <w:r w:rsidRPr="00143A66">
              <w:rPr>
                <w:rFonts w:ascii="Franklin Gothic Demi" w:hAnsi="Franklin Gothic Demi"/>
                <w:lang w:val="en-GB"/>
              </w:rPr>
              <w:t>60.1</w:t>
            </w:r>
          </w:p>
        </w:tc>
        <w:tc>
          <w:tcPr>
            <w:tcW w:w="795"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rsidR="00F96C42" w:rsidRPr="00143A66" w:rsidRDefault="00F96C42" w:rsidP="00F96C42">
            <w:pPr>
              <w:pStyle w:val="TableDataEntries"/>
              <w:rPr>
                <w:rFonts w:ascii="Franklin Gothic Demi" w:hAnsi="Franklin Gothic Demi"/>
                <w:lang w:val="en-GB"/>
              </w:rPr>
            </w:pPr>
            <w:r w:rsidRPr="00143A66">
              <w:rPr>
                <w:rFonts w:ascii="Franklin Gothic Demi" w:hAnsi="Franklin Gothic Demi"/>
                <w:lang w:val="en-GB"/>
              </w:rPr>
              <w:t>61.8</w:t>
            </w:r>
          </w:p>
        </w:tc>
        <w:tc>
          <w:tcPr>
            <w:tcW w:w="795"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rsidR="00F96C42" w:rsidRPr="00143A66" w:rsidRDefault="00F96C42" w:rsidP="00F96C42">
            <w:pPr>
              <w:pStyle w:val="TableDataEntries"/>
              <w:rPr>
                <w:rFonts w:ascii="Franklin Gothic Demi" w:hAnsi="Franklin Gothic Demi"/>
                <w:lang w:val="en-GB"/>
              </w:rPr>
            </w:pPr>
            <w:r w:rsidRPr="00143A66">
              <w:rPr>
                <w:rFonts w:ascii="Franklin Gothic Demi" w:hAnsi="Franklin Gothic Demi"/>
                <w:lang w:val="en-GB"/>
              </w:rPr>
              <w:t>55.4</w:t>
            </w:r>
          </w:p>
        </w:tc>
        <w:tc>
          <w:tcPr>
            <w:tcW w:w="795"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rsidR="00F96C42" w:rsidRPr="00143A66" w:rsidRDefault="00F96C42" w:rsidP="00F96C42">
            <w:pPr>
              <w:pStyle w:val="TableDataEntries"/>
              <w:rPr>
                <w:rFonts w:ascii="Franklin Gothic Demi" w:hAnsi="Franklin Gothic Demi"/>
                <w:lang w:val="en-GB"/>
              </w:rPr>
            </w:pPr>
            <w:r w:rsidRPr="00143A66">
              <w:rPr>
                <w:rFonts w:ascii="Franklin Gothic Demi" w:hAnsi="Franklin Gothic Demi"/>
                <w:lang w:val="en-GB"/>
              </w:rPr>
              <w:t>55.3</w:t>
            </w:r>
          </w:p>
        </w:tc>
        <w:tc>
          <w:tcPr>
            <w:tcW w:w="796"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rsidR="00F96C42" w:rsidRPr="00143A66" w:rsidRDefault="00F96C42" w:rsidP="00F96C42">
            <w:pPr>
              <w:pStyle w:val="TableDataEntries"/>
              <w:rPr>
                <w:rFonts w:ascii="Franklin Gothic Demi" w:hAnsi="Franklin Gothic Demi"/>
                <w:lang w:val="en-GB"/>
              </w:rPr>
            </w:pPr>
            <w:r w:rsidRPr="00143A66">
              <w:rPr>
                <w:rFonts w:ascii="Franklin Gothic Demi" w:hAnsi="Franklin Gothic Demi"/>
                <w:lang w:val="en-GB"/>
              </w:rPr>
              <w:t>64.2</w:t>
            </w:r>
          </w:p>
        </w:tc>
        <w:tc>
          <w:tcPr>
            <w:tcW w:w="795"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rsidR="00F96C42" w:rsidRPr="00143A66" w:rsidRDefault="00F96C42" w:rsidP="00F96C42">
            <w:pPr>
              <w:pStyle w:val="TableDataEntries"/>
              <w:rPr>
                <w:rFonts w:ascii="Franklin Gothic Demi" w:hAnsi="Franklin Gothic Demi"/>
                <w:lang w:val="en-GB"/>
              </w:rPr>
            </w:pPr>
            <w:r w:rsidRPr="00143A66">
              <w:rPr>
                <w:rFonts w:ascii="Franklin Gothic Demi" w:hAnsi="Franklin Gothic Demi"/>
                <w:lang w:val="en-GB"/>
              </w:rPr>
              <w:t>55.4</w:t>
            </w:r>
          </w:p>
        </w:tc>
      </w:tr>
    </w:tbl>
    <w:p w:rsidR="00F96C42" w:rsidRPr="002360AA" w:rsidRDefault="00F96C42" w:rsidP="006158B1">
      <w:pPr>
        <w:pStyle w:val="Note"/>
      </w:pPr>
      <w:r w:rsidRPr="002360AA">
        <w:rPr>
          <w:rStyle w:val="NoteLabel"/>
        </w:rPr>
        <w:t>a</w:t>
      </w:r>
      <w:r w:rsidRPr="002360AA">
        <w:t xml:space="preserve"> Scope 3 emissions factors based on estimate for metro areas in each State. Estimates for non</w:t>
      </w:r>
      <w:r w:rsidRPr="002360AA">
        <w:noBreakHyphen/>
        <w:t xml:space="preserve">metro areas vary slightly, but would not make a significant difference to the overall results. </w:t>
      </w:r>
      <w:r w:rsidRPr="002360AA">
        <w:rPr>
          <w:rStyle w:val="NoteLabel"/>
        </w:rPr>
        <w:t>b</w:t>
      </w:r>
      <w:r w:rsidRPr="002360AA">
        <w:t xml:space="preserve"> Scope 3 emissions factors were not reported for Tasmania. Figure used based on estimate for Victoria. </w:t>
      </w:r>
      <w:r w:rsidRPr="002360AA">
        <w:rPr>
          <w:rStyle w:val="NoteLabel"/>
        </w:rPr>
        <w:t>c</w:t>
      </w:r>
      <w:r w:rsidRPr="002360AA">
        <w:t xml:space="preserve"> Scope 3 emissions factors were not reported for the Northern Territory. Figure used based on estimate for Western Australia.</w:t>
      </w:r>
    </w:p>
    <w:p w:rsidR="00F96C42" w:rsidRPr="002360AA" w:rsidRDefault="00F96C42" w:rsidP="00F96C42">
      <w:pPr>
        <w:pStyle w:val="Source"/>
      </w:pPr>
      <w:r w:rsidRPr="002360AA">
        <w:rPr>
          <w:i/>
        </w:rPr>
        <w:t>Source:</w:t>
      </w:r>
      <w:r w:rsidRPr="002360AA">
        <w:t xml:space="preserve"> Australian Government Department of the Environment and Energy, </w:t>
      </w:r>
      <w:r w:rsidRPr="002360AA">
        <w:rPr>
          <w:i/>
        </w:rPr>
        <w:t>National Greenhouse Accounts Factors</w:t>
      </w:r>
      <w:r w:rsidRPr="002360AA">
        <w:t>, Australian National Greenhouse Accounts, July 2018, pp. 12 and 66.</w:t>
      </w:r>
    </w:p>
    <w:p w:rsidR="00D42D00" w:rsidRPr="002360AA" w:rsidRDefault="00D42D00" w:rsidP="002B3C0A">
      <w:pPr>
        <w:pStyle w:val="Heading8"/>
      </w:pPr>
      <w:r w:rsidRPr="002360AA">
        <w:t>Valuing greenhouse gas emissions</w:t>
      </w:r>
    </w:p>
    <w:p w:rsidR="00612FD3" w:rsidRDefault="00612FD3" w:rsidP="00612FD3">
      <w:pPr>
        <w:pStyle w:val="BodyText"/>
      </w:pPr>
      <w:r>
        <w:t>There are also various approaches in the literature to valuing these environmental benefits, including the following:</w:t>
      </w:r>
    </w:p>
    <w:p w:rsidR="00612FD3" w:rsidRDefault="00612FD3" w:rsidP="00612FD3">
      <w:pPr>
        <w:pStyle w:val="ListBullet"/>
        <w:numPr>
          <w:ilvl w:val="0"/>
          <w:numId w:val="36"/>
        </w:numPr>
      </w:pPr>
      <w:r>
        <w:t>Social cost of carbon (SCC) approach — this is a measure of the discounted value of expected future global damages from additional GHG emissions.</w:t>
      </w:r>
      <w:r>
        <w:rPr>
          <w:rStyle w:val="FootnoteReference"/>
        </w:rPr>
        <w:footnoteReference w:id="147"/>
      </w:r>
      <w:r>
        <w:t xml:space="preserve"> SCC estimates are generally based on modelling of future climate change impacts and their economic effects. Given the large uncertainties around the impacts of climate change, estimates of the SCC can vary significantly.</w:t>
      </w:r>
    </w:p>
    <w:p w:rsidR="00612FD3" w:rsidRDefault="00612FD3" w:rsidP="00612FD3">
      <w:pPr>
        <w:pStyle w:val="ListBullet"/>
        <w:numPr>
          <w:ilvl w:val="0"/>
          <w:numId w:val="36"/>
        </w:numPr>
      </w:pPr>
      <w:r>
        <w:t>Mitigation/abatement cost approach — under this approach, GHG emissions are valued using a carbon price measure, on the basis that a carbon price reflects the marginal cost of abatement. The price used to value carbon emissions could be an existing traded price, such as the EU Emissions Trading Scheme (ETS) price. Alternatively, several Australian studies value the reduction in greenhouse gas emissions using the projected carbon price from various carbon price modelling exercises (alternatively, projected future energy prices including the carbon price are used as the energy price, which also captures the value of the greenhouse gas externality).</w:t>
      </w:r>
    </w:p>
    <w:p w:rsidR="00612FD3" w:rsidRPr="00E611FB" w:rsidRDefault="00612FD3" w:rsidP="00612FD3">
      <w:pPr>
        <w:pStyle w:val="BodyText"/>
      </w:pPr>
      <w:r w:rsidRPr="00E611FB">
        <w:t>The United States (US) Government’s Interagency Working Group (IWG) on Social Cost of Greenhouse Gases revised its estimates of the social cost of carbon for Regulatory Impact Analysis in August 2016.</w:t>
      </w:r>
      <w:r w:rsidRPr="00E611FB">
        <w:footnoteReference w:id="148"/>
      </w:r>
      <w:r w:rsidRPr="00E611FB">
        <w:t xml:space="preserve"> To generate these estimates, the IWG generated a frequency distribution for the future costs of climate change per tonne of CO</w:t>
      </w:r>
      <w:r w:rsidRPr="004E29E3">
        <w:rPr>
          <w:vertAlign w:val="subscript"/>
        </w:rPr>
        <w:t>2-e</w:t>
      </w:r>
      <w:r w:rsidRPr="00E611FB">
        <w:t xml:space="preserve"> based on climate modelling. Chart H.6 shows these estimates in Australian dollar</w:t>
      </w:r>
      <w:r>
        <w:t>s</w:t>
      </w:r>
      <w:r w:rsidRPr="00E611FB">
        <w:t>:</w:t>
      </w:r>
    </w:p>
    <w:p w:rsidR="00612FD3" w:rsidRDefault="00612FD3" w:rsidP="00612FD3">
      <w:pPr>
        <w:pStyle w:val="ListBullet"/>
        <w:numPr>
          <w:ilvl w:val="0"/>
          <w:numId w:val="36"/>
        </w:numPr>
        <w:rPr>
          <w:lang w:val="en-GB" w:eastAsia="en-US"/>
        </w:rPr>
      </w:pPr>
      <w:r>
        <w:rPr>
          <w:lang w:val="en-GB" w:eastAsia="en-US"/>
        </w:rPr>
        <w:t>The low scenario, discounts the average estimate of the future costs of climate change, using a discount rate of 5 per cent.</w:t>
      </w:r>
    </w:p>
    <w:p w:rsidR="00612FD3" w:rsidRDefault="00612FD3" w:rsidP="00612FD3">
      <w:pPr>
        <w:pStyle w:val="ListBullet"/>
        <w:numPr>
          <w:ilvl w:val="0"/>
          <w:numId w:val="36"/>
        </w:numPr>
        <w:rPr>
          <w:lang w:val="en-GB" w:eastAsia="en-US"/>
        </w:rPr>
      </w:pPr>
      <w:r>
        <w:rPr>
          <w:lang w:val="en-GB" w:eastAsia="en-US"/>
        </w:rPr>
        <w:t>The medium scenario discounts the average estimate of the future costs of climate change, using a discount rate of 3 per cent.</w:t>
      </w:r>
    </w:p>
    <w:p w:rsidR="00612FD3" w:rsidRDefault="00612FD3" w:rsidP="00612FD3">
      <w:pPr>
        <w:pStyle w:val="ListBullet"/>
        <w:numPr>
          <w:ilvl w:val="0"/>
          <w:numId w:val="36"/>
        </w:numPr>
        <w:rPr>
          <w:lang w:val="en-GB" w:eastAsia="en-US"/>
        </w:rPr>
      </w:pPr>
      <w:r>
        <w:rPr>
          <w:lang w:val="en-GB" w:eastAsia="en-US"/>
        </w:rPr>
        <w:t>The high scenario discounts the average estimate of the future costs of climate change, using a discount rate of 2.5 per cent.</w:t>
      </w:r>
    </w:p>
    <w:p w:rsidR="00612FD3" w:rsidRDefault="00612FD3" w:rsidP="00612FD3">
      <w:pPr>
        <w:pStyle w:val="ListBullet"/>
        <w:numPr>
          <w:ilvl w:val="0"/>
          <w:numId w:val="36"/>
        </w:numPr>
        <w:rPr>
          <w:lang w:val="en-GB" w:eastAsia="en-US"/>
        </w:rPr>
      </w:pPr>
      <w:r>
        <w:rPr>
          <w:lang w:val="en-GB" w:eastAsia="en-US"/>
        </w:rPr>
        <w:t>The high impact scenario corresponds to the 95</w:t>
      </w:r>
      <w:r>
        <w:rPr>
          <w:vertAlign w:val="superscript"/>
          <w:lang w:val="en-GB" w:eastAsia="en-US"/>
        </w:rPr>
        <w:t>th</w:t>
      </w:r>
      <w:r>
        <w:rPr>
          <w:lang w:val="en-GB" w:eastAsia="en-US"/>
        </w:rPr>
        <w:t xml:space="preserve"> percentile of the frequency distribution of the future costs of climate change, using a discount rate of 3 per cent.</w:t>
      </w:r>
    </w:p>
    <w:p w:rsidR="00612FD3" w:rsidRPr="00D00F02" w:rsidRDefault="00612FD3" w:rsidP="00612FD3">
      <w:pPr>
        <w:pStyle w:val="Caption"/>
        <w:numPr>
          <w:ilvl w:val="0"/>
          <w:numId w:val="7"/>
        </w:numPr>
      </w:pPr>
      <w:r w:rsidRPr="00D00F02">
        <w:fldChar w:fldCharType="begin"/>
      </w:r>
      <w:r w:rsidRPr="00D00F02">
        <w:instrText xml:space="preserve"> IF 1 = 1 "</w:instrText>
      </w:r>
      <w:r w:rsidRPr="00D00F02">
        <w:fldChar w:fldCharType="begin"/>
      </w:r>
      <w:r w:rsidRPr="00D00F02">
        <w:instrText xml:space="preserve"> IF </w:instrText>
      </w:r>
      <w:r w:rsidRPr="00D00F02">
        <w:rPr>
          <w:noProof/>
        </w:rPr>
        <w:fldChar w:fldCharType="begin"/>
      </w:r>
      <w:r w:rsidRPr="00D00F02">
        <w:rPr>
          <w:noProof/>
        </w:rPr>
        <w:instrText xml:space="preserve"> STYLEREF "Heading 6" \l \n </w:instrText>
      </w:r>
      <w:r w:rsidRPr="00D00F02">
        <w:rPr>
          <w:noProof/>
        </w:rPr>
        <w:fldChar w:fldCharType="separate"/>
      </w:r>
      <w:r w:rsidR="00B833F1">
        <w:rPr>
          <w:noProof/>
        </w:rPr>
        <w:instrText>H</w:instrText>
      </w:r>
      <w:r w:rsidRPr="00D00F02">
        <w:rPr>
          <w:noProof/>
        </w:rPr>
        <w:fldChar w:fldCharType="end"/>
      </w:r>
      <w:r w:rsidRPr="00D00F02">
        <w:instrText xml:space="preserve"> = 0 "</w:instrText>
      </w:r>
      <w:r w:rsidRPr="00D00F02">
        <w:fldChar w:fldCharType="begin"/>
      </w:r>
      <w:r w:rsidRPr="00D00F02">
        <w:instrText xml:space="preserve"> IF </w:instrText>
      </w:r>
      <w:r w:rsidRPr="00D00F02">
        <w:fldChar w:fldCharType="begin"/>
      </w:r>
      <w:r w:rsidRPr="00D00F02">
        <w:instrText xml:space="preserve"> STYLEREF "Heading 1" \l \n </w:instrText>
      </w:r>
      <w:r w:rsidRPr="00D00F02">
        <w:fldChar w:fldCharType="separate"/>
      </w:r>
      <w:r w:rsidRPr="00D00F02">
        <w:rPr>
          <w:b/>
          <w:bCs/>
          <w:noProof/>
          <w:lang w:val="en-US"/>
        </w:rPr>
        <w:instrText>Error! No text of specified style in document.</w:instrText>
      </w:r>
      <w:r w:rsidRPr="00D00F02">
        <w:rPr>
          <w:noProof/>
        </w:rPr>
        <w:fldChar w:fldCharType="end"/>
      </w:r>
      <w:r w:rsidRPr="00D00F02">
        <w:instrText xml:space="preserve"> = 0 "" "</w:instrText>
      </w:r>
      <w:r w:rsidRPr="00D00F02">
        <w:fldChar w:fldCharType="begin"/>
      </w:r>
      <w:r w:rsidRPr="00D00F02">
        <w:instrText xml:space="preserve"> STYLEREF "Heading 1" \l \n </w:instrText>
      </w:r>
      <w:r w:rsidRPr="00D00F02">
        <w:fldChar w:fldCharType="separate"/>
      </w:r>
      <w:r w:rsidRPr="00D00F02">
        <w:rPr>
          <w:b/>
          <w:bCs/>
          <w:noProof/>
          <w:lang w:val="en-US"/>
        </w:rPr>
        <w:instrText>Error! No text of specified style in document.</w:instrText>
      </w:r>
      <w:r w:rsidRPr="00D00F02">
        <w:rPr>
          <w:noProof/>
        </w:rPr>
        <w:fldChar w:fldCharType="end"/>
      </w:r>
      <w:r w:rsidRPr="00D00F02">
        <w:instrText xml:space="preserve">." </w:instrText>
      </w:r>
      <w:r w:rsidRPr="00D00F02">
        <w:fldChar w:fldCharType="separate"/>
      </w:r>
      <w:r w:rsidRPr="00D00F02">
        <w:rPr>
          <w:b/>
          <w:bCs/>
          <w:noProof/>
          <w:lang w:val="en-US"/>
        </w:rPr>
        <w:instrText>Error! No text of specified style in document.</w:instrText>
      </w:r>
      <w:r w:rsidRPr="00D00F02">
        <w:rPr>
          <w:noProof/>
        </w:rPr>
        <w:instrText>.</w:instrText>
      </w:r>
      <w:r w:rsidRPr="00D00F02">
        <w:fldChar w:fldCharType="end"/>
      </w:r>
      <w:r w:rsidRPr="00D00F02">
        <w:instrText>" "</w:instrText>
      </w:r>
      <w:r w:rsidRPr="00D00F02">
        <w:rPr>
          <w:noProof/>
        </w:rPr>
        <w:fldChar w:fldCharType="begin"/>
      </w:r>
      <w:r w:rsidRPr="00D00F02">
        <w:rPr>
          <w:noProof/>
        </w:rPr>
        <w:instrText xml:space="preserve"> STYLEREF "Heading 6" \l \n </w:instrText>
      </w:r>
      <w:r w:rsidRPr="00D00F02">
        <w:rPr>
          <w:noProof/>
        </w:rPr>
        <w:fldChar w:fldCharType="separate"/>
      </w:r>
      <w:r w:rsidR="00B833F1">
        <w:rPr>
          <w:noProof/>
        </w:rPr>
        <w:instrText>H</w:instrText>
      </w:r>
      <w:r w:rsidRPr="00D00F02">
        <w:rPr>
          <w:noProof/>
        </w:rPr>
        <w:fldChar w:fldCharType="end"/>
      </w:r>
      <w:r w:rsidRPr="00D00F02">
        <w:instrText xml:space="preserve">." </w:instrText>
      </w:r>
      <w:r w:rsidRPr="00D00F02">
        <w:fldChar w:fldCharType="separate"/>
      </w:r>
      <w:r w:rsidR="00B833F1">
        <w:rPr>
          <w:noProof/>
        </w:rPr>
        <w:instrText>H</w:instrText>
      </w:r>
      <w:r w:rsidR="00B833F1" w:rsidRPr="00D00F02">
        <w:rPr>
          <w:noProof/>
        </w:rPr>
        <w:instrText>.</w:instrText>
      </w:r>
      <w:r w:rsidRPr="00D00F02">
        <w:fldChar w:fldCharType="end"/>
      </w:r>
      <w:r w:rsidRPr="00D00F02">
        <w:instrText xml:space="preserve">6" "" </w:instrText>
      </w:r>
      <w:r w:rsidRPr="00D00F02">
        <w:fldChar w:fldCharType="separate"/>
      </w:r>
      <w:bookmarkStart w:id="8879" w:name="_Caption7005"/>
      <w:bookmarkStart w:id="8880" w:name="_Caption1275"/>
      <w:bookmarkStart w:id="8881" w:name="_Caption6232"/>
      <w:bookmarkStart w:id="8882" w:name="_Caption8760"/>
      <w:bookmarkStart w:id="8883" w:name="_Caption5613"/>
      <w:bookmarkStart w:id="8884" w:name="_Caption4416"/>
      <w:bookmarkStart w:id="8885" w:name="_Caption2036"/>
      <w:bookmarkStart w:id="8886" w:name="_Caption2680"/>
      <w:bookmarkStart w:id="8887" w:name="_Caption9322"/>
      <w:bookmarkStart w:id="8888" w:name="_Caption3479"/>
      <w:bookmarkStart w:id="8889" w:name="_Caption7000"/>
      <w:bookmarkStart w:id="8890" w:name="_Caption4690"/>
      <w:bookmarkStart w:id="8891" w:name="_Caption9806"/>
      <w:bookmarkStart w:id="8892" w:name="_Caption6620"/>
      <w:bookmarkStart w:id="8893" w:name="_Caption4776"/>
      <w:bookmarkStart w:id="8894" w:name="_Caption4545"/>
      <w:bookmarkStart w:id="8895" w:name="_Caption9663"/>
      <w:bookmarkStart w:id="8896" w:name="_Caption6003"/>
      <w:bookmarkStart w:id="8897" w:name="_Caption3915"/>
      <w:bookmarkStart w:id="8898" w:name="_Caption1946"/>
      <w:bookmarkStart w:id="8899" w:name="_Caption8381"/>
      <w:bookmarkStart w:id="8900" w:name="_Caption8883"/>
      <w:bookmarkStart w:id="8901" w:name="_Caption7332"/>
      <w:bookmarkStart w:id="8902" w:name="_Caption7963"/>
      <w:bookmarkStart w:id="8903" w:name="_Caption6219"/>
      <w:bookmarkStart w:id="8904" w:name="_Caption4125"/>
      <w:bookmarkStart w:id="8905" w:name="_Caption7536"/>
      <w:bookmarkStart w:id="8906" w:name="_Caption8109"/>
      <w:bookmarkStart w:id="8907" w:name="_Caption9314"/>
      <w:bookmarkStart w:id="8908" w:name="_Caption9749"/>
      <w:bookmarkStart w:id="8909" w:name="_Caption4078"/>
      <w:bookmarkStart w:id="8910" w:name="_Caption7733"/>
      <w:bookmarkStart w:id="8911" w:name="_Caption6436"/>
      <w:bookmarkStart w:id="8912" w:name="_Caption5206"/>
      <w:bookmarkStart w:id="8913" w:name="_Caption6472"/>
      <w:bookmarkStart w:id="8914" w:name="_Caption0069"/>
      <w:bookmarkStart w:id="8915" w:name="_Caption4374"/>
      <w:bookmarkStart w:id="8916" w:name="_Caption5371"/>
      <w:bookmarkStart w:id="8917" w:name="_Caption1784"/>
      <w:bookmarkStart w:id="8918" w:name="_Caption1152"/>
      <w:bookmarkStart w:id="8919" w:name="_Caption6005"/>
      <w:bookmarkStart w:id="8920" w:name="_Caption8407"/>
      <w:bookmarkStart w:id="8921" w:name="_Caption2118"/>
      <w:bookmarkStart w:id="8922" w:name="_Caption3316"/>
      <w:bookmarkStart w:id="8923" w:name="_Caption0266"/>
      <w:bookmarkStart w:id="8924" w:name="_Caption3888"/>
      <w:bookmarkStart w:id="8925" w:name="_Caption1927"/>
      <w:bookmarkStart w:id="8926" w:name="_Caption9465"/>
      <w:bookmarkStart w:id="8927" w:name="_Caption0602"/>
      <w:bookmarkStart w:id="8928" w:name="_Caption7974"/>
      <w:bookmarkStart w:id="8929" w:name="_Caption7599"/>
      <w:bookmarkStart w:id="8930" w:name="_Caption0624"/>
      <w:bookmarkStart w:id="8931" w:name="_Caption5270"/>
      <w:bookmarkStart w:id="8932" w:name="_Caption7765"/>
      <w:bookmarkStart w:id="8933" w:name="_Caption1969"/>
      <w:bookmarkStart w:id="8934" w:name="_Caption2558"/>
      <w:bookmarkStart w:id="8935" w:name="_Caption2914"/>
      <w:bookmarkStart w:id="8936" w:name="_Caption4862"/>
      <w:bookmarkStart w:id="8937" w:name="_Caption1148"/>
      <w:bookmarkStart w:id="8938" w:name="_Caption8424"/>
      <w:bookmarkStart w:id="8939" w:name="_Caption0967"/>
      <w:bookmarkStart w:id="8940" w:name="_Caption5160"/>
      <w:bookmarkStart w:id="8941" w:name="_Caption6401"/>
      <w:bookmarkStart w:id="8942" w:name="_Caption0897"/>
      <w:bookmarkStart w:id="8943" w:name="_Caption4152"/>
      <w:bookmarkStart w:id="8944" w:name="_Caption5548"/>
      <w:bookmarkStart w:id="8945" w:name="_Caption1999"/>
      <w:bookmarkStart w:id="8946" w:name="_Caption4712"/>
      <w:bookmarkStart w:id="8947" w:name="_Caption1813"/>
      <w:bookmarkStart w:id="8948" w:name="_Caption7421"/>
      <w:bookmarkStart w:id="8949" w:name="_Caption3233"/>
      <w:bookmarkStart w:id="8950" w:name="_Caption8589"/>
      <w:bookmarkStart w:id="8951" w:name="_Caption9689"/>
      <w:bookmarkStart w:id="8952" w:name="_Caption8241"/>
      <w:bookmarkStart w:id="8953" w:name="_Caption9972"/>
      <w:bookmarkStart w:id="8954" w:name="_Caption5068"/>
      <w:bookmarkStart w:id="8955" w:name="_Caption1337"/>
      <w:bookmarkStart w:id="8956" w:name="_Caption7698"/>
      <w:bookmarkStart w:id="8957" w:name="_Caption1922"/>
      <w:bookmarkStart w:id="8958" w:name="_Caption0593"/>
      <w:bookmarkStart w:id="8959" w:name="_Caption8876"/>
      <w:bookmarkStart w:id="8960" w:name="_Caption8627"/>
      <w:bookmarkStart w:id="8961" w:name="_Caption4516"/>
      <w:bookmarkStart w:id="8962" w:name="_Caption3712"/>
      <w:bookmarkStart w:id="8963" w:name="_Caption0810"/>
      <w:bookmarkStart w:id="8964" w:name="_Caption7662"/>
      <w:bookmarkStart w:id="8965" w:name="_Caption9562"/>
      <w:bookmarkStart w:id="8966" w:name="_Caption8275"/>
      <w:bookmarkStart w:id="8967" w:name="_Caption9396"/>
      <w:bookmarkStart w:id="8968" w:name="_Caption6167"/>
      <w:bookmarkStart w:id="8969" w:name="_Caption0260"/>
      <w:bookmarkStart w:id="8970" w:name="_Caption7472"/>
      <w:bookmarkStart w:id="8971" w:name="_Caption6531"/>
      <w:bookmarkStart w:id="8972" w:name="_Caption1871"/>
      <w:bookmarkStart w:id="8973" w:name="_Caption7486"/>
      <w:bookmarkStart w:id="8974" w:name="_Caption3131"/>
      <w:bookmarkStart w:id="8975" w:name="_Caption2456"/>
      <w:bookmarkStart w:id="8976" w:name="_Caption8539"/>
      <w:bookmarkStart w:id="8977" w:name="_Caption9819"/>
      <w:bookmarkStart w:id="8978" w:name="_Caption3134"/>
      <w:bookmarkStart w:id="8979" w:name="_Caption3647"/>
      <w:bookmarkStart w:id="8980" w:name="_Caption9024"/>
      <w:bookmarkStart w:id="8981" w:name="_Toc509220907"/>
      <w:bookmarkStart w:id="8982" w:name="_Toc529870014"/>
      <w:bookmarkStart w:id="8983" w:name="_Toc530748510"/>
      <w:r w:rsidR="00EA42ED">
        <w:rPr>
          <w:noProof/>
        </w:rPr>
        <w:t>H</w:t>
      </w:r>
      <w:r w:rsidR="00EA42ED" w:rsidRPr="00D00F02">
        <w:rPr>
          <w:noProof/>
        </w:rPr>
        <w:t>.6</w:t>
      </w:r>
      <w:bookmarkStart w:id="8984" w:name="_Toc50752385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r w:rsidRPr="00D00F02">
        <w:fldChar w:fldCharType="end"/>
      </w:r>
      <w:r w:rsidRPr="00D00F02">
        <w:tab/>
        <w:t>Social cost of carbon estimates</w:t>
      </w:r>
      <w:bookmarkEnd w:id="8981"/>
      <w:bookmarkEnd w:id="8982"/>
      <w:bookmarkEnd w:id="8983"/>
      <w:bookmarkEnd w:id="8984"/>
    </w:p>
    <w:p w:rsidR="00612FD3" w:rsidRDefault="00612FD3" w:rsidP="00612FD3">
      <w:pPr>
        <w:pStyle w:val="Source"/>
      </w:pPr>
      <w:r w:rsidRPr="00CB0B25">
        <w:rPr>
          <w:noProof/>
          <w:lang w:eastAsia="en-AU"/>
        </w:rPr>
        <w:drawing>
          <wp:inline distT="0" distB="0" distL="0" distR="0" wp14:anchorId="780C2CEE" wp14:editId="062494E9">
            <wp:extent cx="5019675" cy="2486025"/>
            <wp:effectExtent l="0" t="0" r="9525" b="9525"/>
            <wp:docPr id="24" name="Picture 24" descr="This chart shows social cost of carbon estimates for four scenarios up to 2067." title="Social cost of carbon estim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6">
                      <a:extLst>
                        <a:ext uri="{28A0092B-C50C-407E-A947-70E740481C1C}">
                          <a14:useLocalDpi xmlns:a14="http://schemas.microsoft.com/office/drawing/2010/main" val="0"/>
                        </a:ext>
                      </a:extLst>
                    </a:blip>
                    <a:srcRect l="-1701" r="2104" b="-2006"/>
                    <a:stretch/>
                  </pic:blipFill>
                  <pic:spPr bwMode="auto">
                    <a:xfrm>
                      <a:off x="0" y="0"/>
                      <a:ext cx="5019675" cy="2486025"/>
                    </a:xfrm>
                    <a:prstGeom prst="rect">
                      <a:avLst/>
                    </a:prstGeom>
                    <a:solidFill>
                      <a:schemeClr val="bg2"/>
                    </a:solidFill>
                    <a:ln>
                      <a:noFill/>
                    </a:ln>
                    <a:extLst>
                      <a:ext uri="{53640926-AAD7-44D8-BBD7-CCE9431645EC}">
                        <a14:shadowObscured xmlns:a14="http://schemas.microsoft.com/office/drawing/2010/main"/>
                      </a:ext>
                    </a:extLst>
                  </pic:spPr>
                </pic:pic>
              </a:graphicData>
            </a:graphic>
          </wp:inline>
        </w:drawing>
      </w:r>
      <w:r>
        <w:rPr>
          <w:i/>
        </w:rPr>
        <w:t>Data source</w:t>
      </w:r>
      <w:r w:rsidRPr="00A67576">
        <w:rPr>
          <w:i/>
        </w:rPr>
        <w:t>:</w:t>
      </w:r>
      <w:r>
        <w:t xml:space="preserve"> US EPA 2017, </w:t>
      </w:r>
      <w:r>
        <w:rPr>
          <w:i/>
        </w:rPr>
        <w:t>The Social Cost of Carbon: Estimating the Benefit of Reducing Greenhouse Gas Emissions</w:t>
      </w:r>
      <w:r>
        <w:t xml:space="preserve">, </w:t>
      </w:r>
      <w:r w:rsidRPr="0034294C">
        <w:t>https://19january2017snapshot.epa.gov/climatechange/social-cost-carbon_.html</w:t>
      </w:r>
      <w:r>
        <w:t>.</w:t>
      </w:r>
      <w:r w:rsidRPr="005D335E">
        <w:rPr>
          <w:noProof/>
          <w:lang w:eastAsia="en-AU"/>
        </w:rPr>
        <w:t xml:space="preserve"> </w:t>
      </w:r>
    </w:p>
    <w:p w:rsidR="00612FD3" w:rsidRDefault="00612FD3" w:rsidP="00612FD3">
      <w:pPr>
        <w:pStyle w:val="BodyText"/>
        <w:rPr>
          <w:lang w:bidi="fa-IR"/>
        </w:rPr>
      </w:pPr>
    </w:p>
    <w:p w:rsidR="00612FD3" w:rsidRDefault="00612FD3" w:rsidP="00612FD3">
      <w:pPr>
        <w:pStyle w:val="Heading6"/>
        <w:numPr>
          <w:ilvl w:val="5"/>
          <w:numId w:val="5"/>
        </w:numPr>
      </w:pPr>
      <w:bookmarkStart w:id="8985" w:name="_Toc507523787"/>
      <w:bookmarkStart w:id="8986" w:name="_Toc509220836"/>
      <w:bookmarkStart w:id="8987" w:name="_Toc529869891"/>
      <w:bookmarkStart w:id="8988" w:name="_Toc530748609"/>
      <w:r>
        <w:t xml:space="preserve">Net private benefits by state, </w:t>
      </w:r>
      <w:r w:rsidR="00E31EE8">
        <w:t>Climate Zone</w:t>
      </w:r>
      <w:r>
        <w:t xml:space="preserve"> and building type</w:t>
      </w:r>
      <w:bookmarkEnd w:id="8985"/>
      <w:bookmarkEnd w:id="8986"/>
      <w:bookmarkEnd w:id="8987"/>
      <w:bookmarkEnd w:id="8988"/>
    </w:p>
    <w:p w:rsidR="00612FD3" w:rsidRDefault="00612FD3" w:rsidP="00612FD3">
      <w:pPr>
        <w:pStyle w:val="Heading7"/>
        <w:numPr>
          <w:ilvl w:val="6"/>
          <w:numId w:val="5"/>
        </w:numPr>
      </w:pPr>
      <w:r>
        <w:t>New South Wales</w:t>
      </w:r>
    </w:p>
    <w:p w:rsidR="00612FD3" w:rsidRDefault="00612FD3" w:rsidP="00612FD3">
      <w:pPr>
        <w:pStyle w:val="Caption"/>
      </w:pPr>
      <w:r w:rsidRPr="00227536">
        <w:fldChar w:fldCharType="begin"/>
      </w:r>
      <w:r w:rsidRPr="00227536">
        <w:instrText xml:space="preserve"> IF 1 = 1 "</w:instrText>
      </w:r>
      <w:r w:rsidRPr="00227536">
        <w:fldChar w:fldCharType="begin"/>
      </w:r>
      <w:r w:rsidRPr="00227536">
        <w:instrText xml:space="preserve"> IF </w:instrText>
      </w:r>
      <w:r w:rsidRPr="00227536">
        <w:rPr>
          <w:noProof/>
        </w:rPr>
        <w:fldChar w:fldCharType="begin"/>
      </w:r>
      <w:r w:rsidRPr="00227536">
        <w:rPr>
          <w:noProof/>
        </w:rPr>
        <w:instrText xml:space="preserve"> STYLEREF "Heading 6" \l \n </w:instrText>
      </w:r>
      <w:r w:rsidRPr="00227536">
        <w:rPr>
          <w:noProof/>
        </w:rPr>
        <w:fldChar w:fldCharType="separate"/>
      </w:r>
      <w:r w:rsidR="00B833F1">
        <w:rPr>
          <w:noProof/>
        </w:rPr>
        <w:instrText>I</w:instrText>
      </w:r>
      <w:r w:rsidRPr="00227536">
        <w:rPr>
          <w:noProof/>
        </w:rPr>
        <w:fldChar w:fldCharType="end"/>
      </w:r>
      <w:r w:rsidRPr="00227536">
        <w:instrText xml:space="preserve"> = 0 "</w:instrText>
      </w:r>
      <w:r w:rsidRPr="00227536">
        <w:fldChar w:fldCharType="begin"/>
      </w:r>
      <w:r w:rsidRPr="00227536">
        <w:instrText xml:space="preserve"> IF </w:instrText>
      </w:r>
      <w:r w:rsidRPr="00227536">
        <w:rPr>
          <w:noProof/>
        </w:rPr>
        <w:fldChar w:fldCharType="begin"/>
      </w:r>
      <w:r w:rsidRPr="00227536">
        <w:rPr>
          <w:noProof/>
        </w:rPr>
        <w:instrText xml:space="preserve"> STYLEREF "Heading 1" \l \n </w:instrText>
      </w:r>
      <w:r w:rsidRPr="00227536">
        <w:rPr>
          <w:noProof/>
        </w:rPr>
        <w:fldChar w:fldCharType="separate"/>
      </w:r>
      <w:r w:rsidRPr="00227536">
        <w:rPr>
          <w:noProof/>
        </w:rPr>
        <w:instrText>1</w:instrText>
      </w:r>
      <w:r w:rsidRPr="00227536">
        <w:rPr>
          <w:noProof/>
        </w:rPr>
        <w:fldChar w:fldCharType="end"/>
      </w:r>
      <w:r w:rsidRPr="00227536">
        <w:instrText xml:space="preserve"> = 0 "" "</w:instrText>
      </w:r>
      <w:r w:rsidRPr="00227536">
        <w:rPr>
          <w:noProof/>
        </w:rPr>
        <w:fldChar w:fldCharType="begin"/>
      </w:r>
      <w:r w:rsidRPr="00227536">
        <w:rPr>
          <w:noProof/>
        </w:rPr>
        <w:instrText xml:space="preserve"> STYLEREF "Heading 1" \l \n </w:instrText>
      </w:r>
      <w:r w:rsidRPr="00227536">
        <w:rPr>
          <w:noProof/>
        </w:rPr>
        <w:fldChar w:fldCharType="separate"/>
      </w:r>
      <w:r w:rsidRPr="00227536">
        <w:rPr>
          <w:noProof/>
        </w:rPr>
        <w:instrText>1</w:instrText>
      </w:r>
      <w:r w:rsidRPr="00227536">
        <w:rPr>
          <w:noProof/>
        </w:rPr>
        <w:fldChar w:fldCharType="end"/>
      </w:r>
      <w:r w:rsidRPr="00227536">
        <w:instrText xml:space="preserve">." </w:instrText>
      </w:r>
      <w:r w:rsidRPr="00227536">
        <w:fldChar w:fldCharType="separate"/>
      </w:r>
      <w:r w:rsidRPr="00227536">
        <w:rPr>
          <w:noProof/>
        </w:rPr>
        <w:instrText>1.</w:instrText>
      </w:r>
      <w:r w:rsidRPr="00227536">
        <w:fldChar w:fldCharType="end"/>
      </w:r>
      <w:r w:rsidRPr="00227536">
        <w:instrText>" "</w:instrText>
      </w:r>
      <w:r w:rsidRPr="00227536">
        <w:rPr>
          <w:noProof/>
        </w:rPr>
        <w:fldChar w:fldCharType="begin"/>
      </w:r>
      <w:r w:rsidRPr="00227536">
        <w:rPr>
          <w:noProof/>
        </w:rPr>
        <w:instrText xml:space="preserve"> STYLEREF "Heading 6" \l \n </w:instrText>
      </w:r>
      <w:r w:rsidRPr="00227536">
        <w:rPr>
          <w:noProof/>
        </w:rPr>
        <w:fldChar w:fldCharType="separate"/>
      </w:r>
      <w:r w:rsidR="00B833F1">
        <w:rPr>
          <w:noProof/>
        </w:rPr>
        <w:instrText>I</w:instrText>
      </w:r>
      <w:r w:rsidRPr="00227536">
        <w:rPr>
          <w:noProof/>
        </w:rPr>
        <w:fldChar w:fldCharType="end"/>
      </w:r>
      <w:r w:rsidRPr="00227536">
        <w:instrText xml:space="preserve">." </w:instrText>
      </w:r>
      <w:r w:rsidRPr="00227536">
        <w:fldChar w:fldCharType="separate"/>
      </w:r>
      <w:r w:rsidR="00B833F1">
        <w:rPr>
          <w:noProof/>
        </w:rPr>
        <w:instrText>I</w:instrText>
      </w:r>
      <w:r w:rsidR="00B833F1" w:rsidRPr="00227536">
        <w:rPr>
          <w:noProof/>
        </w:rPr>
        <w:instrText>.</w:instrText>
      </w:r>
      <w:r w:rsidRPr="00227536">
        <w:fldChar w:fldCharType="end"/>
      </w:r>
      <w:r w:rsidRPr="00227536">
        <w:fldChar w:fldCharType="begin"/>
      </w:r>
      <w:r w:rsidRPr="00227536">
        <w:instrText xml:space="preserve"> SEQ Item \* ARABIC \s </w:instrText>
      </w:r>
      <w:r w:rsidRPr="00227536">
        <w:fldChar w:fldCharType="begin"/>
      </w:r>
      <w:r w:rsidRPr="00227536">
        <w:instrText xml:space="preserve"> IF </w:instrText>
      </w:r>
      <w:r w:rsidRPr="00227536">
        <w:rPr>
          <w:noProof/>
        </w:rPr>
        <w:fldChar w:fldCharType="begin"/>
      </w:r>
      <w:r w:rsidRPr="00227536">
        <w:rPr>
          <w:noProof/>
        </w:rPr>
        <w:instrText xml:space="preserve"> STYLEREF "Heading 6" \l \n </w:instrText>
      </w:r>
      <w:r w:rsidRPr="00227536">
        <w:rPr>
          <w:noProof/>
        </w:rPr>
        <w:fldChar w:fldCharType="separate"/>
      </w:r>
      <w:r w:rsidR="00B833F1">
        <w:rPr>
          <w:noProof/>
        </w:rPr>
        <w:instrText>I</w:instrText>
      </w:r>
      <w:r w:rsidRPr="00227536">
        <w:rPr>
          <w:noProof/>
        </w:rPr>
        <w:fldChar w:fldCharType="end"/>
      </w:r>
      <w:r w:rsidRPr="00227536">
        <w:instrText xml:space="preserve"> = 0 "</w:instrText>
      </w:r>
      <w:r w:rsidRPr="00227536">
        <w:fldChar w:fldCharType="begin"/>
      </w:r>
      <w:r w:rsidRPr="00227536">
        <w:instrText xml:space="preserve"> IF </w:instrText>
      </w:r>
      <w:r w:rsidRPr="00227536">
        <w:rPr>
          <w:noProof/>
        </w:rPr>
        <w:fldChar w:fldCharType="begin"/>
      </w:r>
      <w:r w:rsidRPr="00227536">
        <w:rPr>
          <w:noProof/>
        </w:rPr>
        <w:instrText xml:space="preserve"> STYLEREF "Heading 1" \l \n </w:instrText>
      </w:r>
      <w:r w:rsidRPr="00227536">
        <w:rPr>
          <w:noProof/>
        </w:rPr>
        <w:fldChar w:fldCharType="separate"/>
      </w:r>
      <w:r w:rsidRPr="00227536">
        <w:rPr>
          <w:noProof/>
        </w:rPr>
        <w:instrText>1</w:instrText>
      </w:r>
      <w:r w:rsidRPr="00227536">
        <w:rPr>
          <w:noProof/>
        </w:rPr>
        <w:fldChar w:fldCharType="end"/>
      </w:r>
      <w:r w:rsidRPr="00227536">
        <w:instrText xml:space="preserve"> = 0 "" "1" </w:instrText>
      </w:r>
      <w:r w:rsidRPr="00227536">
        <w:fldChar w:fldCharType="separate"/>
      </w:r>
      <w:r w:rsidRPr="00227536">
        <w:rPr>
          <w:noProof/>
        </w:rPr>
        <w:instrText>1</w:instrText>
      </w:r>
      <w:r w:rsidRPr="00227536">
        <w:fldChar w:fldCharType="end"/>
      </w:r>
      <w:r w:rsidRPr="00227536">
        <w:instrText xml:space="preserve">" "6" </w:instrText>
      </w:r>
      <w:r w:rsidRPr="00227536">
        <w:fldChar w:fldCharType="separate"/>
      </w:r>
      <w:r w:rsidR="00B833F1" w:rsidRPr="00227536">
        <w:rPr>
          <w:noProof/>
        </w:rPr>
        <w:instrText>6</w:instrText>
      </w:r>
      <w:r w:rsidRPr="00227536">
        <w:fldChar w:fldCharType="end"/>
      </w:r>
      <w:r w:rsidRPr="00227536">
        <w:instrText xml:space="preserve"> </w:instrText>
      </w:r>
      <w:r w:rsidRPr="00227536">
        <w:fldChar w:fldCharType="separate"/>
      </w:r>
      <w:r w:rsidR="00B833F1">
        <w:rPr>
          <w:noProof/>
        </w:rPr>
        <w:instrText>1</w:instrText>
      </w:r>
      <w:r w:rsidRPr="00227536">
        <w:fldChar w:fldCharType="end"/>
      </w:r>
      <w:r w:rsidRPr="00227536">
        <w:instrText xml:space="preserve">" "" </w:instrText>
      </w:r>
      <w:r w:rsidRPr="00227536">
        <w:fldChar w:fldCharType="separate"/>
      </w:r>
      <w:bookmarkStart w:id="8989" w:name="_Caption3653"/>
      <w:bookmarkStart w:id="8990" w:name="_Caption6188"/>
      <w:bookmarkStart w:id="8991" w:name="_Caption1587"/>
      <w:bookmarkStart w:id="8992" w:name="_Caption6410"/>
      <w:bookmarkStart w:id="8993" w:name="_Caption1875"/>
      <w:bookmarkStart w:id="8994" w:name="_Caption9755"/>
      <w:bookmarkStart w:id="8995" w:name="_Caption2916"/>
      <w:bookmarkStart w:id="8996" w:name="_Caption5400"/>
      <w:bookmarkStart w:id="8997" w:name="_Caption9108"/>
      <w:bookmarkStart w:id="8998" w:name="_Caption1023"/>
      <w:bookmarkStart w:id="8999" w:name="_Caption7880"/>
      <w:bookmarkStart w:id="9000" w:name="_Caption1298"/>
      <w:bookmarkStart w:id="9001" w:name="_Caption7858"/>
      <w:bookmarkStart w:id="9002" w:name="_Caption1172"/>
      <w:bookmarkStart w:id="9003" w:name="_Caption5737"/>
      <w:bookmarkStart w:id="9004" w:name="_Caption8965"/>
      <w:bookmarkStart w:id="9005" w:name="_Caption1992"/>
      <w:bookmarkStart w:id="9006" w:name="_Caption7218"/>
      <w:bookmarkStart w:id="9007" w:name="_Caption1646"/>
      <w:bookmarkStart w:id="9008" w:name="_Caption6700"/>
      <w:bookmarkStart w:id="9009" w:name="_Caption1906"/>
      <w:bookmarkStart w:id="9010" w:name="_Caption0099"/>
      <w:bookmarkStart w:id="9011" w:name="_Caption0176"/>
      <w:bookmarkStart w:id="9012" w:name="_Caption6240"/>
      <w:bookmarkStart w:id="9013" w:name="_Caption4296"/>
      <w:bookmarkStart w:id="9014" w:name="_Caption6983"/>
      <w:bookmarkStart w:id="9015" w:name="_Caption2262"/>
      <w:bookmarkStart w:id="9016" w:name="_Caption8658"/>
      <w:bookmarkStart w:id="9017" w:name="_Caption8740"/>
      <w:bookmarkStart w:id="9018" w:name="_Caption2515"/>
      <w:bookmarkStart w:id="9019" w:name="_Caption9291"/>
      <w:bookmarkStart w:id="9020" w:name="_Caption0749"/>
      <w:bookmarkStart w:id="9021" w:name="_Caption4834"/>
      <w:bookmarkStart w:id="9022" w:name="_Caption2334"/>
      <w:bookmarkStart w:id="9023" w:name="_Caption8556"/>
      <w:bookmarkStart w:id="9024" w:name="_Caption3340"/>
      <w:bookmarkStart w:id="9025" w:name="_Caption4504"/>
      <w:bookmarkStart w:id="9026" w:name="_Caption6765"/>
      <w:bookmarkStart w:id="9027" w:name="_Caption2793"/>
      <w:bookmarkStart w:id="9028" w:name="_Caption9998"/>
      <w:bookmarkStart w:id="9029" w:name="_Caption7074"/>
      <w:bookmarkStart w:id="9030" w:name="_Caption8020"/>
      <w:bookmarkStart w:id="9031" w:name="_Caption8076"/>
      <w:bookmarkStart w:id="9032" w:name="_Caption7141"/>
      <w:bookmarkStart w:id="9033" w:name="_Caption2723"/>
      <w:bookmarkStart w:id="9034" w:name="_Caption8309"/>
      <w:bookmarkStart w:id="9035" w:name="_Caption2504"/>
      <w:bookmarkStart w:id="9036" w:name="_Caption4276"/>
      <w:bookmarkStart w:id="9037" w:name="_Caption3899"/>
      <w:bookmarkStart w:id="9038" w:name="_Caption3881"/>
      <w:bookmarkStart w:id="9039" w:name="_Caption2322"/>
      <w:bookmarkStart w:id="9040" w:name="_Caption1805"/>
      <w:bookmarkStart w:id="9041" w:name="_Caption8666"/>
      <w:bookmarkStart w:id="9042" w:name="_Caption4121"/>
      <w:bookmarkStart w:id="9043" w:name="_Caption5714"/>
      <w:bookmarkStart w:id="9044" w:name="_Caption9217"/>
      <w:bookmarkStart w:id="9045" w:name="_Caption9848"/>
      <w:bookmarkStart w:id="9046" w:name="_Caption1791"/>
      <w:bookmarkStart w:id="9047" w:name="_Caption7064"/>
      <w:bookmarkStart w:id="9048" w:name="_Caption4083"/>
      <w:bookmarkStart w:id="9049" w:name="_Caption1367"/>
      <w:bookmarkStart w:id="9050" w:name="_Caption7049"/>
      <w:bookmarkStart w:id="9051" w:name="_Caption9460"/>
      <w:bookmarkStart w:id="9052" w:name="_Caption9871"/>
      <w:bookmarkStart w:id="9053" w:name="_Caption6725"/>
      <w:bookmarkStart w:id="9054" w:name="_Caption7668"/>
      <w:bookmarkStart w:id="9055" w:name="_Caption9543"/>
      <w:bookmarkStart w:id="9056" w:name="_Toc529870015"/>
      <w:bookmarkStart w:id="9057" w:name="_Toc530748511"/>
      <w:r w:rsidR="00EA42ED">
        <w:rPr>
          <w:noProof/>
        </w:rPr>
        <w:t>I</w:t>
      </w:r>
      <w:r w:rsidR="00EA42ED" w:rsidRPr="00227536">
        <w:rPr>
          <w:noProof/>
        </w:rPr>
        <w:t>.</w:t>
      </w:r>
      <w:r w:rsidR="00EA42ED">
        <w:rPr>
          <w:noProof/>
        </w:rPr>
        <w:t>1</w:t>
      </w:r>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51"/>
      <w:bookmarkEnd w:id="9052"/>
      <w:bookmarkEnd w:id="9053"/>
      <w:bookmarkEnd w:id="9054"/>
      <w:bookmarkEnd w:id="9055"/>
      <w:r w:rsidRPr="00227536">
        <w:fldChar w:fldCharType="end"/>
      </w:r>
      <w:r w:rsidRPr="00227536">
        <w:tab/>
        <w:t>Net benefits to New South Wales — low realisation scenario</w:t>
      </w:r>
      <w:bookmarkEnd w:id="9056"/>
      <w:bookmarkEnd w:id="9057"/>
    </w:p>
    <w:tbl>
      <w:tblPr>
        <w:tblW w:w="7937" w:type="dxa"/>
        <w:tblLayout w:type="fixed"/>
        <w:tblLook w:val="0000" w:firstRow="0" w:lastRow="0" w:firstColumn="0" w:lastColumn="0" w:noHBand="0" w:noVBand="0"/>
        <w:tblCaption w:val="Table I.1: Net benefits to New South Wales"/>
        <w:tblDescription w:val="This table shows the net benefits under a low realisation scenario of the proposed changes to NCC 2019 in New South Wales. "/>
      </w:tblPr>
      <w:tblGrid>
        <w:gridCol w:w="2456"/>
        <w:gridCol w:w="783"/>
        <w:gridCol w:w="783"/>
        <w:gridCol w:w="783"/>
        <w:gridCol w:w="783"/>
        <w:gridCol w:w="783"/>
        <w:gridCol w:w="783"/>
        <w:gridCol w:w="783"/>
      </w:tblGrid>
      <w:tr w:rsidR="00612FD3" w:rsidTr="00301B6D">
        <w:trPr>
          <w:trHeight w:val="230"/>
          <w:tblHeader/>
        </w:trPr>
        <w:tc>
          <w:tcPr>
            <w:tcW w:w="2456" w:type="dxa"/>
            <w:shd w:val="clear" w:color="auto" w:fill="6F6652"/>
            <w:tcMar>
              <w:left w:w="57" w:type="dxa"/>
              <w:right w:w="57" w:type="dxa"/>
            </w:tcMar>
          </w:tcPr>
          <w:p w:rsidR="00612FD3" w:rsidRDefault="00612FD3" w:rsidP="00301B6D">
            <w:pPr>
              <w:pStyle w:val="TableDataColumnHeading"/>
              <w:jc w:val="left"/>
              <w:rPr>
                <w:lang w:val="en-GB"/>
              </w:rPr>
            </w:pP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CZ1</w:t>
            </w: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CZ2</w:t>
            </w: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CZ3</w:t>
            </w: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CZ4</w:t>
            </w: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CZ5</w:t>
            </w: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CZ6</w:t>
            </w: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CZ7</w:t>
            </w:r>
          </w:p>
        </w:tc>
      </w:tr>
      <w:tr w:rsidR="00612FD3" w:rsidTr="00301B6D">
        <w:trPr>
          <w:trHeight w:val="230"/>
          <w:tblHeader/>
        </w:trPr>
        <w:tc>
          <w:tcPr>
            <w:tcW w:w="2456"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jc w:val="left"/>
              <w:rPr>
                <w:lang w:val="en-GB"/>
              </w:rPr>
            </w:pP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r>
      <w:tr w:rsidR="00612FD3" w:rsidTr="00301B6D">
        <w:trPr>
          <w:trHeight w:val="230"/>
        </w:trPr>
        <w:tc>
          <w:tcPr>
            <w:tcW w:w="245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r>
              <w:rPr>
                <w:lang w:val="en-GB"/>
              </w:rPr>
              <w:t>Hotels</w:t>
            </w: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r>
      <w:tr w:rsidR="00227536"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Bill savings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34.47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27.75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28.80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29.20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27.31</w:t>
            </w:r>
          </w:p>
        </w:tc>
      </w:tr>
      <w:tr w:rsidR="00227536" w:rsidTr="00F77AE9">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Bill savings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0.58</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2.72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0.08</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1.93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2.00</w:t>
            </w:r>
          </w:p>
        </w:tc>
      </w:tr>
      <w:tr w:rsidR="00227536" w:rsidTr="00D364DA">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Private costs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- 1.77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1.10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- 4.98</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0.77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12.65</w:t>
            </w:r>
          </w:p>
        </w:tc>
      </w:tr>
      <w:tr w:rsidR="00227536" w:rsidRPr="00D364DA" w:rsidTr="00D364DA">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227536" w:rsidRPr="00D364DA" w:rsidRDefault="00227536" w:rsidP="00227536">
            <w:pPr>
              <w:pStyle w:val="TableDataEntries"/>
              <w:jc w:val="left"/>
              <w:rPr>
                <w:lang w:val="en-GB"/>
              </w:rPr>
            </w:pPr>
            <w:r w:rsidRPr="00D364DA">
              <w:rPr>
                <w:lang w:val="en-GB"/>
              </w:rPr>
              <w:t>Net private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 xml:space="preserve"> 33.28</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 xml:space="preserve"> 31.56</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 xml:space="preserve"> 23.90</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 xml:space="preserve"> 31.89</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 xml:space="preserve"> 41.96</w:t>
            </w:r>
          </w:p>
        </w:tc>
      </w:tr>
      <w:tr w:rsidR="00227536" w:rsidTr="00F77AE9">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Avoided GHG emissions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10.07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8.10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8.41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8.53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7.98</w:t>
            </w:r>
          </w:p>
        </w:tc>
      </w:tr>
      <w:tr w:rsidR="00227536"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Avoided GHG emissions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0.08</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0.36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0.01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0.26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0.26</w:t>
            </w:r>
          </w:p>
        </w:tc>
      </w:tr>
      <w:tr w:rsidR="00227536" w:rsidRPr="00227536"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227536" w:rsidRPr="00227536" w:rsidRDefault="00227536" w:rsidP="00227536">
            <w:pPr>
              <w:pStyle w:val="TableDataEntries"/>
              <w:jc w:val="left"/>
              <w:rPr>
                <w:rFonts w:ascii="Franklin Gothic Demi" w:hAnsi="Franklin Gothic Demi"/>
                <w:lang w:val="en-GB"/>
              </w:rPr>
            </w:pPr>
            <w:r w:rsidRPr="00227536">
              <w:rPr>
                <w:rFonts w:ascii="Franklin Gothic Demi" w:hAnsi="Franklin Gothic Demi"/>
                <w:lang w:val="en-GB"/>
              </w:rPr>
              <w:t>Net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 xml:space="preserve"> 43.42</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 xml:space="preserve"> 40.03</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 xml:space="preserve"> 32.33</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 xml:space="preserve"> 40.68</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 xml:space="preserve"> 50.20</w:t>
            </w:r>
          </w:p>
        </w:tc>
      </w:tr>
      <w:tr w:rsidR="00227536" w:rsidTr="00301B6D">
        <w:trPr>
          <w:trHeight w:val="230"/>
        </w:trPr>
        <w:tc>
          <w:tcPr>
            <w:tcW w:w="245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227536" w:rsidRDefault="00227536" w:rsidP="00227536">
            <w:pPr>
              <w:pStyle w:val="TableHeading1"/>
              <w:rPr>
                <w:lang w:val="en-GB"/>
              </w:rPr>
            </w:pPr>
            <w:r>
              <w:rPr>
                <w:lang w:val="en-GB"/>
              </w:rPr>
              <w:t>Office building</w:t>
            </w: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r>
      <w:tr w:rsidR="00227536" w:rsidTr="00F77AE9">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Bill savings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10.88</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6.24</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8.97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6.78</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6.16</w:t>
            </w:r>
          </w:p>
        </w:tc>
      </w:tr>
      <w:tr w:rsidR="00227536" w:rsidTr="00F77AE9">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Bill savings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0.94</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1.82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2.01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0.97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1.83</w:t>
            </w:r>
          </w:p>
        </w:tc>
      </w:tr>
      <w:tr w:rsidR="00227536" w:rsidTr="00D364DA">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Private costs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- 2.61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- 7.12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- 11.05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- 5.29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- 1.72</w:t>
            </w:r>
          </w:p>
        </w:tc>
      </w:tr>
      <w:tr w:rsidR="00227536" w:rsidRPr="00D364DA" w:rsidTr="00D364DA">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227536" w:rsidRPr="00D364DA" w:rsidRDefault="00227536" w:rsidP="00227536">
            <w:pPr>
              <w:pStyle w:val="TableDataEntries"/>
              <w:jc w:val="left"/>
              <w:rPr>
                <w:lang w:val="en-GB"/>
              </w:rPr>
            </w:pPr>
            <w:r w:rsidRPr="00D364DA">
              <w:rPr>
                <w:lang w:val="en-GB"/>
              </w:rPr>
              <w:t>Net private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 xml:space="preserve"> 9.22</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 xml:space="preserve"> 0.94</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- 0.07</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 xml:space="preserve"> 2.45</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 xml:space="preserve"> 6.27</w:t>
            </w:r>
          </w:p>
        </w:tc>
      </w:tr>
      <w:tr w:rsidR="00227536" w:rsidTr="00F77AE9">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Avoided GHG emissions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3.18</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1.82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2.62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1.98</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1.80</w:t>
            </w:r>
          </w:p>
        </w:tc>
      </w:tr>
      <w:tr w:rsidR="00227536"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Avoided GHG emissions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0.13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0.24</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0.27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0.13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0.24</w:t>
            </w:r>
          </w:p>
        </w:tc>
      </w:tr>
      <w:tr w:rsidR="00227536" w:rsidRPr="00227536"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227536" w:rsidRPr="00227536" w:rsidRDefault="00227536" w:rsidP="00227536">
            <w:pPr>
              <w:pStyle w:val="TableDataEntries"/>
              <w:jc w:val="left"/>
              <w:rPr>
                <w:rFonts w:ascii="Franklin Gothic Demi" w:hAnsi="Franklin Gothic Demi"/>
                <w:lang w:val="en-GB"/>
              </w:rPr>
            </w:pPr>
            <w:r w:rsidRPr="00227536">
              <w:rPr>
                <w:rFonts w:ascii="Franklin Gothic Demi" w:hAnsi="Franklin Gothic Demi"/>
                <w:lang w:val="en-GB"/>
              </w:rPr>
              <w:t>Net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 xml:space="preserve"> 12.52</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 xml:space="preserve"> 3.00</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 xml:space="preserve"> 2.81</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 xml:space="preserve"> 4.56</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 xml:space="preserve"> 8.31</w:t>
            </w:r>
          </w:p>
        </w:tc>
      </w:tr>
      <w:tr w:rsidR="00227536" w:rsidTr="00301B6D">
        <w:trPr>
          <w:trHeight w:val="230"/>
        </w:trPr>
        <w:tc>
          <w:tcPr>
            <w:tcW w:w="245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227536" w:rsidRDefault="00227536" w:rsidP="00227536">
            <w:pPr>
              <w:pStyle w:val="TableHeading1"/>
              <w:rPr>
                <w:lang w:val="en-GB"/>
              </w:rPr>
            </w:pPr>
            <w:r>
              <w:rPr>
                <w:lang w:val="en-GB"/>
              </w:rPr>
              <w:t>Retail</w:t>
            </w: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r>
      <w:tr w:rsidR="00227536" w:rsidTr="00F77AE9">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Bill savings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29.86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34.52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41.76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36.12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- 4.26</w:t>
            </w:r>
          </w:p>
        </w:tc>
      </w:tr>
      <w:tr w:rsidR="00227536" w:rsidTr="00F77AE9">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Bill savings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- 1.03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- 6.85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- 3.73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- 15.02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7.61</w:t>
            </w:r>
          </w:p>
        </w:tc>
      </w:tr>
      <w:tr w:rsidR="00227536" w:rsidTr="00D364DA">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Private costs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- 4.39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- 18.60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- 7.22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- 10.36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- 16.62</w:t>
            </w:r>
          </w:p>
        </w:tc>
      </w:tr>
      <w:tr w:rsidR="00227536" w:rsidRPr="00D364DA" w:rsidTr="00D364DA">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227536" w:rsidRPr="00D364DA" w:rsidRDefault="00227536" w:rsidP="00227536">
            <w:pPr>
              <w:pStyle w:val="TableDataEntries"/>
              <w:jc w:val="left"/>
              <w:rPr>
                <w:lang w:val="en-GB"/>
              </w:rPr>
            </w:pPr>
            <w:r w:rsidRPr="00D364DA">
              <w:rPr>
                <w:lang w:val="en-GB"/>
              </w:rPr>
              <w:t>Net private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 xml:space="preserve"> 24.45</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 xml:space="preserve"> 9.07</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 xml:space="preserve"> 30.81</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 xml:space="preserve"> 10.74</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- 13.26</w:t>
            </w:r>
          </w:p>
        </w:tc>
      </w:tr>
      <w:tr w:rsidR="00227536" w:rsidTr="00F77AE9">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Avoided GHG emissions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8.72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10.08</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12.20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10.55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- 1.24</w:t>
            </w:r>
          </w:p>
        </w:tc>
      </w:tr>
      <w:tr w:rsidR="00227536"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Avoided GHG emissions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- 0.14</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- 0.91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- 0.49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- 1.99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1.01</w:t>
            </w:r>
          </w:p>
        </w:tc>
      </w:tr>
      <w:tr w:rsidR="00227536" w:rsidRPr="00227536"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227536" w:rsidRPr="00227536" w:rsidRDefault="00227536" w:rsidP="00227536">
            <w:pPr>
              <w:pStyle w:val="TableDataEntries"/>
              <w:jc w:val="left"/>
              <w:rPr>
                <w:rFonts w:ascii="Franklin Gothic Demi" w:hAnsi="Franklin Gothic Demi"/>
                <w:lang w:val="en-GB"/>
              </w:rPr>
            </w:pPr>
            <w:r w:rsidRPr="00227536">
              <w:rPr>
                <w:rFonts w:ascii="Franklin Gothic Demi" w:hAnsi="Franklin Gothic Demi"/>
                <w:lang w:val="en-GB"/>
              </w:rPr>
              <w:t>Net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 xml:space="preserve"> 33.03</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 xml:space="preserve"> 18.25</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 xml:space="preserve"> 42.51</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 xml:space="preserve"> 19.30</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- 13.50</w:t>
            </w:r>
          </w:p>
        </w:tc>
      </w:tr>
      <w:tr w:rsidR="00227536" w:rsidTr="00301B6D">
        <w:trPr>
          <w:trHeight w:val="230"/>
        </w:trPr>
        <w:tc>
          <w:tcPr>
            <w:tcW w:w="245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227536" w:rsidRDefault="00227536" w:rsidP="00227536">
            <w:pPr>
              <w:pStyle w:val="TableHeading1"/>
              <w:rPr>
                <w:lang w:val="en-GB"/>
              </w:rPr>
            </w:pPr>
            <w:r>
              <w:rPr>
                <w:lang w:val="en-GB"/>
              </w:rPr>
              <w:t>Healthcare</w:t>
            </w: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r>
      <w:tr w:rsidR="00227536" w:rsidTr="00F77AE9">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Bill savings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17.92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13.26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12.57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7.16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14.32</w:t>
            </w:r>
          </w:p>
        </w:tc>
      </w:tr>
      <w:tr w:rsidR="00227536" w:rsidTr="00F77AE9">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Bill savings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- 0.18</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- 0.37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- 0.12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- 7.43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- 9.74</w:t>
            </w:r>
          </w:p>
        </w:tc>
      </w:tr>
      <w:tr w:rsidR="00227536" w:rsidTr="00D364DA">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Private costs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- 9.62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- 17.49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- 16.23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- 26.49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- 28.34</w:t>
            </w:r>
          </w:p>
        </w:tc>
      </w:tr>
      <w:tr w:rsidR="00227536" w:rsidRPr="00D364DA" w:rsidTr="00D364DA">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227536" w:rsidRPr="00D364DA" w:rsidRDefault="00227536" w:rsidP="00227536">
            <w:pPr>
              <w:pStyle w:val="TableDataEntries"/>
              <w:jc w:val="left"/>
              <w:rPr>
                <w:lang w:val="en-GB"/>
              </w:rPr>
            </w:pPr>
            <w:r w:rsidRPr="00D364DA">
              <w:rPr>
                <w:lang w:val="en-GB"/>
              </w:rPr>
              <w:t>Net private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 xml:space="preserve"> 8.12</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- 4.59</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- 3.77</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- 26.77</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- 23.76</w:t>
            </w:r>
          </w:p>
        </w:tc>
      </w:tr>
      <w:tr w:rsidR="00227536" w:rsidTr="00F77AE9">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Avoided GHG emissions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5.23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3.87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3.67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2.09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4.18</w:t>
            </w:r>
          </w:p>
        </w:tc>
      </w:tr>
      <w:tr w:rsidR="00227536"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Avoided GHG emissions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- 0.02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- 0.05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- 0.02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- 0.98</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- 1.29</w:t>
            </w:r>
          </w:p>
        </w:tc>
      </w:tr>
      <w:tr w:rsidR="00227536" w:rsidRPr="00227536"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227536" w:rsidRPr="00227536" w:rsidRDefault="00227536" w:rsidP="00227536">
            <w:pPr>
              <w:pStyle w:val="TableDataEntries"/>
              <w:jc w:val="left"/>
              <w:rPr>
                <w:rFonts w:ascii="Franklin Gothic Demi" w:hAnsi="Franklin Gothic Demi"/>
                <w:lang w:val="en-GB"/>
              </w:rPr>
            </w:pPr>
            <w:r w:rsidRPr="00227536">
              <w:rPr>
                <w:rFonts w:ascii="Franklin Gothic Demi" w:hAnsi="Franklin Gothic Demi"/>
                <w:lang w:val="en-GB"/>
              </w:rPr>
              <w:t>Net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 xml:space="preserve"> 13.33</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- 0.77</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- 0.11</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- 25.66</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- 20.86</w:t>
            </w:r>
          </w:p>
        </w:tc>
      </w:tr>
      <w:tr w:rsidR="00227536" w:rsidTr="00301B6D">
        <w:trPr>
          <w:trHeight w:val="230"/>
        </w:trPr>
        <w:tc>
          <w:tcPr>
            <w:tcW w:w="245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227536" w:rsidRDefault="00227536" w:rsidP="00227536">
            <w:pPr>
              <w:pStyle w:val="TableHeading1"/>
              <w:rPr>
                <w:lang w:val="en-GB"/>
              </w:rPr>
            </w:pPr>
            <w:r>
              <w:rPr>
                <w:lang w:val="en-GB"/>
              </w:rPr>
              <w:t>School</w:t>
            </w: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r>
      <w:tr w:rsidR="00227536"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Bill savings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49.07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28.00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20.57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22.87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35.50</w:t>
            </w:r>
          </w:p>
        </w:tc>
      </w:tr>
      <w:tr w:rsidR="00227536" w:rsidTr="00F77AE9">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Bill savings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- 2.55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8.30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4.68</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9.81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6.71</w:t>
            </w:r>
          </w:p>
        </w:tc>
      </w:tr>
      <w:tr w:rsidR="00227536" w:rsidTr="00D364DA">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Private costs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- 19.48</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- 17.65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- 18.10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- 7.71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- 8.72</w:t>
            </w:r>
          </w:p>
        </w:tc>
      </w:tr>
      <w:tr w:rsidR="00227536" w:rsidRPr="00D364DA" w:rsidTr="00D364DA">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227536" w:rsidRPr="00D364DA" w:rsidRDefault="00227536" w:rsidP="00227536">
            <w:pPr>
              <w:pStyle w:val="TableDataEntries"/>
              <w:jc w:val="left"/>
              <w:rPr>
                <w:lang w:val="en-GB"/>
              </w:rPr>
            </w:pPr>
            <w:r w:rsidRPr="00D364DA">
              <w:rPr>
                <w:lang w:val="en-GB"/>
              </w:rPr>
              <w:t>Net private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 xml:space="preserve"> 27.04</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 xml:space="preserve"> 18.64</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 xml:space="preserve"> 7.15</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 xml:space="preserve"> 24.97</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 xml:space="preserve"> 33.49</w:t>
            </w:r>
          </w:p>
        </w:tc>
      </w:tr>
      <w:tr w:rsidR="00227536" w:rsidTr="00F77AE9">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Avoided GHG emissions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14.33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8.18</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6.01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6.68</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10.37</w:t>
            </w:r>
          </w:p>
        </w:tc>
      </w:tr>
      <w:tr w:rsidR="00227536"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Avoided GHG emissions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- 0.34</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1.10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0.62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1.30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0.89</w:t>
            </w:r>
          </w:p>
        </w:tc>
      </w:tr>
      <w:tr w:rsidR="00227536" w:rsidRPr="00227536" w:rsidTr="00301B6D">
        <w:trPr>
          <w:trHeight w:val="230"/>
        </w:trPr>
        <w:tc>
          <w:tcPr>
            <w:tcW w:w="2456"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rsidR="00227536" w:rsidRPr="00227536" w:rsidRDefault="00227536" w:rsidP="00227536">
            <w:pPr>
              <w:pStyle w:val="TableDataEntries"/>
              <w:jc w:val="left"/>
              <w:rPr>
                <w:rFonts w:ascii="Franklin Gothic Demi" w:hAnsi="Franklin Gothic Demi"/>
                <w:lang w:val="en-GB"/>
              </w:rPr>
            </w:pPr>
            <w:r w:rsidRPr="00227536">
              <w:rPr>
                <w:rFonts w:ascii="Franklin Gothic Demi" w:hAnsi="Franklin Gothic Demi"/>
                <w:lang w:val="en-GB"/>
              </w:rPr>
              <w:t>Net benefit/cost</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n.a.</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 xml:space="preserve"> 41.03</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n.a.</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 xml:space="preserve"> 27.92</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 xml:space="preserve"> 13.78</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 xml:space="preserve"> 32.95</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 xml:space="preserve"> 44.75</w:t>
            </w:r>
          </w:p>
        </w:tc>
      </w:tr>
    </w:tbl>
    <w:p w:rsidR="00612FD3" w:rsidRDefault="00612FD3" w:rsidP="00612FD3">
      <w:pPr>
        <w:pStyle w:val="Note"/>
        <w:rPr>
          <w:lang w:bidi="fa-IR"/>
        </w:rPr>
      </w:pPr>
      <w:r w:rsidRPr="007D1B4F">
        <w:rPr>
          <w:i/>
        </w:rPr>
        <w:t>Note:</w:t>
      </w:r>
      <w:r w:rsidRPr="00E879B8">
        <w:t xml:space="preserve"> </w:t>
      </w:r>
      <w:r>
        <w:t>Costs and benefits are estimated over the assumed 40 year life of the building, using a discount rate of 7 per cent.</w:t>
      </w:r>
    </w:p>
    <w:p w:rsidR="00612FD3" w:rsidRDefault="00612FD3" w:rsidP="00612FD3">
      <w:pPr>
        <w:pStyle w:val="Source"/>
        <w:rPr>
          <w:lang w:bidi="fa-IR"/>
        </w:rPr>
      </w:pPr>
      <w:r w:rsidRPr="00C6138D">
        <w:rPr>
          <w:i/>
          <w:lang w:bidi="fa-IR"/>
        </w:rPr>
        <w:t>Source:</w:t>
      </w:r>
      <w:r>
        <w:rPr>
          <w:lang w:bidi="fa-IR"/>
        </w:rPr>
        <w:t xml:space="preserve"> CIE based on </w:t>
      </w:r>
      <w:r w:rsidR="00EB5964">
        <w:rPr>
          <w:lang w:bidi="fa-IR"/>
        </w:rPr>
        <w:t>EA</w:t>
      </w:r>
      <w:r>
        <w:rPr>
          <w:lang w:bidi="fa-IR"/>
        </w:rPr>
        <w:t xml:space="preserve"> modelling.</w:t>
      </w:r>
    </w:p>
    <w:p w:rsidR="00612FD3" w:rsidRDefault="00612FD3" w:rsidP="00612FD3">
      <w:pPr>
        <w:pStyle w:val="Caption"/>
      </w:pPr>
      <w:r w:rsidRPr="00227536">
        <w:fldChar w:fldCharType="begin"/>
      </w:r>
      <w:r w:rsidRPr="00227536">
        <w:instrText xml:space="preserve"> IF 1 = 1 "</w:instrText>
      </w:r>
      <w:r w:rsidRPr="00227536">
        <w:fldChar w:fldCharType="begin"/>
      </w:r>
      <w:r w:rsidRPr="00227536">
        <w:instrText xml:space="preserve"> IF </w:instrText>
      </w:r>
      <w:r w:rsidRPr="00227536">
        <w:rPr>
          <w:noProof/>
        </w:rPr>
        <w:fldChar w:fldCharType="begin"/>
      </w:r>
      <w:r w:rsidRPr="00227536">
        <w:rPr>
          <w:noProof/>
        </w:rPr>
        <w:instrText xml:space="preserve"> STYLEREF "Heading 6" \l \n </w:instrText>
      </w:r>
      <w:r w:rsidRPr="00227536">
        <w:rPr>
          <w:noProof/>
        </w:rPr>
        <w:fldChar w:fldCharType="separate"/>
      </w:r>
      <w:r w:rsidR="00B833F1">
        <w:rPr>
          <w:noProof/>
        </w:rPr>
        <w:instrText>I</w:instrText>
      </w:r>
      <w:r w:rsidRPr="00227536">
        <w:rPr>
          <w:noProof/>
        </w:rPr>
        <w:fldChar w:fldCharType="end"/>
      </w:r>
      <w:r w:rsidRPr="00227536">
        <w:instrText xml:space="preserve"> = 0 "</w:instrText>
      </w:r>
      <w:r w:rsidRPr="00227536">
        <w:fldChar w:fldCharType="begin"/>
      </w:r>
      <w:r w:rsidRPr="00227536">
        <w:instrText xml:space="preserve"> IF </w:instrText>
      </w:r>
      <w:r w:rsidRPr="00227536">
        <w:rPr>
          <w:noProof/>
        </w:rPr>
        <w:fldChar w:fldCharType="begin"/>
      </w:r>
      <w:r w:rsidRPr="00227536">
        <w:rPr>
          <w:noProof/>
        </w:rPr>
        <w:instrText xml:space="preserve"> STYLEREF "Heading 1" \l \n </w:instrText>
      </w:r>
      <w:r w:rsidRPr="00227536">
        <w:rPr>
          <w:noProof/>
        </w:rPr>
        <w:fldChar w:fldCharType="separate"/>
      </w:r>
      <w:r w:rsidRPr="00227536">
        <w:rPr>
          <w:noProof/>
        </w:rPr>
        <w:instrText>1</w:instrText>
      </w:r>
      <w:r w:rsidRPr="00227536">
        <w:rPr>
          <w:noProof/>
        </w:rPr>
        <w:fldChar w:fldCharType="end"/>
      </w:r>
      <w:r w:rsidRPr="00227536">
        <w:instrText xml:space="preserve"> = 0 "" "</w:instrText>
      </w:r>
      <w:r w:rsidRPr="00227536">
        <w:rPr>
          <w:noProof/>
        </w:rPr>
        <w:fldChar w:fldCharType="begin"/>
      </w:r>
      <w:r w:rsidRPr="00227536">
        <w:rPr>
          <w:noProof/>
        </w:rPr>
        <w:instrText xml:space="preserve"> STYLEREF "Heading 1" \l \n </w:instrText>
      </w:r>
      <w:r w:rsidRPr="00227536">
        <w:rPr>
          <w:noProof/>
        </w:rPr>
        <w:fldChar w:fldCharType="separate"/>
      </w:r>
      <w:r w:rsidRPr="00227536">
        <w:rPr>
          <w:noProof/>
        </w:rPr>
        <w:instrText>1</w:instrText>
      </w:r>
      <w:r w:rsidRPr="00227536">
        <w:rPr>
          <w:noProof/>
        </w:rPr>
        <w:fldChar w:fldCharType="end"/>
      </w:r>
      <w:r w:rsidRPr="00227536">
        <w:instrText xml:space="preserve">." </w:instrText>
      </w:r>
      <w:r w:rsidRPr="00227536">
        <w:fldChar w:fldCharType="separate"/>
      </w:r>
      <w:r w:rsidRPr="00227536">
        <w:rPr>
          <w:noProof/>
        </w:rPr>
        <w:instrText>1.</w:instrText>
      </w:r>
      <w:r w:rsidRPr="00227536">
        <w:fldChar w:fldCharType="end"/>
      </w:r>
      <w:r w:rsidRPr="00227536">
        <w:instrText>" "</w:instrText>
      </w:r>
      <w:r w:rsidRPr="00227536">
        <w:rPr>
          <w:noProof/>
        </w:rPr>
        <w:fldChar w:fldCharType="begin"/>
      </w:r>
      <w:r w:rsidRPr="00227536">
        <w:rPr>
          <w:noProof/>
        </w:rPr>
        <w:instrText xml:space="preserve"> STYLEREF "Heading 6" \l \n </w:instrText>
      </w:r>
      <w:r w:rsidRPr="00227536">
        <w:rPr>
          <w:noProof/>
        </w:rPr>
        <w:fldChar w:fldCharType="separate"/>
      </w:r>
      <w:r w:rsidR="00B833F1">
        <w:rPr>
          <w:noProof/>
        </w:rPr>
        <w:instrText>I</w:instrText>
      </w:r>
      <w:r w:rsidRPr="00227536">
        <w:rPr>
          <w:noProof/>
        </w:rPr>
        <w:fldChar w:fldCharType="end"/>
      </w:r>
      <w:r w:rsidRPr="00227536">
        <w:instrText xml:space="preserve">." </w:instrText>
      </w:r>
      <w:r w:rsidRPr="00227536">
        <w:fldChar w:fldCharType="separate"/>
      </w:r>
      <w:r w:rsidR="00B833F1">
        <w:rPr>
          <w:noProof/>
        </w:rPr>
        <w:instrText>I</w:instrText>
      </w:r>
      <w:r w:rsidR="00B833F1" w:rsidRPr="00227536">
        <w:rPr>
          <w:noProof/>
        </w:rPr>
        <w:instrText>.</w:instrText>
      </w:r>
      <w:r w:rsidRPr="00227536">
        <w:fldChar w:fldCharType="end"/>
      </w:r>
      <w:r w:rsidRPr="00227536">
        <w:fldChar w:fldCharType="begin"/>
      </w:r>
      <w:r w:rsidRPr="00227536">
        <w:instrText xml:space="preserve"> SEQ Item \* ARABIC \s </w:instrText>
      </w:r>
      <w:r w:rsidRPr="00227536">
        <w:fldChar w:fldCharType="begin"/>
      </w:r>
      <w:r w:rsidRPr="00227536">
        <w:instrText xml:space="preserve"> IF </w:instrText>
      </w:r>
      <w:r w:rsidRPr="00227536">
        <w:rPr>
          <w:noProof/>
        </w:rPr>
        <w:fldChar w:fldCharType="begin"/>
      </w:r>
      <w:r w:rsidRPr="00227536">
        <w:rPr>
          <w:noProof/>
        </w:rPr>
        <w:instrText xml:space="preserve"> STYLEREF "Heading 6" \l \n </w:instrText>
      </w:r>
      <w:r w:rsidRPr="00227536">
        <w:rPr>
          <w:noProof/>
        </w:rPr>
        <w:fldChar w:fldCharType="separate"/>
      </w:r>
      <w:r w:rsidR="00B833F1">
        <w:rPr>
          <w:noProof/>
        </w:rPr>
        <w:instrText>I</w:instrText>
      </w:r>
      <w:r w:rsidRPr="00227536">
        <w:rPr>
          <w:noProof/>
        </w:rPr>
        <w:fldChar w:fldCharType="end"/>
      </w:r>
      <w:r w:rsidRPr="00227536">
        <w:instrText xml:space="preserve"> = 0 "</w:instrText>
      </w:r>
      <w:r w:rsidRPr="00227536">
        <w:fldChar w:fldCharType="begin"/>
      </w:r>
      <w:r w:rsidRPr="00227536">
        <w:instrText xml:space="preserve"> IF </w:instrText>
      </w:r>
      <w:r w:rsidRPr="00227536">
        <w:rPr>
          <w:noProof/>
        </w:rPr>
        <w:fldChar w:fldCharType="begin"/>
      </w:r>
      <w:r w:rsidRPr="00227536">
        <w:rPr>
          <w:noProof/>
        </w:rPr>
        <w:instrText xml:space="preserve"> STYLEREF "Heading 1" \l \n </w:instrText>
      </w:r>
      <w:r w:rsidRPr="00227536">
        <w:rPr>
          <w:noProof/>
        </w:rPr>
        <w:fldChar w:fldCharType="separate"/>
      </w:r>
      <w:r w:rsidRPr="00227536">
        <w:rPr>
          <w:noProof/>
        </w:rPr>
        <w:instrText>1</w:instrText>
      </w:r>
      <w:r w:rsidRPr="00227536">
        <w:rPr>
          <w:noProof/>
        </w:rPr>
        <w:fldChar w:fldCharType="end"/>
      </w:r>
      <w:r w:rsidRPr="00227536">
        <w:instrText xml:space="preserve"> = 0 "" "1" </w:instrText>
      </w:r>
      <w:r w:rsidRPr="00227536">
        <w:fldChar w:fldCharType="separate"/>
      </w:r>
      <w:r w:rsidRPr="00227536">
        <w:rPr>
          <w:noProof/>
        </w:rPr>
        <w:instrText>1</w:instrText>
      </w:r>
      <w:r w:rsidRPr="00227536">
        <w:fldChar w:fldCharType="end"/>
      </w:r>
      <w:r w:rsidRPr="00227536">
        <w:instrText xml:space="preserve">" "6" </w:instrText>
      </w:r>
      <w:r w:rsidRPr="00227536">
        <w:fldChar w:fldCharType="separate"/>
      </w:r>
      <w:r w:rsidR="00B833F1" w:rsidRPr="00227536">
        <w:rPr>
          <w:noProof/>
        </w:rPr>
        <w:instrText>6</w:instrText>
      </w:r>
      <w:r w:rsidRPr="00227536">
        <w:fldChar w:fldCharType="end"/>
      </w:r>
      <w:r w:rsidRPr="00227536">
        <w:instrText xml:space="preserve"> </w:instrText>
      </w:r>
      <w:r w:rsidRPr="00227536">
        <w:fldChar w:fldCharType="separate"/>
      </w:r>
      <w:r w:rsidR="00B833F1">
        <w:rPr>
          <w:noProof/>
        </w:rPr>
        <w:instrText>2</w:instrText>
      </w:r>
      <w:r w:rsidRPr="00227536">
        <w:fldChar w:fldCharType="end"/>
      </w:r>
      <w:r w:rsidRPr="00227536">
        <w:instrText xml:space="preserve">" "" </w:instrText>
      </w:r>
      <w:r w:rsidRPr="00227536">
        <w:fldChar w:fldCharType="separate"/>
      </w:r>
      <w:bookmarkStart w:id="9058" w:name="_Caption6854"/>
      <w:bookmarkStart w:id="9059" w:name="_Caption7683"/>
      <w:bookmarkStart w:id="9060" w:name="_Caption1995"/>
      <w:bookmarkStart w:id="9061" w:name="_Caption7862"/>
      <w:bookmarkStart w:id="9062" w:name="_Caption0527"/>
      <w:bookmarkStart w:id="9063" w:name="_Caption8470"/>
      <w:bookmarkStart w:id="9064" w:name="_Caption9325"/>
      <w:bookmarkStart w:id="9065" w:name="_Caption2969"/>
      <w:bookmarkStart w:id="9066" w:name="_Caption5030"/>
      <w:bookmarkStart w:id="9067" w:name="_Caption8875"/>
      <w:bookmarkStart w:id="9068" w:name="_Caption7522"/>
      <w:bookmarkStart w:id="9069" w:name="_Caption0852"/>
      <w:bookmarkStart w:id="9070" w:name="_Caption0513"/>
      <w:bookmarkStart w:id="9071" w:name="_Caption1143"/>
      <w:bookmarkStart w:id="9072" w:name="_Caption1179"/>
      <w:bookmarkStart w:id="9073" w:name="_Caption8384"/>
      <w:bookmarkStart w:id="9074" w:name="_Caption1487"/>
      <w:bookmarkStart w:id="9075" w:name="_Caption4981"/>
      <w:bookmarkStart w:id="9076" w:name="_Caption7955"/>
      <w:bookmarkStart w:id="9077" w:name="_Caption7479"/>
      <w:bookmarkStart w:id="9078" w:name="_Caption6497"/>
      <w:bookmarkStart w:id="9079" w:name="_Caption5252"/>
      <w:bookmarkStart w:id="9080" w:name="_Caption3218"/>
      <w:bookmarkStart w:id="9081" w:name="_Caption3910"/>
      <w:bookmarkStart w:id="9082" w:name="_Caption2162"/>
      <w:bookmarkStart w:id="9083" w:name="_Caption7401"/>
      <w:bookmarkStart w:id="9084" w:name="_Caption4643"/>
      <w:bookmarkStart w:id="9085" w:name="_Caption9550"/>
      <w:bookmarkStart w:id="9086" w:name="_Caption4365"/>
      <w:bookmarkStart w:id="9087" w:name="_Caption9134"/>
      <w:bookmarkStart w:id="9088" w:name="_Caption3946"/>
      <w:bookmarkStart w:id="9089" w:name="_Caption9667"/>
      <w:bookmarkStart w:id="9090" w:name="_Caption8394"/>
      <w:bookmarkStart w:id="9091" w:name="_Caption3857"/>
      <w:bookmarkStart w:id="9092" w:name="_Caption2170"/>
      <w:bookmarkStart w:id="9093" w:name="_Caption2803"/>
      <w:bookmarkStart w:id="9094" w:name="_Caption8302"/>
      <w:bookmarkStart w:id="9095" w:name="_Caption8339"/>
      <w:bookmarkStart w:id="9096" w:name="_Caption0928"/>
      <w:bookmarkStart w:id="9097" w:name="_Caption1418"/>
      <w:bookmarkStart w:id="9098" w:name="_Caption9223"/>
      <w:bookmarkStart w:id="9099" w:name="_Caption6693"/>
      <w:bookmarkStart w:id="9100" w:name="_Caption3839"/>
      <w:bookmarkStart w:id="9101" w:name="_Caption0343"/>
      <w:bookmarkStart w:id="9102" w:name="_Caption3051"/>
      <w:bookmarkStart w:id="9103" w:name="_Caption9087"/>
      <w:bookmarkStart w:id="9104" w:name="_Caption2096"/>
      <w:bookmarkStart w:id="9105" w:name="_Caption0501"/>
      <w:bookmarkStart w:id="9106" w:name="_Caption6208"/>
      <w:bookmarkStart w:id="9107" w:name="_Caption0952"/>
      <w:bookmarkStart w:id="9108" w:name="_Caption9153"/>
      <w:bookmarkStart w:id="9109" w:name="_Caption8814"/>
      <w:bookmarkStart w:id="9110" w:name="_Caption1978"/>
      <w:bookmarkStart w:id="9111" w:name="_Caption5879"/>
      <w:bookmarkStart w:id="9112" w:name="_Caption6123"/>
      <w:bookmarkStart w:id="9113" w:name="_Caption2538"/>
      <w:bookmarkStart w:id="9114" w:name="_Caption3555"/>
      <w:bookmarkStart w:id="9115" w:name="_Caption6852"/>
      <w:bookmarkStart w:id="9116" w:name="_Caption1573"/>
      <w:bookmarkStart w:id="9117" w:name="_Caption1106"/>
      <w:bookmarkStart w:id="9118" w:name="_Caption2587"/>
      <w:bookmarkStart w:id="9119" w:name="_Caption1783"/>
      <w:bookmarkStart w:id="9120" w:name="_Caption0201"/>
      <w:bookmarkStart w:id="9121" w:name="_Caption9815"/>
      <w:bookmarkStart w:id="9122" w:name="_Caption6889"/>
      <w:bookmarkStart w:id="9123" w:name="_Caption0555"/>
      <w:bookmarkStart w:id="9124" w:name="_Caption9050"/>
      <w:bookmarkStart w:id="9125" w:name="_Toc529870016"/>
      <w:bookmarkStart w:id="9126" w:name="_Toc530748512"/>
      <w:r w:rsidR="00EA42ED">
        <w:rPr>
          <w:noProof/>
        </w:rPr>
        <w:t>I</w:t>
      </w:r>
      <w:r w:rsidR="00EA42ED" w:rsidRPr="00227536">
        <w:rPr>
          <w:noProof/>
        </w:rPr>
        <w:t>.</w:t>
      </w:r>
      <w:r w:rsidR="00EA42ED">
        <w:rPr>
          <w:noProof/>
        </w:rPr>
        <w:t>2</w:t>
      </w:r>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bookmarkEnd w:id="9123"/>
      <w:bookmarkEnd w:id="9124"/>
      <w:r w:rsidRPr="00227536">
        <w:fldChar w:fldCharType="end"/>
      </w:r>
      <w:r w:rsidRPr="00227536">
        <w:tab/>
        <w:t>Net benefits to New South Wales — medium realisation scenario</w:t>
      </w:r>
      <w:bookmarkEnd w:id="9125"/>
      <w:bookmarkEnd w:id="9126"/>
    </w:p>
    <w:tbl>
      <w:tblPr>
        <w:tblW w:w="7937" w:type="dxa"/>
        <w:tblLayout w:type="fixed"/>
        <w:tblLook w:val="0000" w:firstRow="0" w:lastRow="0" w:firstColumn="0" w:lastColumn="0" w:noHBand="0" w:noVBand="0"/>
        <w:tblCaption w:val="Table I.2: Net benefits to New South Wales - medium realisation scenario"/>
        <w:tblDescription w:val="This table shows the net benefits under a medium realisation scenario of the proposed changes to NCC 2019 in New South Wales. "/>
      </w:tblPr>
      <w:tblGrid>
        <w:gridCol w:w="2456"/>
        <w:gridCol w:w="783"/>
        <w:gridCol w:w="783"/>
        <w:gridCol w:w="783"/>
        <w:gridCol w:w="783"/>
        <w:gridCol w:w="783"/>
        <w:gridCol w:w="783"/>
        <w:gridCol w:w="783"/>
      </w:tblGrid>
      <w:tr w:rsidR="00612FD3" w:rsidTr="00301B6D">
        <w:trPr>
          <w:trHeight w:val="230"/>
          <w:tblHeader/>
        </w:trPr>
        <w:tc>
          <w:tcPr>
            <w:tcW w:w="2456" w:type="dxa"/>
            <w:shd w:val="clear" w:color="auto" w:fill="6F6652"/>
            <w:tcMar>
              <w:left w:w="57" w:type="dxa"/>
              <w:right w:w="57" w:type="dxa"/>
            </w:tcMar>
          </w:tcPr>
          <w:p w:rsidR="00612FD3" w:rsidRDefault="00612FD3" w:rsidP="00301B6D">
            <w:pPr>
              <w:pStyle w:val="TableDataColumnHeading"/>
              <w:jc w:val="left"/>
              <w:rPr>
                <w:lang w:val="en-GB"/>
              </w:rPr>
            </w:pP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CZ1</w:t>
            </w: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CZ2</w:t>
            </w: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CZ3</w:t>
            </w: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CZ4</w:t>
            </w: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CZ5</w:t>
            </w: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CZ6</w:t>
            </w: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CZ7</w:t>
            </w:r>
          </w:p>
        </w:tc>
      </w:tr>
      <w:tr w:rsidR="00612FD3" w:rsidTr="00301B6D">
        <w:trPr>
          <w:trHeight w:val="230"/>
          <w:tblHeader/>
        </w:trPr>
        <w:tc>
          <w:tcPr>
            <w:tcW w:w="2456"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jc w:val="left"/>
              <w:rPr>
                <w:lang w:val="en-GB"/>
              </w:rPr>
            </w:pP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r>
      <w:tr w:rsidR="00612FD3" w:rsidTr="00301B6D">
        <w:trPr>
          <w:trHeight w:val="230"/>
        </w:trPr>
        <w:tc>
          <w:tcPr>
            <w:tcW w:w="245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r>
              <w:rPr>
                <w:lang w:val="en-GB"/>
              </w:rPr>
              <w:t>Hotels</w:t>
            </w: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r>
      <w:tr w:rsidR="00227536" w:rsidTr="00817952">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Bill savings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51.71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41.63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43.21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43.80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40.96</w:t>
            </w:r>
          </w:p>
        </w:tc>
      </w:tr>
      <w:tr w:rsidR="00227536" w:rsidTr="00817952">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Bill savings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0.86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4.08</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0.12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2.89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2.99</w:t>
            </w:r>
          </w:p>
        </w:tc>
      </w:tr>
      <w:tr w:rsidR="00227536" w:rsidTr="00D364DA">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Private costs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- 1.77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1.10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- 4.98</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0.77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12.65</w:t>
            </w:r>
          </w:p>
        </w:tc>
      </w:tr>
      <w:tr w:rsidR="00227536" w:rsidRPr="00D364DA" w:rsidTr="00D364DA">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227536" w:rsidRPr="00D364DA" w:rsidRDefault="00227536" w:rsidP="00227536">
            <w:pPr>
              <w:pStyle w:val="TableDataEntries"/>
              <w:jc w:val="left"/>
              <w:rPr>
                <w:lang w:val="en-GB"/>
              </w:rPr>
            </w:pPr>
            <w:r w:rsidRPr="00D364DA">
              <w:rPr>
                <w:lang w:val="en-GB"/>
              </w:rPr>
              <w:t>Net private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 xml:space="preserve"> 50.80</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 xml:space="preserve"> 46.80</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 xml:space="preserve"> 38.35</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 xml:space="preserve"> 47.45</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 xml:space="preserve"> 56.61</w:t>
            </w:r>
          </w:p>
        </w:tc>
      </w:tr>
      <w:tr w:rsidR="00227536" w:rsidTr="00817952">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Avoided GHG emissions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15.10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12.16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12.62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12.79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11.96</w:t>
            </w:r>
          </w:p>
        </w:tc>
      </w:tr>
      <w:tr w:rsidR="00227536"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Avoided GHG emissions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0.11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0.54</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0.02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0.38</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0.40</w:t>
            </w:r>
          </w:p>
        </w:tc>
      </w:tr>
      <w:tr w:rsidR="00227536" w:rsidRPr="00227536"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227536" w:rsidRPr="00227536" w:rsidRDefault="00227536" w:rsidP="00227536">
            <w:pPr>
              <w:pStyle w:val="TableDataEntries"/>
              <w:jc w:val="left"/>
              <w:rPr>
                <w:rFonts w:ascii="Franklin Gothic Demi" w:hAnsi="Franklin Gothic Demi"/>
                <w:lang w:val="en-GB"/>
              </w:rPr>
            </w:pPr>
            <w:r w:rsidRPr="00227536">
              <w:rPr>
                <w:rFonts w:ascii="Franklin Gothic Demi" w:hAnsi="Franklin Gothic Demi"/>
                <w:lang w:val="en-GB"/>
              </w:rPr>
              <w:t>Net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 xml:space="preserve"> 66.02</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 xml:space="preserve"> 59.50</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 xml:space="preserve"> 50.98</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 xml:space="preserve"> 60.63</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 xml:space="preserve"> 68.97</w:t>
            </w:r>
          </w:p>
        </w:tc>
      </w:tr>
      <w:tr w:rsidR="00227536" w:rsidTr="00301B6D">
        <w:trPr>
          <w:trHeight w:val="230"/>
        </w:trPr>
        <w:tc>
          <w:tcPr>
            <w:tcW w:w="245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227536" w:rsidRDefault="00227536" w:rsidP="00227536">
            <w:pPr>
              <w:pStyle w:val="TableHeading1"/>
              <w:rPr>
                <w:lang w:val="en-GB"/>
              </w:rPr>
            </w:pPr>
            <w:r>
              <w:rPr>
                <w:lang w:val="en-GB"/>
              </w:rPr>
              <w:t>Office building</w:t>
            </w: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r>
      <w:tr w:rsidR="00227536" w:rsidTr="00817952">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Bill savings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16.32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9.35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13.45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10.17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9.24</w:t>
            </w:r>
          </w:p>
        </w:tc>
      </w:tr>
      <w:tr w:rsidR="00227536" w:rsidTr="00817952">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Bill savings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1.42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2.73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3.02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1.46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2.74</w:t>
            </w:r>
          </w:p>
        </w:tc>
      </w:tr>
      <w:tr w:rsidR="00227536" w:rsidTr="00D364DA">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Private costs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- 2.61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- 7.12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- 11.05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- 5.29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- 1.72</w:t>
            </w:r>
          </w:p>
        </w:tc>
      </w:tr>
      <w:tr w:rsidR="00227536" w:rsidRPr="00D364DA" w:rsidTr="00D364DA">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227536" w:rsidRPr="00D364DA" w:rsidRDefault="00227536" w:rsidP="00227536">
            <w:pPr>
              <w:pStyle w:val="TableDataEntries"/>
              <w:jc w:val="left"/>
              <w:rPr>
                <w:lang w:val="en-GB"/>
              </w:rPr>
            </w:pPr>
            <w:r w:rsidRPr="00D364DA">
              <w:rPr>
                <w:lang w:val="en-GB"/>
              </w:rPr>
              <w:t>Net private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 xml:space="preserve"> 15.13</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 xml:space="preserve"> 4.97</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 xml:space="preserve"> 5.42</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 xml:space="preserve"> 6.33</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 xml:space="preserve"> 10.26</w:t>
            </w:r>
          </w:p>
        </w:tc>
      </w:tr>
      <w:tr w:rsidR="00227536"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Avoided GHG emissions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4.77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2.73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3.93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2.97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2.70</w:t>
            </w:r>
          </w:p>
        </w:tc>
      </w:tr>
      <w:tr w:rsidR="00227536"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Avoided GHG emissions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0.19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0.36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0.40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0.19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0.36</w:t>
            </w:r>
          </w:p>
        </w:tc>
      </w:tr>
      <w:tr w:rsidR="00227536" w:rsidRPr="00227536"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227536" w:rsidRPr="00227536" w:rsidRDefault="00227536" w:rsidP="00227536">
            <w:pPr>
              <w:pStyle w:val="TableDataEntries"/>
              <w:jc w:val="left"/>
              <w:rPr>
                <w:rFonts w:ascii="Franklin Gothic Demi" w:hAnsi="Franklin Gothic Demi"/>
                <w:lang w:val="en-GB"/>
              </w:rPr>
            </w:pPr>
            <w:r w:rsidRPr="00227536">
              <w:rPr>
                <w:rFonts w:ascii="Franklin Gothic Demi" w:hAnsi="Franklin Gothic Demi"/>
                <w:lang w:val="en-GB"/>
              </w:rPr>
              <w:t>Net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 xml:space="preserve"> 20.09</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 xml:space="preserve"> 8.06</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 xml:space="preserve"> 9.74</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 xml:space="preserve"> 9.49</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 xml:space="preserve"> 13.32</w:t>
            </w:r>
          </w:p>
        </w:tc>
      </w:tr>
      <w:tr w:rsidR="00227536" w:rsidTr="00817952">
        <w:trPr>
          <w:trHeight w:val="230"/>
        </w:trPr>
        <w:tc>
          <w:tcPr>
            <w:tcW w:w="245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227536" w:rsidRDefault="00227536" w:rsidP="00227536">
            <w:pPr>
              <w:pStyle w:val="TableHeading1"/>
              <w:rPr>
                <w:lang w:val="en-GB"/>
              </w:rPr>
            </w:pPr>
            <w:r>
              <w:rPr>
                <w:lang w:val="en-GB"/>
              </w:rPr>
              <w:t>Retail</w:t>
            </w: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r>
      <w:tr w:rsidR="00227536" w:rsidTr="00817952">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Bill savings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44.80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51.78</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62.65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54.17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- 6.38</w:t>
            </w:r>
          </w:p>
        </w:tc>
      </w:tr>
      <w:tr w:rsidR="00227536" w:rsidTr="00817952">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Bill savings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- 1.55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- 10.27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- 5.60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- 22.53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11.41</w:t>
            </w:r>
          </w:p>
        </w:tc>
      </w:tr>
      <w:tr w:rsidR="00227536" w:rsidTr="00D364DA">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Private costs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- 4.39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- 18.60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- 7.22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- 10.36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- 16.62</w:t>
            </w:r>
          </w:p>
        </w:tc>
      </w:tr>
      <w:tr w:rsidR="00227536" w:rsidRPr="00D364DA" w:rsidTr="00D364DA">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227536" w:rsidRPr="00D364DA" w:rsidRDefault="00227536" w:rsidP="00227536">
            <w:pPr>
              <w:pStyle w:val="TableDataEntries"/>
              <w:jc w:val="left"/>
              <w:rPr>
                <w:lang w:val="en-GB"/>
              </w:rPr>
            </w:pPr>
            <w:r w:rsidRPr="00D364DA">
              <w:rPr>
                <w:lang w:val="en-GB"/>
              </w:rPr>
              <w:t>Net private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 xml:space="preserve"> 38.86</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 xml:space="preserve"> 22.91</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 xml:space="preserve"> 49.83</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 xml:space="preserve"> 21.29</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- 11.59</w:t>
            </w:r>
          </w:p>
        </w:tc>
      </w:tr>
      <w:tr w:rsidR="00227536" w:rsidTr="00817952">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Avoided GHG emissions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13.08</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15.12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18.30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15.82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- 1.86</w:t>
            </w:r>
          </w:p>
        </w:tc>
      </w:tr>
      <w:tr w:rsidR="00227536"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Avoided GHG emissions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- 0.21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- 1.36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- 0.74</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- 2.98</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1.51</w:t>
            </w:r>
          </w:p>
        </w:tc>
      </w:tr>
      <w:tr w:rsidR="00227536" w:rsidRPr="00227536"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227536" w:rsidRPr="00227536" w:rsidRDefault="00227536" w:rsidP="00227536">
            <w:pPr>
              <w:pStyle w:val="TableDataEntries"/>
              <w:jc w:val="left"/>
              <w:rPr>
                <w:rFonts w:ascii="Franklin Gothic Demi" w:hAnsi="Franklin Gothic Demi"/>
                <w:lang w:val="en-GB"/>
              </w:rPr>
            </w:pPr>
            <w:r w:rsidRPr="00227536">
              <w:rPr>
                <w:rFonts w:ascii="Franklin Gothic Demi" w:hAnsi="Franklin Gothic Demi"/>
                <w:lang w:val="en-GB"/>
              </w:rPr>
              <w:t>Net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 xml:space="preserve"> 51.74</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 xml:space="preserve"> 36.67</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 xml:space="preserve"> 67.38</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 xml:space="preserve"> 34.13</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- 11.94</w:t>
            </w:r>
          </w:p>
        </w:tc>
      </w:tr>
      <w:tr w:rsidR="00227536" w:rsidTr="00301B6D">
        <w:trPr>
          <w:trHeight w:val="230"/>
        </w:trPr>
        <w:tc>
          <w:tcPr>
            <w:tcW w:w="245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227536" w:rsidRDefault="00227536" w:rsidP="00227536">
            <w:pPr>
              <w:pStyle w:val="TableHeading1"/>
              <w:rPr>
                <w:lang w:val="en-GB"/>
              </w:rPr>
            </w:pPr>
            <w:r>
              <w:rPr>
                <w:lang w:val="en-GB"/>
              </w:rPr>
              <w:t>Healthcare</w:t>
            </w: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r>
      <w:tr w:rsidR="00227536" w:rsidTr="00817952">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Bill savings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26.88</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19.90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18.86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10.73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21.49</w:t>
            </w:r>
          </w:p>
        </w:tc>
      </w:tr>
      <w:tr w:rsidR="00227536" w:rsidTr="00817952">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Bill savings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- 0.27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- 0.56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- 0.18</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- 11.15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- 14.62</w:t>
            </w:r>
          </w:p>
        </w:tc>
      </w:tr>
      <w:tr w:rsidR="00227536" w:rsidTr="00D364DA">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Private costs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- 9.62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- 17.49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- 16.23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- 26.49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- 28.34</w:t>
            </w:r>
          </w:p>
        </w:tc>
      </w:tr>
      <w:tr w:rsidR="00227536" w:rsidRPr="00D364DA" w:rsidTr="00D364DA">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227536" w:rsidRPr="00D364DA" w:rsidRDefault="00227536" w:rsidP="00227536">
            <w:pPr>
              <w:pStyle w:val="TableDataEntries"/>
              <w:jc w:val="left"/>
              <w:rPr>
                <w:lang w:val="en-GB"/>
              </w:rPr>
            </w:pPr>
            <w:r w:rsidRPr="00D364DA">
              <w:rPr>
                <w:lang w:val="en-GB"/>
              </w:rPr>
              <w:t>Net private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 xml:space="preserve"> 16.98</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 xml:space="preserve"> 1.86</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 xml:space="preserve"> 2.46</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- 26.90</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- 21.47</w:t>
            </w:r>
          </w:p>
        </w:tc>
      </w:tr>
      <w:tr w:rsidR="00227536" w:rsidTr="00817952">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Avoided GHG emissions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7.85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5.81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5.51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3.13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6.28</w:t>
            </w:r>
          </w:p>
        </w:tc>
      </w:tr>
      <w:tr w:rsidR="00227536"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Avoided GHG emissions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- 0.04</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- 0.07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- 0.02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- 1.48</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- 1.94</w:t>
            </w:r>
          </w:p>
        </w:tc>
      </w:tr>
      <w:tr w:rsidR="00227536" w:rsidRPr="00227536"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227536" w:rsidRPr="00227536" w:rsidRDefault="00227536" w:rsidP="00227536">
            <w:pPr>
              <w:pStyle w:val="TableDataEntries"/>
              <w:jc w:val="left"/>
              <w:rPr>
                <w:rFonts w:ascii="Franklin Gothic Demi" w:hAnsi="Franklin Gothic Demi"/>
                <w:lang w:val="en-GB"/>
              </w:rPr>
            </w:pPr>
            <w:r w:rsidRPr="00227536">
              <w:rPr>
                <w:rFonts w:ascii="Franklin Gothic Demi" w:hAnsi="Franklin Gothic Demi"/>
                <w:lang w:val="en-GB"/>
              </w:rPr>
              <w:t>Net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 xml:space="preserve"> 24.80</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 xml:space="preserve"> 7.59</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 xml:space="preserve"> 7.94</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- 25.25</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- 17.13</w:t>
            </w:r>
          </w:p>
        </w:tc>
      </w:tr>
      <w:tr w:rsidR="00227536" w:rsidTr="00301B6D">
        <w:trPr>
          <w:trHeight w:val="230"/>
        </w:trPr>
        <w:tc>
          <w:tcPr>
            <w:tcW w:w="245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227536" w:rsidRDefault="00227536" w:rsidP="00227536">
            <w:pPr>
              <w:pStyle w:val="TableHeading1"/>
              <w:rPr>
                <w:lang w:val="en-GB"/>
              </w:rPr>
            </w:pPr>
            <w:r>
              <w:rPr>
                <w:lang w:val="en-GB"/>
              </w:rPr>
              <w:t>School</w:t>
            </w: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r>
      <w:tr w:rsidR="00227536"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Bill savings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73.60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42.00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30.86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34.31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53.25</w:t>
            </w:r>
          </w:p>
        </w:tc>
      </w:tr>
      <w:tr w:rsidR="00227536" w:rsidTr="00817952">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Bill savings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- 3.82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12.45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7.02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14.71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10.07</w:t>
            </w:r>
          </w:p>
        </w:tc>
      </w:tr>
      <w:tr w:rsidR="00227536" w:rsidTr="00D364DA">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Private costs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- 19.48</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- 17.65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- 18.10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- 7.71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- 8.72</w:t>
            </w:r>
          </w:p>
        </w:tc>
      </w:tr>
      <w:tr w:rsidR="00227536" w:rsidRPr="00D364DA" w:rsidTr="00D364DA">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227536" w:rsidRPr="00D364DA" w:rsidRDefault="00227536" w:rsidP="00227536">
            <w:pPr>
              <w:pStyle w:val="TableDataEntries"/>
              <w:jc w:val="left"/>
              <w:rPr>
                <w:lang w:val="en-GB"/>
              </w:rPr>
            </w:pPr>
            <w:r w:rsidRPr="00D364DA">
              <w:rPr>
                <w:lang w:val="en-GB"/>
              </w:rPr>
              <w:t>Net private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 xml:space="preserve"> 50.30</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 xml:space="preserve"> 36.79</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 xml:space="preserve"> 19.77</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 xml:space="preserve"> 41.31</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 xml:space="preserve"> 54.60</w:t>
            </w:r>
          </w:p>
        </w:tc>
      </w:tr>
      <w:tr w:rsidR="00227536" w:rsidTr="00817952">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Avoided GHG emissions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21.50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12.27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9.01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10.02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15.55</w:t>
            </w:r>
          </w:p>
        </w:tc>
      </w:tr>
      <w:tr w:rsidR="00227536"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Avoided GHG emissions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- 0.51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1.65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0.93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1.95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1.33</w:t>
            </w:r>
          </w:p>
        </w:tc>
      </w:tr>
      <w:tr w:rsidR="00227536" w:rsidRPr="00227536" w:rsidTr="00301B6D">
        <w:trPr>
          <w:trHeight w:val="230"/>
        </w:trPr>
        <w:tc>
          <w:tcPr>
            <w:tcW w:w="2456"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rsidR="00227536" w:rsidRPr="00227536" w:rsidRDefault="00227536" w:rsidP="00227536">
            <w:pPr>
              <w:pStyle w:val="TableDataEntries"/>
              <w:jc w:val="left"/>
              <w:rPr>
                <w:rFonts w:ascii="Franklin Gothic Demi" w:hAnsi="Franklin Gothic Demi"/>
                <w:lang w:val="en-GB"/>
              </w:rPr>
            </w:pPr>
            <w:r w:rsidRPr="00227536">
              <w:rPr>
                <w:rFonts w:ascii="Franklin Gothic Demi" w:hAnsi="Franklin Gothic Demi"/>
                <w:lang w:val="en-GB"/>
              </w:rPr>
              <w:t>Net benefit/cost</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n.a.</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 xml:space="preserve"> 71.29</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n.a.</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 xml:space="preserve"> 50.71</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 xml:space="preserve"> 29.72</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 xml:space="preserve"> 53.28</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 xml:space="preserve"> 71.49</w:t>
            </w:r>
          </w:p>
        </w:tc>
      </w:tr>
    </w:tbl>
    <w:p w:rsidR="00612FD3" w:rsidRDefault="00612FD3" w:rsidP="00612FD3">
      <w:pPr>
        <w:pStyle w:val="Note"/>
        <w:rPr>
          <w:lang w:bidi="fa-IR"/>
        </w:rPr>
      </w:pPr>
      <w:r w:rsidRPr="007D1B4F">
        <w:rPr>
          <w:i/>
        </w:rPr>
        <w:t>Note:</w:t>
      </w:r>
      <w:r w:rsidRPr="00E879B8">
        <w:t xml:space="preserve"> </w:t>
      </w:r>
      <w:r>
        <w:t>Costs and benefits are estimated over the assumed 40 year life of the building, using a discount rate of 7 per cent.</w:t>
      </w:r>
    </w:p>
    <w:p w:rsidR="00612FD3" w:rsidRDefault="00612FD3" w:rsidP="00612FD3">
      <w:pPr>
        <w:pStyle w:val="Source"/>
        <w:rPr>
          <w:lang w:bidi="fa-IR"/>
        </w:rPr>
      </w:pPr>
      <w:r w:rsidRPr="00C6138D">
        <w:rPr>
          <w:i/>
          <w:lang w:bidi="fa-IR"/>
        </w:rPr>
        <w:t>Source:</w:t>
      </w:r>
      <w:r>
        <w:rPr>
          <w:lang w:bidi="fa-IR"/>
        </w:rPr>
        <w:t xml:space="preserve"> CIE based on </w:t>
      </w:r>
      <w:r w:rsidR="00EB5964">
        <w:rPr>
          <w:lang w:bidi="fa-IR"/>
        </w:rPr>
        <w:t>EA</w:t>
      </w:r>
      <w:r>
        <w:rPr>
          <w:lang w:bidi="fa-IR"/>
        </w:rPr>
        <w:t xml:space="preserve"> modelling.</w:t>
      </w:r>
    </w:p>
    <w:p w:rsidR="00817952" w:rsidRDefault="00817952" w:rsidP="00612FD3">
      <w:pPr>
        <w:pStyle w:val="Caption"/>
      </w:pPr>
      <w:r>
        <w:br w:type="page"/>
      </w:r>
    </w:p>
    <w:p w:rsidR="00612FD3" w:rsidRDefault="00612FD3" w:rsidP="00612FD3">
      <w:pPr>
        <w:pStyle w:val="Caption"/>
      </w:pPr>
      <w:r w:rsidRPr="00227536">
        <w:fldChar w:fldCharType="begin"/>
      </w:r>
      <w:r w:rsidRPr="00227536">
        <w:instrText xml:space="preserve"> IF 1 = 1 "</w:instrText>
      </w:r>
      <w:r w:rsidRPr="00227536">
        <w:fldChar w:fldCharType="begin"/>
      </w:r>
      <w:r w:rsidRPr="00227536">
        <w:instrText xml:space="preserve"> IF </w:instrText>
      </w:r>
      <w:r w:rsidRPr="00227536">
        <w:rPr>
          <w:noProof/>
        </w:rPr>
        <w:fldChar w:fldCharType="begin"/>
      </w:r>
      <w:r w:rsidRPr="00227536">
        <w:rPr>
          <w:noProof/>
        </w:rPr>
        <w:instrText xml:space="preserve"> STYLEREF "Heading 6" \l \n </w:instrText>
      </w:r>
      <w:r w:rsidRPr="00227536">
        <w:rPr>
          <w:noProof/>
        </w:rPr>
        <w:fldChar w:fldCharType="separate"/>
      </w:r>
      <w:r w:rsidR="00B833F1">
        <w:rPr>
          <w:noProof/>
        </w:rPr>
        <w:instrText>I</w:instrText>
      </w:r>
      <w:r w:rsidRPr="00227536">
        <w:rPr>
          <w:noProof/>
        </w:rPr>
        <w:fldChar w:fldCharType="end"/>
      </w:r>
      <w:r w:rsidRPr="00227536">
        <w:instrText xml:space="preserve"> = 0 "</w:instrText>
      </w:r>
      <w:r w:rsidRPr="00227536">
        <w:fldChar w:fldCharType="begin"/>
      </w:r>
      <w:r w:rsidRPr="00227536">
        <w:instrText xml:space="preserve"> IF </w:instrText>
      </w:r>
      <w:r w:rsidRPr="00227536">
        <w:rPr>
          <w:noProof/>
        </w:rPr>
        <w:fldChar w:fldCharType="begin"/>
      </w:r>
      <w:r w:rsidRPr="00227536">
        <w:rPr>
          <w:noProof/>
        </w:rPr>
        <w:instrText xml:space="preserve"> STYLEREF "Heading 1" \l \n </w:instrText>
      </w:r>
      <w:r w:rsidRPr="00227536">
        <w:rPr>
          <w:noProof/>
        </w:rPr>
        <w:fldChar w:fldCharType="separate"/>
      </w:r>
      <w:r w:rsidRPr="00227536">
        <w:rPr>
          <w:noProof/>
        </w:rPr>
        <w:instrText>1</w:instrText>
      </w:r>
      <w:r w:rsidRPr="00227536">
        <w:rPr>
          <w:noProof/>
        </w:rPr>
        <w:fldChar w:fldCharType="end"/>
      </w:r>
      <w:r w:rsidRPr="00227536">
        <w:instrText xml:space="preserve"> = 0 "" "</w:instrText>
      </w:r>
      <w:r w:rsidRPr="00227536">
        <w:rPr>
          <w:noProof/>
        </w:rPr>
        <w:fldChar w:fldCharType="begin"/>
      </w:r>
      <w:r w:rsidRPr="00227536">
        <w:rPr>
          <w:noProof/>
        </w:rPr>
        <w:instrText xml:space="preserve"> STYLEREF "Heading 1" \l \n </w:instrText>
      </w:r>
      <w:r w:rsidRPr="00227536">
        <w:rPr>
          <w:noProof/>
        </w:rPr>
        <w:fldChar w:fldCharType="separate"/>
      </w:r>
      <w:r w:rsidRPr="00227536">
        <w:rPr>
          <w:noProof/>
        </w:rPr>
        <w:instrText>1</w:instrText>
      </w:r>
      <w:r w:rsidRPr="00227536">
        <w:rPr>
          <w:noProof/>
        </w:rPr>
        <w:fldChar w:fldCharType="end"/>
      </w:r>
      <w:r w:rsidRPr="00227536">
        <w:instrText xml:space="preserve">." </w:instrText>
      </w:r>
      <w:r w:rsidRPr="00227536">
        <w:fldChar w:fldCharType="separate"/>
      </w:r>
      <w:r w:rsidRPr="00227536">
        <w:rPr>
          <w:noProof/>
        </w:rPr>
        <w:instrText>1.</w:instrText>
      </w:r>
      <w:r w:rsidRPr="00227536">
        <w:fldChar w:fldCharType="end"/>
      </w:r>
      <w:r w:rsidRPr="00227536">
        <w:instrText>" "</w:instrText>
      </w:r>
      <w:r w:rsidRPr="00227536">
        <w:rPr>
          <w:noProof/>
        </w:rPr>
        <w:fldChar w:fldCharType="begin"/>
      </w:r>
      <w:r w:rsidRPr="00227536">
        <w:rPr>
          <w:noProof/>
        </w:rPr>
        <w:instrText xml:space="preserve"> STYLEREF "Heading 6" \l \n </w:instrText>
      </w:r>
      <w:r w:rsidRPr="00227536">
        <w:rPr>
          <w:noProof/>
        </w:rPr>
        <w:fldChar w:fldCharType="separate"/>
      </w:r>
      <w:r w:rsidR="00B833F1">
        <w:rPr>
          <w:noProof/>
        </w:rPr>
        <w:instrText>I</w:instrText>
      </w:r>
      <w:r w:rsidRPr="00227536">
        <w:rPr>
          <w:noProof/>
        </w:rPr>
        <w:fldChar w:fldCharType="end"/>
      </w:r>
      <w:r w:rsidRPr="00227536">
        <w:instrText xml:space="preserve">." </w:instrText>
      </w:r>
      <w:r w:rsidRPr="00227536">
        <w:fldChar w:fldCharType="separate"/>
      </w:r>
      <w:r w:rsidR="00B833F1">
        <w:rPr>
          <w:noProof/>
        </w:rPr>
        <w:instrText>I</w:instrText>
      </w:r>
      <w:r w:rsidR="00B833F1" w:rsidRPr="00227536">
        <w:rPr>
          <w:noProof/>
        </w:rPr>
        <w:instrText>.</w:instrText>
      </w:r>
      <w:r w:rsidRPr="00227536">
        <w:fldChar w:fldCharType="end"/>
      </w:r>
      <w:r w:rsidRPr="00227536">
        <w:fldChar w:fldCharType="begin"/>
      </w:r>
      <w:r w:rsidRPr="00227536">
        <w:instrText xml:space="preserve"> SEQ Item \* ARABIC \s </w:instrText>
      </w:r>
      <w:r w:rsidRPr="00227536">
        <w:fldChar w:fldCharType="begin"/>
      </w:r>
      <w:r w:rsidRPr="00227536">
        <w:instrText xml:space="preserve"> IF </w:instrText>
      </w:r>
      <w:r w:rsidRPr="00227536">
        <w:rPr>
          <w:noProof/>
        </w:rPr>
        <w:fldChar w:fldCharType="begin"/>
      </w:r>
      <w:r w:rsidRPr="00227536">
        <w:rPr>
          <w:noProof/>
        </w:rPr>
        <w:instrText xml:space="preserve"> STYLEREF "Heading 6" \l \n </w:instrText>
      </w:r>
      <w:r w:rsidRPr="00227536">
        <w:rPr>
          <w:noProof/>
        </w:rPr>
        <w:fldChar w:fldCharType="separate"/>
      </w:r>
      <w:r w:rsidR="00B833F1">
        <w:rPr>
          <w:noProof/>
        </w:rPr>
        <w:instrText>I</w:instrText>
      </w:r>
      <w:r w:rsidRPr="00227536">
        <w:rPr>
          <w:noProof/>
        </w:rPr>
        <w:fldChar w:fldCharType="end"/>
      </w:r>
      <w:r w:rsidRPr="00227536">
        <w:instrText xml:space="preserve"> = 0 "</w:instrText>
      </w:r>
      <w:r w:rsidRPr="00227536">
        <w:fldChar w:fldCharType="begin"/>
      </w:r>
      <w:r w:rsidRPr="00227536">
        <w:instrText xml:space="preserve"> IF </w:instrText>
      </w:r>
      <w:r w:rsidRPr="00227536">
        <w:rPr>
          <w:noProof/>
        </w:rPr>
        <w:fldChar w:fldCharType="begin"/>
      </w:r>
      <w:r w:rsidRPr="00227536">
        <w:rPr>
          <w:noProof/>
        </w:rPr>
        <w:instrText xml:space="preserve"> STYLEREF "Heading 1" \l \n </w:instrText>
      </w:r>
      <w:r w:rsidRPr="00227536">
        <w:rPr>
          <w:noProof/>
        </w:rPr>
        <w:fldChar w:fldCharType="separate"/>
      </w:r>
      <w:r w:rsidRPr="00227536">
        <w:rPr>
          <w:noProof/>
        </w:rPr>
        <w:instrText>1</w:instrText>
      </w:r>
      <w:r w:rsidRPr="00227536">
        <w:rPr>
          <w:noProof/>
        </w:rPr>
        <w:fldChar w:fldCharType="end"/>
      </w:r>
      <w:r w:rsidRPr="00227536">
        <w:instrText xml:space="preserve"> = 0 "" "1" </w:instrText>
      </w:r>
      <w:r w:rsidRPr="00227536">
        <w:fldChar w:fldCharType="separate"/>
      </w:r>
      <w:r w:rsidRPr="00227536">
        <w:rPr>
          <w:noProof/>
        </w:rPr>
        <w:instrText>1</w:instrText>
      </w:r>
      <w:r w:rsidRPr="00227536">
        <w:fldChar w:fldCharType="end"/>
      </w:r>
      <w:r w:rsidRPr="00227536">
        <w:instrText xml:space="preserve">" "6" </w:instrText>
      </w:r>
      <w:r w:rsidRPr="00227536">
        <w:fldChar w:fldCharType="separate"/>
      </w:r>
      <w:r w:rsidR="00B833F1" w:rsidRPr="00227536">
        <w:rPr>
          <w:noProof/>
        </w:rPr>
        <w:instrText>6</w:instrText>
      </w:r>
      <w:r w:rsidRPr="00227536">
        <w:fldChar w:fldCharType="end"/>
      </w:r>
      <w:r w:rsidRPr="00227536">
        <w:instrText xml:space="preserve"> </w:instrText>
      </w:r>
      <w:r w:rsidRPr="00227536">
        <w:fldChar w:fldCharType="separate"/>
      </w:r>
      <w:r w:rsidR="00B833F1">
        <w:rPr>
          <w:noProof/>
        </w:rPr>
        <w:instrText>3</w:instrText>
      </w:r>
      <w:r w:rsidRPr="00227536">
        <w:fldChar w:fldCharType="end"/>
      </w:r>
      <w:r w:rsidRPr="00227536">
        <w:instrText xml:space="preserve">" "" </w:instrText>
      </w:r>
      <w:r w:rsidRPr="00227536">
        <w:fldChar w:fldCharType="separate"/>
      </w:r>
      <w:bookmarkStart w:id="9127" w:name="_Caption1318"/>
      <w:bookmarkStart w:id="9128" w:name="_Caption3228"/>
      <w:bookmarkStart w:id="9129" w:name="_Caption0113"/>
      <w:bookmarkStart w:id="9130" w:name="_Caption6542"/>
      <w:bookmarkStart w:id="9131" w:name="_Caption8813"/>
      <w:bookmarkStart w:id="9132" w:name="_Caption4310"/>
      <w:bookmarkStart w:id="9133" w:name="_Caption2724"/>
      <w:bookmarkStart w:id="9134" w:name="_Caption1194"/>
      <w:bookmarkStart w:id="9135" w:name="_Caption1916"/>
      <w:bookmarkStart w:id="9136" w:name="_Caption0600"/>
      <w:bookmarkStart w:id="9137" w:name="_Caption6046"/>
      <w:bookmarkStart w:id="9138" w:name="_Caption4490"/>
      <w:bookmarkStart w:id="9139" w:name="_Caption4664"/>
      <w:bookmarkStart w:id="9140" w:name="_Caption5109"/>
      <w:bookmarkStart w:id="9141" w:name="_Caption6009"/>
      <w:bookmarkStart w:id="9142" w:name="_Caption4060"/>
      <w:bookmarkStart w:id="9143" w:name="_Caption3002"/>
      <w:bookmarkStart w:id="9144" w:name="_Caption9825"/>
      <w:bookmarkStart w:id="9145" w:name="_Caption1388"/>
      <w:bookmarkStart w:id="9146" w:name="_Caption1747"/>
      <w:bookmarkStart w:id="9147" w:name="_Caption1501"/>
      <w:bookmarkStart w:id="9148" w:name="_Caption7431"/>
      <w:bookmarkStart w:id="9149" w:name="_Caption0055"/>
      <w:bookmarkStart w:id="9150" w:name="_Caption8705"/>
      <w:bookmarkStart w:id="9151" w:name="_Caption4390"/>
      <w:bookmarkStart w:id="9152" w:name="_Caption6821"/>
      <w:bookmarkStart w:id="9153" w:name="_Caption4221"/>
      <w:bookmarkStart w:id="9154" w:name="_Caption7038"/>
      <w:bookmarkStart w:id="9155" w:name="_Caption8609"/>
      <w:bookmarkStart w:id="9156" w:name="_Caption2095"/>
      <w:bookmarkStart w:id="9157" w:name="_Caption8113"/>
      <w:bookmarkStart w:id="9158" w:name="_Caption0096"/>
      <w:bookmarkStart w:id="9159" w:name="_Caption5204"/>
      <w:bookmarkStart w:id="9160" w:name="_Caption8925"/>
      <w:bookmarkStart w:id="9161" w:name="_Caption1912"/>
      <w:bookmarkStart w:id="9162" w:name="_Caption8933"/>
      <w:bookmarkStart w:id="9163" w:name="_Caption4194"/>
      <w:bookmarkStart w:id="9164" w:name="_Caption6272"/>
      <w:bookmarkStart w:id="9165" w:name="_Caption2749"/>
      <w:bookmarkStart w:id="9166" w:name="_Caption9426"/>
      <w:bookmarkStart w:id="9167" w:name="_Caption6957"/>
      <w:bookmarkStart w:id="9168" w:name="_Caption5532"/>
      <w:bookmarkStart w:id="9169" w:name="_Caption0242"/>
      <w:bookmarkStart w:id="9170" w:name="_Caption2544"/>
      <w:bookmarkStart w:id="9171" w:name="_Caption4769"/>
      <w:bookmarkStart w:id="9172" w:name="_Caption8393"/>
      <w:bookmarkStart w:id="9173" w:name="_Caption1383"/>
      <w:bookmarkStart w:id="9174" w:name="_Caption0857"/>
      <w:bookmarkStart w:id="9175" w:name="_Caption4784"/>
      <w:bookmarkStart w:id="9176" w:name="_Caption1641"/>
      <w:bookmarkStart w:id="9177" w:name="_Caption1804"/>
      <w:bookmarkStart w:id="9178" w:name="_Caption7756"/>
      <w:bookmarkStart w:id="9179" w:name="_Caption8660"/>
      <w:bookmarkStart w:id="9180" w:name="_Caption3089"/>
      <w:bookmarkStart w:id="9181" w:name="_Caption5027"/>
      <w:bookmarkStart w:id="9182" w:name="_Caption9155"/>
      <w:bookmarkStart w:id="9183" w:name="_Caption6261"/>
      <w:bookmarkStart w:id="9184" w:name="_Caption3361"/>
      <w:bookmarkStart w:id="9185" w:name="_Caption6771"/>
      <w:bookmarkStart w:id="9186" w:name="_Caption4265"/>
      <w:bookmarkStart w:id="9187" w:name="_Caption1189"/>
      <w:bookmarkStart w:id="9188" w:name="_Caption5806"/>
      <w:bookmarkStart w:id="9189" w:name="_Caption7042"/>
      <w:bookmarkStart w:id="9190" w:name="_Caption0181"/>
      <w:bookmarkStart w:id="9191" w:name="_Caption1629"/>
      <w:bookmarkStart w:id="9192" w:name="_Caption8674"/>
      <w:bookmarkStart w:id="9193" w:name="_Caption4920"/>
      <w:bookmarkStart w:id="9194" w:name="_Toc529870017"/>
      <w:bookmarkStart w:id="9195" w:name="_Toc530748513"/>
      <w:r w:rsidR="00EA42ED">
        <w:rPr>
          <w:noProof/>
        </w:rPr>
        <w:t>I</w:t>
      </w:r>
      <w:r w:rsidR="00EA42ED" w:rsidRPr="00227536">
        <w:rPr>
          <w:noProof/>
        </w:rPr>
        <w:t>.</w:t>
      </w:r>
      <w:r w:rsidR="00EA42ED">
        <w:rPr>
          <w:noProof/>
        </w:rPr>
        <w:t>3</w:t>
      </w:r>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bookmarkEnd w:id="9186"/>
      <w:bookmarkEnd w:id="9187"/>
      <w:bookmarkEnd w:id="9188"/>
      <w:bookmarkEnd w:id="9189"/>
      <w:bookmarkEnd w:id="9190"/>
      <w:bookmarkEnd w:id="9191"/>
      <w:bookmarkEnd w:id="9192"/>
      <w:bookmarkEnd w:id="9193"/>
      <w:r w:rsidRPr="00227536">
        <w:fldChar w:fldCharType="end"/>
      </w:r>
      <w:r w:rsidRPr="00227536">
        <w:tab/>
        <w:t>Net benefits to New South Wales — high realisation scenario</w:t>
      </w:r>
      <w:bookmarkEnd w:id="9194"/>
      <w:bookmarkEnd w:id="9195"/>
    </w:p>
    <w:tbl>
      <w:tblPr>
        <w:tblW w:w="7937" w:type="dxa"/>
        <w:tblLayout w:type="fixed"/>
        <w:tblLook w:val="0000" w:firstRow="0" w:lastRow="0" w:firstColumn="0" w:lastColumn="0" w:noHBand="0" w:noVBand="0"/>
        <w:tblCaption w:val="Table I.3: Net benefits to New South Wales - high realisation scenario"/>
        <w:tblDescription w:val="This table shows the net benefits under a high realisation scenario of the proposed changes to NCC 2019 in New South Wales. "/>
      </w:tblPr>
      <w:tblGrid>
        <w:gridCol w:w="2456"/>
        <w:gridCol w:w="783"/>
        <w:gridCol w:w="783"/>
        <w:gridCol w:w="783"/>
        <w:gridCol w:w="783"/>
        <w:gridCol w:w="783"/>
        <w:gridCol w:w="783"/>
        <w:gridCol w:w="783"/>
      </w:tblGrid>
      <w:tr w:rsidR="00612FD3" w:rsidTr="00301B6D">
        <w:trPr>
          <w:trHeight w:val="230"/>
          <w:tblHeader/>
        </w:trPr>
        <w:tc>
          <w:tcPr>
            <w:tcW w:w="2456" w:type="dxa"/>
            <w:shd w:val="clear" w:color="auto" w:fill="6F6652"/>
            <w:tcMar>
              <w:left w:w="57" w:type="dxa"/>
              <w:right w:w="57" w:type="dxa"/>
            </w:tcMar>
          </w:tcPr>
          <w:p w:rsidR="00612FD3" w:rsidRDefault="00612FD3" w:rsidP="00301B6D">
            <w:pPr>
              <w:pStyle w:val="TableDataColumnHeading"/>
              <w:jc w:val="left"/>
              <w:rPr>
                <w:lang w:val="en-GB"/>
              </w:rPr>
            </w:pP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CZ1</w:t>
            </w: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CZ2</w:t>
            </w: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CZ3</w:t>
            </w: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CZ4</w:t>
            </w: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CZ5</w:t>
            </w: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CZ6</w:t>
            </w: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CZ7</w:t>
            </w:r>
          </w:p>
        </w:tc>
      </w:tr>
      <w:tr w:rsidR="00612FD3" w:rsidTr="00301B6D">
        <w:trPr>
          <w:trHeight w:val="230"/>
          <w:tblHeader/>
        </w:trPr>
        <w:tc>
          <w:tcPr>
            <w:tcW w:w="2456"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jc w:val="left"/>
              <w:rPr>
                <w:lang w:val="en-GB"/>
              </w:rPr>
            </w:pP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r>
      <w:tr w:rsidR="00612FD3" w:rsidTr="00301B6D">
        <w:trPr>
          <w:trHeight w:val="230"/>
        </w:trPr>
        <w:tc>
          <w:tcPr>
            <w:tcW w:w="245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r>
              <w:rPr>
                <w:lang w:val="en-GB"/>
              </w:rPr>
              <w:t>Hotels</w:t>
            </w: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r>
      <w:tr w:rsidR="00227536"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Bill savings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68.94</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55.50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57.61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58.40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54.62</w:t>
            </w:r>
          </w:p>
        </w:tc>
      </w:tr>
      <w:tr w:rsidR="00227536" w:rsidTr="00817952">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Bill savings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1.15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5.43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0.16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3.85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3.99</w:t>
            </w:r>
          </w:p>
        </w:tc>
      </w:tr>
      <w:tr w:rsidR="00227536" w:rsidTr="00D364DA">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Private costs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- 1.77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1.10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- 4.98</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0.77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12.65</w:t>
            </w:r>
          </w:p>
        </w:tc>
      </w:tr>
      <w:tr w:rsidR="00227536" w:rsidRPr="00D364DA" w:rsidTr="00D364DA">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227536" w:rsidRPr="00D364DA" w:rsidRDefault="00227536" w:rsidP="00227536">
            <w:pPr>
              <w:pStyle w:val="TableDataEntries"/>
              <w:jc w:val="left"/>
              <w:rPr>
                <w:lang w:val="en-GB"/>
              </w:rPr>
            </w:pPr>
            <w:r w:rsidRPr="00D364DA">
              <w:rPr>
                <w:lang w:val="en-GB"/>
              </w:rPr>
              <w:t>Net private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 xml:space="preserve"> 68.32</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 xml:space="preserve"> 62.03</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 xml:space="preserve"> 52.79</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 xml:space="preserve"> 63.02</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 xml:space="preserve"> 71.26</w:t>
            </w:r>
          </w:p>
        </w:tc>
      </w:tr>
      <w:tr w:rsidR="00227536" w:rsidTr="00817952">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Avoided GHG emissions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20.14</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16.21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16.83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17.06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15.95</w:t>
            </w:r>
          </w:p>
        </w:tc>
      </w:tr>
      <w:tr w:rsidR="00227536" w:rsidTr="00817952">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Avoided GHG emissions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0.15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0.72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0.02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0.51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0.53</w:t>
            </w:r>
          </w:p>
        </w:tc>
      </w:tr>
      <w:tr w:rsidR="00227536" w:rsidRPr="00227536"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227536" w:rsidRPr="00227536" w:rsidRDefault="00227536" w:rsidP="00227536">
            <w:pPr>
              <w:pStyle w:val="TableDataEntries"/>
              <w:jc w:val="left"/>
              <w:rPr>
                <w:rFonts w:ascii="Franklin Gothic Demi" w:hAnsi="Franklin Gothic Demi"/>
                <w:lang w:val="en-GB"/>
              </w:rPr>
            </w:pPr>
            <w:r w:rsidRPr="00227536">
              <w:rPr>
                <w:rFonts w:ascii="Franklin Gothic Demi" w:hAnsi="Franklin Gothic Demi"/>
                <w:lang w:val="en-GB"/>
              </w:rPr>
              <w:t>Net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 xml:space="preserve"> 88.61</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 xml:space="preserve"> 78.96</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 xml:space="preserve"> 69.63</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 xml:space="preserve"> 80.59</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 xml:space="preserve"> 87.74</w:t>
            </w:r>
          </w:p>
        </w:tc>
      </w:tr>
      <w:tr w:rsidR="00227536" w:rsidTr="00301B6D">
        <w:trPr>
          <w:trHeight w:val="230"/>
        </w:trPr>
        <w:tc>
          <w:tcPr>
            <w:tcW w:w="245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227536" w:rsidRDefault="00227536" w:rsidP="00227536">
            <w:pPr>
              <w:pStyle w:val="TableHeading1"/>
              <w:rPr>
                <w:lang w:val="en-GB"/>
              </w:rPr>
            </w:pPr>
            <w:r>
              <w:rPr>
                <w:lang w:val="en-GB"/>
              </w:rPr>
              <w:t>Office building</w:t>
            </w: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r>
      <w:tr w:rsidR="00227536" w:rsidTr="00817952">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Bill savings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21.76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12.47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17.93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13.55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12.32</w:t>
            </w:r>
          </w:p>
        </w:tc>
      </w:tr>
      <w:tr w:rsidR="00227536" w:rsidTr="00817952">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Bill savings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1.89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3.65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4.02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1.94</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3.66</w:t>
            </w:r>
          </w:p>
        </w:tc>
      </w:tr>
      <w:tr w:rsidR="00227536" w:rsidTr="00D364DA">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Private costs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- 2.61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- 7.12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- 11.05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- 5.29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- 1.72</w:t>
            </w:r>
          </w:p>
        </w:tc>
      </w:tr>
      <w:tr w:rsidR="00227536" w:rsidRPr="00D364DA" w:rsidTr="00D364DA">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227536" w:rsidRPr="00D364DA" w:rsidRDefault="00227536" w:rsidP="00227536">
            <w:pPr>
              <w:pStyle w:val="TableDataEntries"/>
              <w:jc w:val="left"/>
              <w:rPr>
                <w:lang w:val="en-GB"/>
              </w:rPr>
            </w:pPr>
            <w:r w:rsidRPr="00D364DA">
              <w:rPr>
                <w:lang w:val="en-GB"/>
              </w:rPr>
              <w:t>Net private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 xml:space="preserve"> 21.05</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 xml:space="preserve"> 9.00</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 xml:space="preserve"> 10.91</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 xml:space="preserve"> 10.20</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 xml:space="preserve"> 14.25</w:t>
            </w:r>
          </w:p>
        </w:tc>
      </w:tr>
      <w:tr w:rsidR="00227536" w:rsidTr="00817952">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Avoided GHG emissions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6.36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3.64</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5.24</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3.96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3.60</w:t>
            </w:r>
          </w:p>
        </w:tc>
      </w:tr>
      <w:tr w:rsidR="00227536"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Avoided GHG emissions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0.25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0.48</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0.53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0.26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0.48</w:t>
            </w:r>
          </w:p>
        </w:tc>
      </w:tr>
      <w:tr w:rsidR="00227536" w:rsidRPr="00227536"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227536" w:rsidRPr="00227536" w:rsidRDefault="00227536" w:rsidP="00227536">
            <w:pPr>
              <w:pStyle w:val="TableDataEntries"/>
              <w:jc w:val="left"/>
              <w:rPr>
                <w:rFonts w:ascii="Franklin Gothic Demi" w:hAnsi="Franklin Gothic Demi"/>
                <w:lang w:val="en-GB"/>
              </w:rPr>
            </w:pPr>
            <w:r w:rsidRPr="00227536">
              <w:rPr>
                <w:rFonts w:ascii="Franklin Gothic Demi" w:hAnsi="Franklin Gothic Demi"/>
                <w:lang w:val="en-GB"/>
              </w:rPr>
              <w:t>Net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 xml:space="preserve"> 27.65</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 xml:space="preserve"> 13.12</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 xml:space="preserve"> 16.68</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 xml:space="preserve"> 14.42</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 xml:space="preserve"> 18.34</w:t>
            </w:r>
          </w:p>
        </w:tc>
      </w:tr>
      <w:tr w:rsidR="00227536" w:rsidTr="00301B6D">
        <w:trPr>
          <w:trHeight w:val="230"/>
        </w:trPr>
        <w:tc>
          <w:tcPr>
            <w:tcW w:w="245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227536" w:rsidRDefault="00227536" w:rsidP="00227536">
            <w:pPr>
              <w:pStyle w:val="TableHeading1"/>
              <w:rPr>
                <w:lang w:val="en-GB"/>
              </w:rPr>
            </w:pPr>
            <w:r>
              <w:rPr>
                <w:lang w:val="en-GB"/>
              </w:rPr>
              <w:t>Retail</w:t>
            </w: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r>
      <w:tr w:rsidR="00227536" w:rsidTr="00817952">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Bill savings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59.73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69.04</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83.53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72.23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- 8.51</w:t>
            </w:r>
          </w:p>
        </w:tc>
      </w:tr>
      <w:tr w:rsidR="00227536" w:rsidTr="00817952">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Bill savings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- 2.06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- 13.70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- 7.47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- 30.03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15.22</w:t>
            </w:r>
          </w:p>
        </w:tc>
      </w:tr>
      <w:tr w:rsidR="00227536" w:rsidTr="00D364DA">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Private costs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- 4.39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- 18.60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- 7.22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- 10.36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- 16.62</w:t>
            </w:r>
          </w:p>
        </w:tc>
      </w:tr>
      <w:tr w:rsidR="00227536" w:rsidRPr="00D364DA" w:rsidTr="00D364DA">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227536" w:rsidRPr="00D364DA" w:rsidRDefault="00227536" w:rsidP="00227536">
            <w:pPr>
              <w:pStyle w:val="TableDataEntries"/>
              <w:jc w:val="left"/>
              <w:rPr>
                <w:lang w:val="en-GB"/>
              </w:rPr>
            </w:pPr>
            <w:r w:rsidRPr="00D364DA">
              <w:rPr>
                <w:lang w:val="en-GB"/>
              </w:rPr>
              <w:t>Net private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 xml:space="preserve"> 53.28</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 xml:space="preserve"> 36.75</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 xml:space="preserve"> 68.84</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 xml:space="preserve"> 31.84</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- 9.91</w:t>
            </w:r>
          </w:p>
        </w:tc>
      </w:tr>
      <w:tr w:rsidR="00227536" w:rsidTr="00817952">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Avoided GHG emissions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17.44</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20.17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24.40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21.10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- 2.49</w:t>
            </w:r>
          </w:p>
        </w:tc>
      </w:tr>
      <w:tr w:rsidR="00227536"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Avoided GHG emissions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- 0.27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- 1.81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- 0.99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- 3.98</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2.02</w:t>
            </w:r>
          </w:p>
        </w:tc>
      </w:tr>
      <w:tr w:rsidR="00227536" w:rsidRPr="00227536"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227536" w:rsidRPr="00227536" w:rsidRDefault="00227536" w:rsidP="00227536">
            <w:pPr>
              <w:pStyle w:val="TableDataEntries"/>
              <w:jc w:val="left"/>
              <w:rPr>
                <w:rFonts w:ascii="Franklin Gothic Demi" w:hAnsi="Franklin Gothic Demi"/>
                <w:lang w:val="en-GB"/>
              </w:rPr>
            </w:pPr>
            <w:r w:rsidRPr="00227536">
              <w:rPr>
                <w:rFonts w:ascii="Franklin Gothic Demi" w:hAnsi="Franklin Gothic Demi"/>
                <w:lang w:val="en-GB"/>
              </w:rPr>
              <w:t>Net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 xml:space="preserve"> 70.45</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 xml:space="preserve"> 55.10</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 xml:space="preserve"> 92.25</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 xml:space="preserve"> 48.96</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- 10.38</w:t>
            </w:r>
          </w:p>
        </w:tc>
      </w:tr>
      <w:tr w:rsidR="00227536" w:rsidTr="00301B6D">
        <w:trPr>
          <w:trHeight w:val="230"/>
        </w:trPr>
        <w:tc>
          <w:tcPr>
            <w:tcW w:w="245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227536" w:rsidRDefault="00227536" w:rsidP="00227536">
            <w:pPr>
              <w:pStyle w:val="TableHeading1"/>
              <w:rPr>
                <w:lang w:val="en-GB"/>
              </w:rPr>
            </w:pPr>
            <w:r>
              <w:rPr>
                <w:lang w:val="en-GB"/>
              </w:rPr>
              <w:t>Healthcare</w:t>
            </w: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r>
      <w:tr w:rsidR="00227536" w:rsidTr="00817952">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Bill savings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35.84</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26.53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25.15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14.31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28.65</w:t>
            </w:r>
          </w:p>
        </w:tc>
      </w:tr>
      <w:tr w:rsidR="00227536" w:rsidTr="00817952">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Bill savings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- 0.36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- 0.74</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- 0.24</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- 14.86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- 19.49</w:t>
            </w:r>
          </w:p>
        </w:tc>
      </w:tr>
      <w:tr w:rsidR="00227536" w:rsidTr="00D364DA">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Private costs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- 9.62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- 17.49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- 16.23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- 26.49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- 28.34</w:t>
            </w:r>
          </w:p>
        </w:tc>
      </w:tr>
      <w:tr w:rsidR="00227536" w:rsidRPr="00D364DA" w:rsidTr="00D364DA">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227536" w:rsidRPr="00D364DA" w:rsidRDefault="00227536" w:rsidP="00227536">
            <w:pPr>
              <w:pStyle w:val="TableDataEntries"/>
              <w:jc w:val="left"/>
              <w:rPr>
                <w:lang w:val="en-GB"/>
              </w:rPr>
            </w:pPr>
            <w:r w:rsidRPr="00D364DA">
              <w:rPr>
                <w:lang w:val="en-GB"/>
              </w:rPr>
              <w:t>Net private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 xml:space="preserve"> 25.85</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 xml:space="preserve"> 8.30</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 xml:space="preserve"> 8.68</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- 27.04</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- 19.18</w:t>
            </w:r>
          </w:p>
        </w:tc>
      </w:tr>
      <w:tr w:rsidR="00227536" w:rsidTr="00817952">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Avoided GHG emissions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10.47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7.75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7.35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4.18</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8.37</w:t>
            </w:r>
          </w:p>
        </w:tc>
      </w:tr>
      <w:tr w:rsidR="00227536"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Avoided GHG emissions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- 0.05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- 0.10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- 0.03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- 1.97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- 2.58</w:t>
            </w:r>
          </w:p>
        </w:tc>
      </w:tr>
      <w:tr w:rsidR="00227536" w:rsidRPr="00227536"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227536" w:rsidRPr="00227536" w:rsidRDefault="00227536" w:rsidP="00227536">
            <w:pPr>
              <w:pStyle w:val="TableDataEntries"/>
              <w:jc w:val="left"/>
              <w:rPr>
                <w:rFonts w:ascii="Franklin Gothic Demi" w:hAnsi="Franklin Gothic Demi"/>
                <w:lang w:val="en-GB"/>
              </w:rPr>
            </w:pPr>
            <w:r w:rsidRPr="00227536">
              <w:rPr>
                <w:rFonts w:ascii="Franklin Gothic Demi" w:hAnsi="Franklin Gothic Demi"/>
                <w:lang w:val="en-GB"/>
              </w:rPr>
              <w:t>Net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 xml:space="preserve"> 36.27</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 xml:space="preserve"> 15.95</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 xml:space="preserve"> 16.00</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- 24.83</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- 13.39</w:t>
            </w:r>
          </w:p>
        </w:tc>
      </w:tr>
      <w:tr w:rsidR="00227536" w:rsidTr="00301B6D">
        <w:trPr>
          <w:trHeight w:val="230"/>
        </w:trPr>
        <w:tc>
          <w:tcPr>
            <w:tcW w:w="245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227536" w:rsidRDefault="00227536" w:rsidP="00227536">
            <w:pPr>
              <w:pStyle w:val="TableHeading1"/>
              <w:rPr>
                <w:lang w:val="en-GB"/>
              </w:rPr>
            </w:pPr>
            <w:r>
              <w:rPr>
                <w:lang w:val="en-GB"/>
              </w:rPr>
              <w:t>School</w:t>
            </w: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r>
      <w:tr w:rsidR="00227536" w:rsidTr="00817952">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Bill savings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98.13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56.00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41.15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45.75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71.00</w:t>
            </w:r>
          </w:p>
        </w:tc>
      </w:tr>
      <w:tr w:rsidR="00227536" w:rsidTr="00817952">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Bill savings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- 5.10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16.60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9.36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19.62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13.43</w:t>
            </w:r>
          </w:p>
        </w:tc>
      </w:tr>
      <w:tr w:rsidR="00227536" w:rsidTr="00D364DA">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Private costs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- 19.48</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- 17.65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- 18.10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- 7.71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- 8.72</w:t>
            </w:r>
          </w:p>
        </w:tc>
      </w:tr>
      <w:tr w:rsidR="00227536" w:rsidRPr="00D364DA" w:rsidTr="00D364DA">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227536" w:rsidRPr="00D364DA" w:rsidRDefault="00227536" w:rsidP="00227536">
            <w:pPr>
              <w:pStyle w:val="TableDataEntries"/>
              <w:jc w:val="left"/>
              <w:rPr>
                <w:lang w:val="en-GB"/>
              </w:rPr>
            </w:pPr>
            <w:r w:rsidRPr="00D364DA">
              <w:rPr>
                <w:lang w:val="en-GB"/>
              </w:rPr>
              <w:t>Net private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 xml:space="preserve"> 73.56</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 xml:space="preserve"> 54.94</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 xml:space="preserve"> 32.40</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 xml:space="preserve"> 57.65</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 xml:space="preserve"> 75.71</w:t>
            </w:r>
          </w:p>
        </w:tc>
      </w:tr>
      <w:tr w:rsidR="00227536"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Avoided GHG emissions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28.66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16.36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12.02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13.36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20.74</w:t>
            </w:r>
          </w:p>
        </w:tc>
      </w:tr>
      <w:tr w:rsidR="00227536"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Avoided GHG emissions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- 0.67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2.20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1.24</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2.60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1.78</w:t>
            </w:r>
          </w:p>
        </w:tc>
      </w:tr>
      <w:tr w:rsidR="00227536" w:rsidRPr="00227536" w:rsidTr="00301B6D">
        <w:trPr>
          <w:trHeight w:val="230"/>
        </w:trPr>
        <w:tc>
          <w:tcPr>
            <w:tcW w:w="2456"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rsidR="00227536" w:rsidRPr="00227536" w:rsidRDefault="00227536" w:rsidP="00227536">
            <w:pPr>
              <w:pStyle w:val="TableDataEntries"/>
              <w:jc w:val="left"/>
              <w:rPr>
                <w:rFonts w:ascii="Franklin Gothic Demi" w:hAnsi="Franklin Gothic Demi"/>
                <w:lang w:val="en-GB"/>
              </w:rPr>
            </w:pPr>
            <w:r w:rsidRPr="00227536">
              <w:rPr>
                <w:rFonts w:ascii="Franklin Gothic Demi" w:hAnsi="Franklin Gothic Demi"/>
                <w:lang w:val="en-GB"/>
              </w:rPr>
              <w:t>Net benefit/cost</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n.a.</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 xml:space="preserve"> 101.54</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n.a.</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 xml:space="preserve"> 73.50</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 xml:space="preserve"> 45.66</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 xml:space="preserve"> 73.61</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 xml:space="preserve"> 98.22</w:t>
            </w:r>
          </w:p>
        </w:tc>
      </w:tr>
    </w:tbl>
    <w:p w:rsidR="00612FD3" w:rsidRDefault="00612FD3" w:rsidP="00612FD3">
      <w:pPr>
        <w:pStyle w:val="Note"/>
        <w:rPr>
          <w:lang w:bidi="fa-IR"/>
        </w:rPr>
      </w:pPr>
      <w:r w:rsidRPr="007D1B4F">
        <w:rPr>
          <w:i/>
        </w:rPr>
        <w:t>Note:</w:t>
      </w:r>
      <w:r w:rsidRPr="00E879B8">
        <w:t xml:space="preserve"> </w:t>
      </w:r>
      <w:r>
        <w:t>Costs and benefits are estimated over the assumed 40 year life of the building, using a discount rate of 7 per cent.</w:t>
      </w:r>
    </w:p>
    <w:p w:rsidR="00612FD3" w:rsidRDefault="00612FD3" w:rsidP="00612FD3">
      <w:pPr>
        <w:pStyle w:val="Source"/>
        <w:rPr>
          <w:lang w:bidi="fa-IR"/>
        </w:rPr>
      </w:pPr>
      <w:r w:rsidRPr="00C6138D">
        <w:rPr>
          <w:i/>
          <w:lang w:bidi="fa-IR"/>
        </w:rPr>
        <w:t>Source:</w:t>
      </w:r>
      <w:r>
        <w:rPr>
          <w:lang w:bidi="fa-IR"/>
        </w:rPr>
        <w:t xml:space="preserve"> CIE based on </w:t>
      </w:r>
      <w:r w:rsidR="00EB5964">
        <w:rPr>
          <w:lang w:bidi="fa-IR"/>
        </w:rPr>
        <w:t>EA</w:t>
      </w:r>
      <w:r>
        <w:rPr>
          <w:lang w:bidi="fa-IR"/>
        </w:rPr>
        <w:t xml:space="preserve"> modelling.</w:t>
      </w:r>
    </w:p>
    <w:p w:rsidR="00612FD3" w:rsidRDefault="00612FD3" w:rsidP="00612FD3">
      <w:pPr>
        <w:pStyle w:val="Heading7"/>
        <w:numPr>
          <w:ilvl w:val="6"/>
          <w:numId w:val="5"/>
        </w:numPr>
      </w:pPr>
      <w:r>
        <w:t>Victoria</w:t>
      </w:r>
    </w:p>
    <w:p w:rsidR="00612FD3" w:rsidRDefault="00612FD3" w:rsidP="00612FD3">
      <w:pPr>
        <w:pStyle w:val="Caption"/>
      </w:pPr>
      <w:r w:rsidRPr="00227536">
        <w:fldChar w:fldCharType="begin"/>
      </w:r>
      <w:r w:rsidRPr="00227536">
        <w:instrText xml:space="preserve"> IF 1 = 1 "</w:instrText>
      </w:r>
      <w:r w:rsidRPr="00227536">
        <w:fldChar w:fldCharType="begin"/>
      </w:r>
      <w:r w:rsidRPr="00227536">
        <w:instrText xml:space="preserve"> IF </w:instrText>
      </w:r>
      <w:r w:rsidRPr="00227536">
        <w:rPr>
          <w:noProof/>
        </w:rPr>
        <w:fldChar w:fldCharType="begin"/>
      </w:r>
      <w:r w:rsidRPr="00227536">
        <w:rPr>
          <w:noProof/>
        </w:rPr>
        <w:instrText xml:space="preserve"> STYLEREF "Heading 6" \l \n </w:instrText>
      </w:r>
      <w:r w:rsidRPr="00227536">
        <w:rPr>
          <w:noProof/>
        </w:rPr>
        <w:fldChar w:fldCharType="separate"/>
      </w:r>
      <w:r w:rsidR="00B833F1">
        <w:rPr>
          <w:noProof/>
        </w:rPr>
        <w:instrText>I</w:instrText>
      </w:r>
      <w:r w:rsidRPr="00227536">
        <w:rPr>
          <w:noProof/>
        </w:rPr>
        <w:fldChar w:fldCharType="end"/>
      </w:r>
      <w:r w:rsidRPr="00227536">
        <w:instrText xml:space="preserve"> = 0 "</w:instrText>
      </w:r>
      <w:r w:rsidRPr="00227536">
        <w:fldChar w:fldCharType="begin"/>
      </w:r>
      <w:r w:rsidRPr="00227536">
        <w:instrText xml:space="preserve"> IF </w:instrText>
      </w:r>
      <w:r w:rsidRPr="00227536">
        <w:rPr>
          <w:noProof/>
        </w:rPr>
        <w:fldChar w:fldCharType="begin"/>
      </w:r>
      <w:r w:rsidRPr="00227536">
        <w:rPr>
          <w:noProof/>
        </w:rPr>
        <w:instrText xml:space="preserve"> STYLEREF "Heading 1" \l \n </w:instrText>
      </w:r>
      <w:r w:rsidRPr="00227536">
        <w:rPr>
          <w:noProof/>
        </w:rPr>
        <w:fldChar w:fldCharType="separate"/>
      </w:r>
      <w:r w:rsidRPr="00227536">
        <w:rPr>
          <w:noProof/>
        </w:rPr>
        <w:instrText>1</w:instrText>
      </w:r>
      <w:r w:rsidRPr="00227536">
        <w:rPr>
          <w:noProof/>
        </w:rPr>
        <w:fldChar w:fldCharType="end"/>
      </w:r>
      <w:r w:rsidRPr="00227536">
        <w:instrText xml:space="preserve"> = 0 "" "</w:instrText>
      </w:r>
      <w:r w:rsidRPr="00227536">
        <w:rPr>
          <w:noProof/>
        </w:rPr>
        <w:fldChar w:fldCharType="begin"/>
      </w:r>
      <w:r w:rsidRPr="00227536">
        <w:rPr>
          <w:noProof/>
        </w:rPr>
        <w:instrText xml:space="preserve"> STYLEREF "Heading 1" \l \n </w:instrText>
      </w:r>
      <w:r w:rsidRPr="00227536">
        <w:rPr>
          <w:noProof/>
        </w:rPr>
        <w:fldChar w:fldCharType="separate"/>
      </w:r>
      <w:r w:rsidRPr="00227536">
        <w:rPr>
          <w:noProof/>
        </w:rPr>
        <w:instrText>1</w:instrText>
      </w:r>
      <w:r w:rsidRPr="00227536">
        <w:rPr>
          <w:noProof/>
        </w:rPr>
        <w:fldChar w:fldCharType="end"/>
      </w:r>
      <w:r w:rsidRPr="00227536">
        <w:instrText xml:space="preserve">." </w:instrText>
      </w:r>
      <w:r w:rsidRPr="00227536">
        <w:fldChar w:fldCharType="separate"/>
      </w:r>
      <w:r w:rsidRPr="00227536">
        <w:rPr>
          <w:noProof/>
        </w:rPr>
        <w:instrText>1.</w:instrText>
      </w:r>
      <w:r w:rsidRPr="00227536">
        <w:fldChar w:fldCharType="end"/>
      </w:r>
      <w:r w:rsidRPr="00227536">
        <w:instrText>" "</w:instrText>
      </w:r>
      <w:r w:rsidRPr="00227536">
        <w:rPr>
          <w:noProof/>
        </w:rPr>
        <w:fldChar w:fldCharType="begin"/>
      </w:r>
      <w:r w:rsidRPr="00227536">
        <w:rPr>
          <w:noProof/>
        </w:rPr>
        <w:instrText xml:space="preserve"> STYLEREF "Heading 6" \l \n </w:instrText>
      </w:r>
      <w:r w:rsidRPr="00227536">
        <w:rPr>
          <w:noProof/>
        </w:rPr>
        <w:fldChar w:fldCharType="separate"/>
      </w:r>
      <w:r w:rsidR="00B833F1">
        <w:rPr>
          <w:noProof/>
        </w:rPr>
        <w:instrText>I</w:instrText>
      </w:r>
      <w:r w:rsidRPr="00227536">
        <w:rPr>
          <w:noProof/>
        </w:rPr>
        <w:fldChar w:fldCharType="end"/>
      </w:r>
      <w:r w:rsidRPr="00227536">
        <w:instrText xml:space="preserve">." </w:instrText>
      </w:r>
      <w:r w:rsidRPr="00227536">
        <w:fldChar w:fldCharType="separate"/>
      </w:r>
      <w:r w:rsidR="00B833F1">
        <w:rPr>
          <w:noProof/>
        </w:rPr>
        <w:instrText>I</w:instrText>
      </w:r>
      <w:r w:rsidR="00B833F1" w:rsidRPr="00227536">
        <w:rPr>
          <w:noProof/>
        </w:rPr>
        <w:instrText>.</w:instrText>
      </w:r>
      <w:r w:rsidRPr="00227536">
        <w:fldChar w:fldCharType="end"/>
      </w:r>
      <w:r w:rsidRPr="00227536">
        <w:fldChar w:fldCharType="begin"/>
      </w:r>
      <w:r w:rsidRPr="00227536">
        <w:instrText xml:space="preserve"> SEQ Item \* ARABIC \s </w:instrText>
      </w:r>
      <w:r w:rsidRPr="00227536">
        <w:fldChar w:fldCharType="begin"/>
      </w:r>
      <w:r w:rsidRPr="00227536">
        <w:instrText xml:space="preserve"> IF </w:instrText>
      </w:r>
      <w:r w:rsidRPr="00227536">
        <w:rPr>
          <w:noProof/>
        </w:rPr>
        <w:fldChar w:fldCharType="begin"/>
      </w:r>
      <w:r w:rsidRPr="00227536">
        <w:rPr>
          <w:noProof/>
        </w:rPr>
        <w:instrText xml:space="preserve"> STYLEREF "Heading 6" \l \n </w:instrText>
      </w:r>
      <w:r w:rsidRPr="00227536">
        <w:rPr>
          <w:noProof/>
        </w:rPr>
        <w:fldChar w:fldCharType="separate"/>
      </w:r>
      <w:r w:rsidR="00B833F1">
        <w:rPr>
          <w:noProof/>
        </w:rPr>
        <w:instrText>I</w:instrText>
      </w:r>
      <w:r w:rsidRPr="00227536">
        <w:rPr>
          <w:noProof/>
        </w:rPr>
        <w:fldChar w:fldCharType="end"/>
      </w:r>
      <w:r w:rsidRPr="00227536">
        <w:instrText xml:space="preserve"> = 0 "</w:instrText>
      </w:r>
      <w:r w:rsidRPr="00227536">
        <w:fldChar w:fldCharType="begin"/>
      </w:r>
      <w:r w:rsidRPr="00227536">
        <w:instrText xml:space="preserve"> IF </w:instrText>
      </w:r>
      <w:r w:rsidRPr="00227536">
        <w:rPr>
          <w:noProof/>
        </w:rPr>
        <w:fldChar w:fldCharType="begin"/>
      </w:r>
      <w:r w:rsidRPr="00227536">
        <w:rPr>
          <w:noProof/>
        </w:rPr>
        <w:instrText xml:space="preserve"> STYLEREF "Heading 1" \l \n </w:instrText>
      </w:r>
      <w:r w:rsidRPr="00227536">
        <w:rPr>
          <w:noProof/>
        </w:rPr>
        <w:fldChar w:fldCharType="separate"/>
      </w:r>
      <w:r w:rsidRPr="00227536">
        <w:rPr>
          <w:noProof/>
        </w:rPr>
        <w:instrText>1</w:instrText>
      </w:r>
      <w:r w:rsidRPr="00227536">
        <w:rPr>
          <w:noProof/>
        </w:rPr>
        <w:fldChar w:fldCharType="end"/>
      </w:r>
      <w:r w:rsidRPr="00227536">
        <w:instrText xml:space="preserve"> = 0 "" "1" </w:instrText>
      </w:r>
      <w:r w:rsidRPr="00227536">
        <w:fldChar w:fldCharType="separate"/>
      </w:r>
      <w:r w:rsidRPr="00227536">
        <w:rPr>
          <w:noProof/>
        </w:rPr>
        <w:instrText>1</w:instrText>
      </w:r>
      <w:r w:rsidRPr="00227536">
        <w:fldChar w:fldCharType="end"/>
      </w:r>
      <w:r w:rsidRPr="00227536">
        <w:instrText xml:space="preserve">" "6" </w:instrText>
      </w:r>
      <w:r w:rsidRPr="00227536">
        <w:fldChar w:fldCharType="separate"/>
      </w:r>
      <w:r w:rsidR="00B833F1" w:rsidRPr="00227536">
        <w:rPr>
          <w:noProof/>
        </w:rPr>
        <w:instrText>6</w:instrText>
      </w:r>
      <w:r w:rsidRPr="00227536">
        <w:fldChar w:fldCharType="end"/>
      </w:r>
      <w:r w:rsidRPr="00227536">
        <w:instrText xml:space="preserve"> </w:instrText>
      </w:r>
      <w:r w:rsidRPr="00227536">
        <w:fldChar w:fldCharType="separate"/>
      </w:r>
      <w:r w:rsidR="00B833F1">
        <w:rPr>
          <w:noProof/>
        </w:rPr>
        <w:instrText>4</w:instrText>
      </w:r>
      <w:r w:rsidRPr="00227536">
        <w:fldChar w:fldCharType="end"/>
      </w:r>
      <w:r w:rsidRPr="00227536">
        <w:instrText xml:space="preserve">" "" </w:instrText>
      </w:r>
      <w:r w:rsidRPr="00227536">
        <w:fldChar w:fldCharType="separate"/>
      </w:r>
      <w:bookmarkStart w:id="9196" w:name="_Caption8767"/>
      <w:bookmarkStart w:id="9197" w:name="_Caption7378"/>
      <w:bookmarkStart w:id="9198" w:name="_Caption0045"/>
      <w:bookmarkStart w:id="9199" w:name="_Caption7976"/>
      <w:bookmarkStart w:id="9200" w:name="_Caption0453"/>
      <w:bookmarkStart w:id="9201" w:name="_Caption1716"/>
      <w:bookmarkStart w:id="9202" w:name="_Caption3085"/>
      <w:bookmarkStart w:id="9203" w:name="_Caption8025"/>
      <w:bookmarkStart w:id="9204" w:name="_Caption7398"/>
      <w:bookmarkStart w:id="9205" w:name="_Caption2878"/>
      <w:bookmarkStart w:id="9206" w:name="_Caption7195"/>
      <w:bookmarkStart w:id="9207" w:name="_Caption0720"/>
      <w:bookmarkStart w:id="9208" w:name="_Caption9695"/>
      <w:bookmarkStart w:id="9209" w:name="_Caption1800"/>
      <w:bookmarkStart w:id="9210" w:name="_Caption6532"/>
      <w:bookmarkStart w:id="9211" w:name="_Caption3490"/>
      <w:bookmarkStart w:id="9212" w:name="_Caption5697"/>
      <w:bookmarkStart w:id="9213" w:name="_Caption6509"/>
      <w:bookmarkStart w:id="9214" w:name="_Caption8297"/>
      <w:bookmarkStart w:id="9215" w:name="_Caption3344"/>
      <w:bookmarkStart w:id="9216" w:name="_Caption0706"/>
      <w:bookmarkStart w:id="9217" w:name="_Caption5427"/>
      <w:bookmarkStart w:id="9218" w:name="_Caption3444"/>
      <w:bookmarkStart w:id="9219" w:name="_Caption9334"/>
      <w:bookmarkStart w:id="9220" w:name="_Caption9061"/>
      <w:bookmarkStart w:id="9221" w:name="_Caption2418"/>
      <w:bookmarkStart w:id="9222" w:name="_Caption6293"/>
      <w:bookmarkStart w:id="9223" w:name="_Caption1948"/>
      <w:bookmarkStart w:id="9224" w:name="_Caption1433"/>
      <w:bookmarkStart w:id="9225" w:name="_Caption3241"/>
      <w:bookmarkStart w:id="9226" w:name="_Caption8058"/>
      <w:bookmarkStart w:id="9227" w:name="_Caption0253"/>
      <w:bookmarkStart w:id="9228" w:name="_Caption5185"/>
      <w:bookmarkStart w:id="9229" w:name="_Caption7626"/>
      <w:bookmarkStart w:id="9230" w:name="_Caption8229"/>
      <w:bookmarkStart w:id="9231" w:name="_Caption0221"/>
      <w:bookmarkStart w:id="9232" w:name="_Caption5455"/>
      <w:bookmarkStart w:id="9233" w:name="_Caption8940"/>
      <w:bookmarkStart w:id="9234" w:name="_Caption5884"/>
      <w:bookmarkStart w:id="9235" w:name="_Caption2887"/>
      <w:bookmarkStart w:id="9236" w:name="_Caption1032"/>
      <w:bookmarkStart w:id="9237" w:name="_Caption3161"/>
      <w:bookmarkStart w:id="9238" w:name="_Caption0068"/>
      <w:bookmarkStart w:id="9239" w:name="_Caption8231"/>
      <w:bookmarkStart w:id="9240" w:name="_Caption0585"/>
      <w:bookmarkStart w:id="9241" w:name="_Caption1744"/>
      <w:bookmarkStart w:id="9242" w:name="_Caption0849"/>
      <w:bookmarkStart w:id="9243" w:name="_Caption4824"/>
      <w:bookmarkStart w:id="9244" w:name="_Caption7907"/>
      <w:bookmarkStart w:id="9245" w:name="_Caption4633"/>
      <w:bookmarkStart w:id="9246" w:name="_Caption2627"/>
      <w:bookmarkStart w:id="9247" w:name="_Caption5649"/>
      <w:bookmarkStart w:id="9248" w:name="_Caption5129"/>
      <w:bookmarkStart w:id="9249" w:name="_Caption3992"/>
      <w:bookmarkStart w:id="9250" w:name="_Caption5157"/>
      <w:bookmarkStart w:id="9251" w:name="_Caption4915"/>
      <w:bookmarkStart w:id="9252" w:name="_Caption5173"/>
      <w:bookmarkStart w:id="9253" w:name="_Caption7175"/>
      <w:bookmarkStart w:id="9254" w:name="_Caption3364"/>
      <w:bookmarkStart w:id="9255" w:name="_Caption7615"/>
      <w:bookmarkStart w:id="9256" w:name="_Caption4041"/>
      <w:bookmarkStart w:id="9257" w:name="_Caption4890"/>
      <w:bookmarkStart w:id="9258" w:name="_Caption7541"/>
      <w:bookmarkStart w:id="9259" w:name="_Caption6976"/>
      <w:bookmarkStart w:id="9260" w:name="_Caption6706"/>
      <w:bookmarkStart w:id="9261" w:name="_Caption4345"/>
      <w:bookmarkStart w:id="9262" w:name="_Caption0016"/>
      <w:bookmarkStart w:id="9263" w:name="_Toc529870018"/>
      <w:bookmarkStart w:id="9264" w:name="_Toc530748514"/>
      <w:r w:rsidR="00EA42ED">
        <w:rPr>
          <w:noProof/>
        </w:rPr>
        <w:t>I</w:t>
      </w:r>
      <w:r w:rsidR="00EA42ED" w:rsidRPr="00227536">
        <w:rPr>
          <w:noProof/>
        </w:rPr>
        <w:t>.</w:t>
      </w:r>
      <w:r w:rsidR="00EA42ED">
        <w:rPr>
          <w:noProof/>
        </w:rPr>
        <w:t>4</w:t>
      </w:r>
      <w:bookmarkEnd w:id="9196"/>
      <w:bookmarkEnd w:id="9197"/>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bookmarkEnd w:id="9216"/>
      <w:bookmarkEnd w:id="9217"/>
      <w:bookmarkEnd w:id="9218"/>
      <w:bookmarkEnd w:id="9219"/>
      <w:bookmarkEnd w:id="9220"/>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bookmarkEnd w:id="9261"/>
      <w:bookmarkEnd w:id="9262"/>
      <w:r w:rsidRPr="00227536">
        <w:fldChar w:fldCharType="end"/>
      </w:r>
      <w:r w:rsidRPr="00227536">
        <w:tab/>
        <w:t>Net benefits to Victoria — low realisation scenario</w:t>
      </w:r>
      <w:bookmarkEnd w:id="9263"/>
      <w:bookmarkEnd w:id="9264"/>
    </w:p>
    <w:tbl>
      <w:tblPr>
        <w:tblW w:w="7937" w:type="dxa"/>
        <w:tblLayout w:type="fixed"/>
        <w:tblLook w:val="0000" w:firstRow="0" w:lastRow="0" w:firstColumn="0" w:lastColumn="0" w:noHBand="0" w:noVBand="0"/>
        <w:tblCaption w:val="Table I.4: Net benefits to Victoria - low realisation scenario"/>
        <w:tblDescription w:val="This table shows the net benefits under a low realisation scenario of the proposed changes to NCC 2019 in Victoria. "/>
      </w:tblPr>
      <w:tblGrid>
        <w:gridCol w:w="2456"/>
        <w:gridCol w:w="783"/>
        <w:gridCol w:w="783"/>
        <w:gridCol w:w="783"/>
        <w:gridCol w:w="783"/>
        <w:gridCol w:w="783"/>
        <w:gridCol w:w="783"/>
        <w:gridCol w:w="783"/>
      </w:tblGrid>
      <w:tr w:rsidR="00612FD3" w:rsidTr="00301B6D">
        <w:trPr>
          <w:trHeight w:val="230"/>
          <w:tblHeader/>
        </w:trPr>
        <w:tc>
          <w:tcPr>
            <w:tcW w:w="2456" w:type="dxa"/>
            <w:shd w:val="clear" w:color="auto" w:fill="6F6652"/>
            <w:tcMar>
              <w:left w:w="57" w:type="dxa"/>
              <w:right w:w="57" w:type="dxa"/>
            </w:tcMar>
          </w:tcPr>
          <w:p w:rsidR="00612FD3" w:rsidRDefault="00612FD3" w:rsidP="00301B6D">
            <w:pPr>
              <w:pStyle w:val="TableDataColumnHeading"/>
              <w:jc w:val="left"/>
              <w:rPr>
                <w:lang w:val="en-GB"/>
              </w:rPr>
            </w:pP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CZ1</w:t>
            </w: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CZ2</w:t>
            </w: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CZ3</w:t>
            </w: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CZ4</w:t>
            </w: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CZ5</w:t>
            </w: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CZ6</w:t>
            </w: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CZ7</w:t>
            </w:r>
          </w:p>
        </w:tc>
      </w:tr>
      <w:tr w:rsidR="00612FD3" w:rsidTr="00301B6D">
        <w:trPr>
          <w:trHeight w:val="230"/>
          <w:tblHeader/>
        </w:trPr>
        <w:tc>
          <w:tcPr>
            <w:tcW w:w="2456"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jc w:val="left"/>
              <w:rPr>
                <w:lang w:val="en-GB"/>
              </w:rPr>
            </w:pP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r>
      <w:tr w:rsidR="00612FD3" w:rsidTr="00817952">
        <w:trPr>
          <w:trHeight w:val="230"/>
        </w:trPr>
        <w:tc>
          <w:tcPr>
            <w:tcW w:w="245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r>
              <w:rPr>
                <w:lang w:val="en-GB"/>
              </w:rPr>
              <w:t>Hotels</w:t>
            </w: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r>
      <w:tr w:rsidR="00227536" w:rsidTr="00817952">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Bill savings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28.71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30.21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28.25</w:t>
            </w:r>
          </w:p>
        </w:tc>
      </w:tr>
      <w:tr w:rsidR="00227536" w:rsidTr="00817952">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Bill savings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1.42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1.01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1.05</w:t>
            </w:r>
          </w:p>
        </w:tc>
      </w:tr>
      <w:tr w:rsidR="00227536" w:rsidTr="00D364DA">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Private costs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1.10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0.77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12.65</w:t>
            </w:r>
          </w:p>
        </w:tc>
      </w:tr>
      <w:tr w:rsidR="00227536" w:rsidRPr="00D364DA" w:rsidTr="00D364DA">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227536" w:rsidRPr="00D364DA" w:rsidRDefault="00227536" w:rsidP="00227536">
            <w:pPr>
              <w:pStyle w:val="TableDataEntries"/>
              <w:jc w:val="left"/>
              <w:rPr>
                <w:lang w:val="en-GB"/>
              </w:rPr>
            </w:pPr>
            <w:r w:rsidRPr="00D364DA">
              <w:rPr>
                <w:lang w:val="en-GB"/>
              </w:rPr>
              <w:t>Net private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 xml:space="preserve"> 31.23</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 xml:space="preserve"> 31.99</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 xml:space="preserve"> 41.96</w:t>
            </w:r>
          </w:p>
        </w:tc>
      </w:tr>
      <w:tr w:rsidR="00227536" w:rsidTr="00817952">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Avoided GHG emissions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10.31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10.85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10.14</w:t>
            </w:r>
          </w:p>
        </w:tc>
      </w:tr>
      <w:tr w:rsidR="00227536"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Avoided GHG emissions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0.45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0.32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0.33</w:t>
            </w:r>
          </w:p>
        </w:tc>
      </w:tr>
      <w:tr w:rsidR="00227536" w:rsidRPr="00227536"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227536" w:rsidRPr="00227536" w:rsidRDefault="00227536" w:rsidP="00227536">
            <w:pPr>
              <w:pStyle w:val="TableDataEntries"/>
              <w:jc w:val="left"/>
              <w:rPr>
                <w:rFonts w:ascii="Franklin Gothic Demi" w:hAnsi="Franklin Gothic Demi"/>
                <w:lang w:val="en-GB"/>
              </w:rPr>
            </w:pPr>
            <w:r w:rsidRPr="00227536">
              <w:rPr>
                <w:rFonts w:ascii="Franklin Gothic Demi" w:hAnsi="Franklin Gothic Demi"/>
                <w:lang w:val="en-GB"/>
              </w:rPr>
              <w:t>Net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 xml:space="preserve"> 41.99</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 xml:space="preserve"> 43.15</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 xml:space="preserve"> 52.43</w:t>
            </w:r>
          </w:p>
        </w:tc>
      </w:tr>
      <w:tr w:rsidR="00227536" w:rsidTr="00301B6D">
        <w:trPr>
          <w:trHeight w:val="230"/>
        </w:trPr>
        <w:tc>
          <w:tcPr>
            <w:tcW w:w="245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227536" w:rsidRDefault="00227536" w:rsidP="00227536">
            <w:pPr>
              <w:pStyle w:val="TableHeading1"/>
              <w:rPr>
                <w:lang w:val="en-GB"/>
              </w:rPr>
            </w:pPr>
            <w:r>
              <w:rPr>
                <w:lang w:val="en-GB"/>
              </w:rPr>
              <w:t>Office building</w:t>
            </w: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r>
      <w:tr w:rsidR="00227536" w:rsidTr="00817952">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Bill savings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6.45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7.01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6.37</w:t>
            </w:r>
          </w:p>
        </w:tc>
      </w:tr>
      <w:tr w:rsidR="00227536" w:rsidTr="00817952">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Bill savings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0.96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0.51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0.96</w:t>
            </w:r>
          </w:p>
        </w:tc>
      </w:tr>
      <w:tr w:rsidR="00227536" w:rsidTr="00D364DA">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Private costs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- 7.12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- 5.29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- 1.72</w:t>
            </w:r>
          </w:p>
        </w:tc>
      </w:tr>
      <w:tr w:rsidR="00227536" w:rsidRPr="00D364DA" w:rsidTr="00D364DA">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227536" w:rsidRPr="00D364DA" w:rsidRDefault="00227536" w:rsidP="00227536">
            <w:pPr>
              <w:pStyle w:val="TableDataEntries"/>
              <w:jc w:val="left"/>
              <w:rPr>
                <w:lang w:val="en-GB"/>
              </w:rPr>
            </w:pPr>
            <w:r w:rsidRPr="00D364DA">
              <w:rPr>
                <w:lang w:val="en-GB"/>
              </w:rPr>
              <w:t>Net private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 xml:space="preserve"> 0.29</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 xml:space="preserve"> 2.23</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 xml:space="preserve"> 5.61</w:t>
            </w:r>
          </w:p>
        </w:tc>
      </w:tr>
      <w:tr w:rsidR="00227536" w:rsidTr="00817952">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Avoided GHG emissions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2.32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2.52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2.29</w:t>
            </w:r>
          </w:p>
        </w:tc>
      </w:tr>
      <w:tr w:rsidR="00227536"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Avoided GHG emissions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0.30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0.16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0.30</w:t>
            </w:r>
          </w:p>
        </w:tc>
      </w:tr>
      <w:tr w:rsidR="00227536" w:rsidRPr="00227536"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227536" w:rsidRPr="00227536" w:rsidRDefault="00227536" w:rsidP="00227536">
            <w:pPr>
              <w:pStyle w:val="TableDataEntries"/>
              <w:jc w:val="left"/>
              <w:rPr>
                <w:rFonts w:ascii="Franklin Gothic Demi" w:hAnsi="Franklin Gothic Demi"/>
                <w:lang w:val="en-GB"/>
              </w:rPr>
            </w:pPr>
            <w:r w:rsidRPr="00227536">
              <w:rPr>
                <w:rFonts w:ascii="Franklin Gothic Demi" w:hAnsi="Franklin Gothic Demi"/>
                <w:lang w:val="en-GB"/>
              </w:rPr>
              <w:t>Net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 xml:space="preserve"> 2.91</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 xml:space="preserve"> 4.91</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 xml:space="preserve"> 8.20</w:t>
            </w:r>
          </w:p>
        </w:tc>
      </w:tr>
      <w:tr w:rsidR="00227536" w:rsidTr="00301B6D">
        <w:trPr>
          <w:trHeight w:val="230"/>
        </w:trPr>
        <w:tc>
          <w:tcPr>
            <w:tcW w:w="245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227536" w:rsidRDefault="00227536" w:rsidP="00227536">
            <w:pPr>
              <w:pStyle w:val="TableHeading1"/>
              <w:rPr>
                <w:lang w:val="en-GB"/>
              </w:rPr>
            </w:pPr>
            <w:r>
              <w:rPr>
                <w:lang w:val="en-GB"/>
              </w:rPr>
              <w:t>Retail</w:t>
            </w: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r>
      <w:tr w:rsidR="00227536"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Bill savings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35.72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37.37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- 4.40</w:t>
            </w:r>
          </w:p>
        </w:tc>
      </w:tr>
      <w:tr w:rsidR="00227536"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Bill savings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- 3.59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- 7.88</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3.99</w:t>
            </w:r>
          </w:p>
        </w:tc>
      </w:tr>
      <w:tr w:rsidR="00227536" w:rsidTr="00D364DA">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Private costs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- 18.60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- 10.36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- 16.62</w:t>
            </w:r>
          </w:p>
        </w:tc>
      </w:tr>
      <w:tr w:rsidR="00227536" w:rsidRPr="00D364DA" w:rsidTr="00D364DA">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227536" w:rsidRPr="00D364DA" w:rsidRDefault="00227536" w:rsidP="00227536">
            <w:pPr>
              <w:pStyle w:val="TableDataEntries"/>
              <w:jc w:val="left"/>
              <w:rPr>
                <w:lang w:val="en-GB"/>
              </w:rPr>
            </w:pPr>
            <w:r w:rsidRPr="00D364DA">
              <w:rPr>
                <w:lang w:val="en-GB"/>
              </w:rPr>
              <w:t>Net private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 xml:space="preserve"> 13.53</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 xml:space="preserve"> 19.13</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- 17.03</w:t>
            </w:r>
          </w:p>
        </w:tc>
      </w:tr>
      <w:tr w:rsidR="00227536" w:rsidTr="00817952">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Avoided GHG emissions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12.82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13.41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- 1.58</w:t>
            </w:r>
          </w:p>
        </w:tc>
      </w:tr>
      <w:tr w:rsidR="00227536"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Avoided GHG emissions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- 1.13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- 2.48</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1.26</w:t>
            </w:r>
          </w:p>
        </w:tc>
      </w:tr>
      <w:tr w:rsidR="00227536" w:rsidRPr="00227536"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227536" w:rsidRPr="00227536" w:rsidRDefault="00227536" w:rsidP="00227536">
            <w:pPr>
              <w:pStyle w:val="TableDataEntries"/>
              <w:jc w:val="left"/>
              <w:rPr>
                <w:rFonts w:ascii="Franklin Gothic Demi" w:hAnsi="Franklin Gothic Demi"/>
                <w:lang w:val="en-GB"/>
              </w:rPr>
            </w:pPr>
            <w:r w:rsidRPr="00227536">
              <w:rPr>
                <w:rFonts w:ascii="Franklin Gothic Demi" w:hAnsi="Franklin Gothic Demi"/>
                <w:lang w:val="en-GB"/>
              </w:rPr>
              <w:t>Net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 xml:space="preserve"> 25.22</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 xml:space="preserve"> 30.06</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- 17.35</w:t>
            </w:r>
          </w:p>
        </w:tc>
      </w:tr>
      <w:tr w:rsidR="00227536" w:rsidTr="00301B6D">
        <w:trPr>
          <w:trHeight w:val="230"/>
        </w:trPr>
        <w:tc>
          <w:tcPr>
            <w:tcW w:w="245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227536" w:rsidRDefault="00227536" w:rsidP="00227536">
            <w:pPr>
              <w:pStyle w:val="TableHeading1"/>
              <w:rPr>
                <w:lang w:val="en-GB"/>
              </w:rPr>
            </w:pPr>
            <w:r>
              <w:rPr>
                <w:lang w:val="en-GB"/>
              </w:rPr>
              <w:t>Healthcare</w:t>
            </w: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r>
      <w:tr w:rsidR="00227536"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Bill savings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13.72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7.40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14.82</w:t>
            </w:r>
          </w:p>
        </w:tc>
      </w:tr>
      <w:tr w:rsidR="00227536" w:rsidTr="00817952">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Bill savings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- 0.19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- 3.90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- 5.11</w:t>
            </w:r>
          </w:p>
        </w:tc>
      </w:tr>
      <w:tr w:rsidR="00227536" w:rsidTr="00D364DA">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Private costs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- 17.49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- 26.49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- 28.34</w:t>
            </w:r>
          </w:p>
        </w:tc>
      </w:tr>
      <w:tr w:rsidR="00227536" w:rsidRPr="00D364DA" w:rsidTr="00D364DA">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227536" w:rsidRPr="00D364DA" w:rsidRDefault="00227536" w:rsidP="00227536">
            <w:pPr>
              <w:pStyle w:val="TableDataEntries"/>
              <w:jc w:val="left"/>
              <w:rPr>
                <w:lang w:val="en-GB"/>
              </w:rPr>
            </w:pPr>
            <w:r w:rsidRPr="00D364DA">
              <w:rPr>
                <w:lang w:val="en-GB"/>
              </w:rPr>
              <w:t>Net private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- 3.96</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- 22.98</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- 18.63</w:t>
            </w:r>
          </w:p>
        </w:tc>
      </w:tr>
      <w:tr w:rsidR="00227536" w:rsidTr="00817952">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Avoided GHG emissions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4.93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2.66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5.32</w:t>
            </w:r>
          </w:p>
        </w:tc>
      </w:tr>
      <w:tr w:rsidR="00227536"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Avoided GHG emissions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- 0.06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- 1.23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- 1.61</w:t>
            </w:r>
          </w:p>
        </w:tc>
      </w:tr>
      <w:tr w:rsidR="00227536" w:rsidRPr="00227536"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227536" w:rsidRPr="00227536" w:rsidRDefault="00227536" w:rsidP="00227536">
            <w:pPr>
              <w:pStyle w:val="TableDataEntries"/>
              <w:jc w:val="left"/>
              <w:rPr>
                <w:rFonts w:ascii="Franklin Gothic Demi" w:hAnsi="Franklin Gothic Demi"/>
                <w:lang w:val="en-GB"/>
              </w:rPr>
            </w:pPr>
            <w:r w:rsidRPr="00227536">
              <w:rPr>
                <w:rFonts w:ascii="Franklin Gothic Demi" w:hAnsi="Franklin Gothic Demi"/>
                <w:lang w:val="en-GB"/>
              </w:rPr>
              <w:t>Net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 xml:space="preserve"> 0.91</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- 21.56</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- 14.92</w:t>
            </w:r>
          </w:p>
        </w:tc>
      </w:tr>
      <w:tr w:rsidR="00227536" w:rsidTr="00301B6D">
        <w:trPr>
          <w:trHeight w:val="230"/>
        </w:trPr>
        <w:tc>
          <w:tcPr>
            <w:tcW w:w="245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227536" w:rsidRDefault="00227536" w:rsidP="00227536">
            <w:pPr>
              <w:pStyle w:val="TableHeading1"/>
              <w:rPr>
                <w:lang w:val="en-GB"/>
              </w:rPr>
            </w:pPr>
            <w:r>
              <w:rPr>
                <w:lang w:val="en-GB"/>
              </w:rPr>
              <w:t>School</w:t>
            </w: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r>
      <w:tr w:rsidR="00227536"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Bill savings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28.97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23.67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36.73</w:t>
            </w:r>
          </w:p>
        </w:tc>
      </w:tr>
      <w:tr w:rsidR="00227536" w:rsidTr="00817952">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Bill savings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4.35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5.14</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3.52</w:t>
            </w:r>
          </w:p>
        </w:tc>
      </w:tr>
      <w:tr w:rsidR="00227536" w:rsidTr="00D364DA">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Private costs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- 17.65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- 7.71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- 8.72</w:t>
            </w:r>
          </w:p>
        </w:tc>
      </w:tr>
      <w:tr w:rsidR="00227536" w:rsidRPr="00D364DA" w:rsidTr="00D364DA">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227536" w:rsidRPr="00D364DA" w:rsidRDefault="00227536" w:rsidP="00227536">
            <w:pPr>
              <w:pStyle w:val="TableDataEntries"/>
              <w:jc w:val="left"/>
              <w:rPr>
                <w:lang w:val="en-GB"/>
              </w:rPr>
            </w:pPr>
            <w:r w:rsidRPr="00D364DA">
              <w:rPr>
                <w:lang w:val="en-GB"/>
              </w:rPr>
              <w:t>Net private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 xml:space="preserve"> 15.67</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 xml:space="preserve"> 21.10</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 xml:space="preserve"> 31.53</w:t>
            </w:r>
          </w:p>
        </w:tc>
      </w:tr>
      <w:tr w:rsidR="00227536"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Avoided GHG emissions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10.40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8.50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13.19</w:t>
            </w:r>
          </w:p>
        </w:tc>
      </w:tr>
      <w:tr w:rsidR="00227536"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Avoided GHG emissions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1.37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1.62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1.11</w:t>
            </w:r>
          </w:p>
        </w:tc>
      </w:tr>
      <w:tr w:rsidR="00227536" w:rsidRPr="00227536" w:rsidTr="00301B6D">
        <w:trPr>
          <w:trHeight w:val="230"/>
        </w:trPr>
        <w:tc>
          <w:tcPr>
            <w:tcW w:w="2456"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rsidR="00227536" w:rsidRPr="00227536" w:rsidRDefault="00227536" w:rsidP="00227536">
            <w:pPr>
              <w:pStyle w:val="TableDataEntries"/>
              <w:jc w:val="left"/>
              <w:rPr>
                <w:rFonts w:ascii="Franklin Gothic Demi" w:hAnsi="Franklin Gothic Demi"/>
                <w:lang w:val="en-GB"/>
              </w:rPr>
            </w:pPr>
            <w:r w:rsidRPr="00227536">
              <w:rPr>
                <w:rFonts w:ascii="Franklin Gothic Demi" w:hAnsi="Franklin Gothic Demi"/>
                <w:lang w:val="en-GB"/>
              </w:rPr>
              <w:t>Net benefit/cost</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n.a.</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n.a.</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n.a.</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 xml:space="preserve"> 27.44</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n.a.</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 xml:space="preserve"> 31.22</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 xml:space="preserve"> 45.83</w:t>
            </w:r>
          </w:p>
        </w:tc>
      </w:tr>
    </w:tbl>
    <w:p w:rsidR="00612FD3" w:rsidRDefault="00612FD3" w:rsidP="00612FD3">
      <w:pPr>
        <w:pStyle w:val="Note"/>
        <w:rPr>
          <w:lang w:bidi="fa-IR"/>
        </w:rPr>
      </w:pPr>
      <w:r w:rsidRPr="007D1B4F">
        <w:rPr>
          <w:i/>
        </w:rPr>
        <w:t>Note:</w:t>
      </w:r>
      <w:r w:rsidRPr="00E879B8">
        <w:t xml:space="preserve"> </w:t>
      </w:r>
      <w:r>
        <w:t>Costs and benefits are estimated over the assumed 40 year life of the building, using a discount rate of 7 per cent.</w:t>
      </w:r>
    </w:p>
    <w:p w:rsidR="00612FD3" w:rsidRDefault="00612FD3" w:rsidP="00612FD3">
      <w:pPr>
        <w:pStyle w:val="Source"/>
        <w:rPr>
          <w:lang w:bidi="fa-IR"/>
        </w:rPr>
      </w:pPr>
      <w:r w:rsidRPr="00C6138D">
        <w:rPr>
          <w:i/>
          <w:lang w:bidi="fa-IR"/>
        </w:rPr>
        <w:t>Source:</w:t>
      </w:r>
      <w:r>
        <w:rPr>
          <w:lang w:bidi="fa-IR"/>
        </w:rPr>
        <w:t xml:space="preserve"> CIE based on </w:t>
      </w:r>
      <w:r w:rsidR="00EB5964">
        <w:rPr>
          <w:lang w:bidi="fa-IR"/>
        </w:rPr>
        <w:t>EA</w:t>
      </w:r>
      <w:r>
        <w:rPr>
          <w:lang w:bidi="fa-IR"/>
        </w:rPr>
        <w:t xml:space="preserve"> modelling.</w:t>
      </w:r>
    </w:p>
    <w:p w:rsidR="00612FD3" w:rsidRDefault="00612FD3" w:rsidP="00612FD3">
      <w:pPr>
        <w:pStyle w:val="Caption"/>
      </w:pPr>
      <w:r w:rsidRPr="00227536">
        <w:fldChar w:fldCharType="begin"/>
      </w:r>
      <w:r w:rsidRPr="00227536">
        <w:instrText xml:space="preserve"> IF 1 = 1 "</w:instrText>
      </w:r>
      <w:r w:rsidRPr="00227536">
        <w:fldChar w:fldCharType="begin"/>
      </w:r>
      <w:r w:rsidRPr="00227536">
        <w:instrText xml:space="preserve"> IF </w:instrText>
      </w:r>
      <w:r w:rsidRPr="00227536">
        <w:rPr>
          <w:noProof/>
        </w:rPr>
        <w:fldChar w:fldCharType="begin"/>
      </w:r>
      <w:r w:rsidRPr="00227536">
        <w:rPr>
          <w:noProof/>
        </w:rPr>
        <w:instrText xml:space="preserve"> STYLEREF "Heading 6" \l \n </w:instrText>
      </w:r>
      <w:r w:rsidRPr="00227536">
        <w:rPr>
          <w:noProof/>
        </w:rPr>
        <w:fldChar w:fldCharType="separate"/>
      </w:r>
      <w:r w:rsidR="00B833F1">
        <w:rPr>
          <w:noProof/>
        </w:rPr>
        <w:instrText>I</w:instrText>
      </w:r>
      <w:r w:rsidRPr="00227536">
        <w:rPr>
          <w:noProof/>
        </w:rPr>
        <w:fldChar w:fldCharType="end"/>
      </w:r>
      <w:r w:rsidRPr="00227536">
        <w:instrText xml:space="preserve"> = 0 "</w:instrText>
      </w:r>
      <w:r w:rsidRPr="00227536">
        <w:fldChar w:fldCharType="begin"/>
      </w:r>
      <w:r w:rsidRPr="00227536">
        <w:instrText xml:space="preserve"> IF </w:instrText>
      </w:r>
      <w:r w:rsidRPr="00227536">
        <w:rPr>
          <w:noProof/>
        </w:rPr>
        <w:fldChar w:fldCharType="begin"/>
      </w:r>
      <w:r w:rsidRPr="00227536">
        <w:rPr>
          <w:noProof/>
        </w:rPr>
        <w:instrText xml:space="preserve"> STYLEREF "Heading 1" \l \n </w:instrText>
      </w:r>
      <w:r w:rsidRPr="00227536">
        <w:rPr>
          <w:noProof/>
        </w:rPr>
        <w:fldChar w:fldCharType="separate"/>
      </w:r>
      <w:r w:rsidRPr="00227536">
        <w:rPr>
          <w:noProof/>
        </w:rPr>
        <w:instrText>1</w:instrText>
      </w:r>
      <w:r w:rsidRPr="00227536">
        <w:rPr>
          <w:noProof/>
        </w:rPr>
        <w:fldChar w:fldCharType="end"/>
      </w:r>
      <w:r w:rsidRPr="00227536">
        <w:instrText xml:space="preserve"> = 0 "" "</w:instrText>
      </w:r>
      <w:r w:rsidRPr="00227536">
        <w:rPr>
          <w:noProof/>
        </w:rPr>
        <w:fldChar w:fldCharType="begin"/>
      </w:r>
      <w:r w:rsidRPr="00227536">
        <w:rPr>
          <w:noProof/>
        </w:rPr>
        <w:instrText xml:space="preserve"> STYLEREF "Heading 1" \l \n </w:instrText>
      </w:r>
      <w:r w:rsidRPr="00227536">
        <w:rPr>
          <w:noProof/>
        </w:rPr>
        <w:fldChar w:fldCharType="separate"/>
      </w:r>
      <w:r w:rsidRPr="00227536">
        <w:rPr>
          <w:noProof/>
        </w:rPr>
        <w:instrText>1</w:instrText>
      </w:r>
      <w:r w:rsidRPr="00227536">
        <w:rPr>
          <w:noProof/>
        </w:rPr>
        <w:fldChar w:fldCharType="end"/>
      </w:r>
      <w:r w:rsidRPr="00227536">
        <w:instrText xml:space="preserve">." </w:instrText>
      </w:r>
      <w:r w:rsidRPr="00227536">
        <w:fldChar w:fldCharType="separate"/>
      </w:r>
      <w:r w:rsidRPr="00227536">
        <w:rPr>
          <w:noProof/>
        </w:rPr>
        <w:instrText>1.</w:instrText>
      </w:r>
      <w:r w:rsidRPr="00227536">
        <w:fldChar w:fldCharType="end"/>
      </w:r>
      <w:r w:rsidRPr="00227536">
        <w:instrText>" "</w:instrText>
      </w:r>
      <w:r w:rsidRPr="00227536">
        <w:rPr>
          <w:noProof/>
        </w:rPr>
        <w:fldChar w:fldCharType="begin"/>
      </w:r>
      <w:r w:rsidRPr="00227536">
        <w:rPr>
          <w:noProof/>
        </w:rPr>
        <w:instrText xml:space="preserve"> STYLEREF "Heading 6" \l \n </w:instrText>
      </w:r>
      <w:r w:rsidRPr="00227536">
        <w:rPr>
          <w:noProof/>
        </w:rPr>
        <w:fldChar w:fldCharType="separate"/>
      </w:r>
      <w:r w:rsidR="00B833F1">
        <w:rPr>
          <w:noProof/>
        </w:rPr>
        <w:instrText>I</w:instrText>
      </w:r>
      <w:r w:rsidRPr="00227536">
        <w:rPr>
          <w:noProof/>
        </w:rPr>
        <w:fldChar w:fldCharType="end"/>
      </w:r>
      <w:r w:rsidRPr="00227536">
        <w:instrText xml:space="preserve">." </w:instrText>
      </w:r>
      <w:r w:rsidRPr="00227536">
        <w:fldChar w:fldCharType="separate"/>
      </w:r>
      <w:r w:rsidR="00B833F1">
        <w:rPr>
          <w:noProof/>
        </w:rPr>
        <w:instrText>I</w:instrText>
      </w:r>
      <w:r w:rsidR="00B833F1" w:rsidRPr="00227536">
        <w:rPr>
          <w:noProof/>
        </w:rPr>
        <w:instrText>.</w:instrText>
      </w:r>
      <w:r w:rsidRPr="00227536">
        <w:fldChar w:fldCharType="end"/>
      </w:r>
      <w:r w:rsidRPr="00227536">
        <w:fldChar w:fldCharType="begin"/>
      </w:r>
      <w:r w:rsidRPr="00227536">
        <w:instrText xml:space="preserve"> SEQ Item \* ARABIC \s </w:instrText>
      </w:r>
      <w:r w:rsidRPr="00227536">
        <w:fldChar w:fldCharType="begin"/>
      </w:r>
      <w:r w:rsidRPr="00227536">
        <w:instrText xml:space="preserve"> IF </w:instrText>
      </w:r>
      <w:r w:rsidRPr="00227536">
        <w:rPr>
          <w:noProof/>
        </w:rPr>
        <w:fldChar w:fldCharType="begin"/>
      </w:r>
      <w:r w:rsidRPr="00227536">
        <w:rPr>
          <w:noProof/>
        </w:rPr>
        <w:instrText xml:space="preserve"> STYLEREF "Heading 6" \l \n </w:instrText>
      </w:r>
      <w:r w:rsidRPr="00227536">
        <w:rPr>
          <w:noProof/>
        </w:rPr>
        <w:fldChar w:fldCharType="separate"/>
      </w:r>
      <w:r w:rsidR="00B833F1">
        <w:rPr>
          <w:noProof/>
        </w:rPr>
        <w:instrText>I</w:instrText>
      </w:r>
      <w:r w:rsidRPr="00227536">
        <w:rPr>
          <w:noProof/>
        </w:rPr>
        <w:fldChar w:fldCharType="end"/>
      </w:r>
      <w:r w:rsidRPr="00227536">
        <w:instrText xml:space="preserve"> = 0 "</w:instrText>
      </w:r>
      <w:r w:rsidRPr="00227536">
        <w:fldChar w:fldCharType="begin"/>
      </w:r>
      <w:r w:rsidRPr="00227536">
        <w:instrText xml:space="preserve"> IF </w:instrText>
      </w:r>
      <w:r w:rsidRPr="00227536">
        <w:rPr>
          <w:noProof/>
        </w:rPr>
        <w:fldChar w:fldCharType="begin"/>
      </w:r>
      <w:r w:rsidRPr="00227536">
        <w:rPr>
          <w:noProof/>
        </w:rPr>
        <w:instrText xml:space="preserve"> STYLEREF "Heading 1" \l \n </w:instrText>
      </w:r>
      <w:r w:rsidRPr="00227536">
        <w:rPr>
          <w:noProof/>
        </w:rPr>
        <w:fldChar w:fldCharType="separate"/>
      </w:r>
      <w:r w:rsidRPr="00227536">
        <w:rPr>
          <w:noProof/>
        </w:rPr>
        <w:instrText>1</w:instrText>
      </w:r>
      <w:r w:rsidRPr="00227536">
        <w:rPr>
          <w:noProof/>
        </w:rPr>
        <w:fldChar w:fldCharType="end"/>
      </w:r>
      <w:r w:rsidRPr="00227536">
        <w:instrText xml:space="preserve"> = 0 "" "1" </w:instrText>
      </w:r>
      <w:r w:rsidRPr="00227536">
        <w:fldChar w:fldCharType="separate"/>
      </w:r>
      <w:r w:rsidRPr="00227536">
        <w:rPr>
          <w:noProof/>
        </w:rPr>
        <w:instrText>1</w:instrText>
      </w:r>
      <w:r w:rsidRPr="00227536">
        <w:fldChar w:fldCharType="end"/>
      </w:r>
      <w:r w:rsidRPr="00227536">
        <w:instrText xml:space="preserve">" "6" </w:instrText>
      </w:r>
      <w:r w:rsidRPr="00227536">
        <w:fldChar w:fldCharType="separate"/>
      </w:r>
      <w:r w:rsidR="00B833F1" w:rsidRPr="00227536">
        <w:rPr>
          <w:noProof/>
        </w:rPr>
        <w:instrText>6</w:instrText>
      </w:r>
      <w:r w:rsidRPr="00227536">
        <w:fldChar w:fldCharType="end"/>
      </w:r>
      <w:r w:rsidRPr="00227536">
        <w:instrText xml:space="preserve"> </w:instrText>
      </w:r>
      <w:r w:rsidRPr="00227536">
        <w:fldChar w:fldCharType="separate"/>
      </w:r>
      <w:r w:rsidR="00B833F1">
        <w:rPr>
          <w:noProof/>
        </w:rPr>
        <w:instrText>5</w:instrText>
      </w:r>
      <w:r w:rsidRPr="00227536">
        <w:fldChar w:fldCharType="end"/>
      </w:r>
      <w:r w:rsidRPr="00227536">
        <w:instrText xml:space="preserve">" "" </w:instrText>
      </w:r>
      <w:r w:rsidRPr="00227536">
        <w:fldChar w:fldCharType="separate"/>
      </w:r>
      <w:bookmarkStart w:id="9265" w:name="_Caption3164"/>
      <w:bookmarkStart w:id="9266" w:name="_Caption7450"/>
      <w:bookmarkStart w:id="9267" w:name="_Caption0462"/>
      <w:bookmarkStart w:id="9268" w:name="_Caption8795"/>
      <w:bookmarkStart w:id="9269" w:name="_Caption1542"/>
      <w:bookmarkStart w:id="9270" w:name="_Caption2779"/>
      <w:bookmarkStart w:id="9271" w:name="_Caption2038"/>
      <w:bookmarkStart w:id="9272" w:name="_Caption5448"/>
      <w:bookmarkStart w:id="9273" w:name="_Caption4636"/>
      <w:bookmarkStart w:id="9274" w:name="_Caption5221"/>
      <w:bookmarkStart w:id="9275" w:name="_Caption0499"/>
      <w:bookmarkStart w:id="9276" w:name="_Caption6642"/>
      <w:bookmarkStart w:id="9277" w:name="_Caption5460"/>
      <w:bookmarkStart w:id="9278" w:name="_Caption8154"/>
      <w:bookmarkStart w:id="9279" w:name="_Caption9994"/>
      <w:bookmarkStart w:id="9280" w:name="_Caption8682"/>
      <w:bookmarkStart w:id="9281" w:name="_Caption8147"/>
      <w:bookmarkStart w:id="9282" w:name="_Caption1663"/>
      <w:bookmarkStart w:id="9283" w:name="_Caption7734"/>
      <w:bookmarkStart w:id="9284" w:name="_Caption8879"/>
      <w:bookmarkStart w:id="9285" w:name="_Caption9648"/>
      <w:bookmarkStart w:id="9286" w:name="_Caption9599"/>
      <w:bookmarkStart w:id="9287" w:name="_Caption1899"/>
      <w:bookmarkStart w:id="9288" w:name="_Caption8886"/>
      <w:bookmarkStart w:id="9289" w:name="_Caption1355"/>
      <w:bookmarkStart w:id="9290" w:name="_Caption6407"/>
      <w:bookmarkStart w:id="9291" w:name="_Caption4448"/>
      <w:bookmarkStart w:id="9292" w:name="_Caption5021"/>
      <w:bookmarkStart w:id="9293" w:name="_Caption5997"/>
      <w:bookmarkStart w:id="9294" w:name="_Caption4655"/>
      <w:bookmarkStart w:id="9295" w:name="_Caption3075"/>
      <w:bookmarkStart w:id="9296" w:name="_Caption4782"/>
      <w:bookmarkStart w:id="9297" w:name="_Caption4415"/>
      <w:bookmarkStart w:id="9298" w:name="_Caption7685"/>
      <w:bookmarkStart w:id="9299" w:name="_Caption7209"/>
      <w:bookmarkStart w:id="9300" w:name="_Caption5179"/>
      <w:bookmarkStart w:id="9301" w:name="_Caption6185"/>
      <w:bookmarkStart w:id="9302" w:name="_Caption9583"/>
      <w:bookmarkStart w:id="9303" w:name="_Caption2400"/>
      <w:bookmarkStart w:id="9304" w:name="_Caption9737"/>
      <w:bookmarkStart w:id="9305" w:name="_Caption9092"/>
      <w:bookmarkStart w:id="9306" w:name="_Caption7430"/>
      <w:bookmarkStart w:id="9307" w:name="_Caption6570"/>
      <w:bookmarkStart w:id="9308" w:name="_Caption3812"/>
      <w:bookmarkStart w:id="9309" w:name="_Caption1354"/>
      <w:bookmarkStart w:id="9310" w:name="_Caption8042"/>
      <w:bookmarkStart w:id="9311" w:name="_Caption3963"/>
      <w:bookmarkStart w:id="9312" w:name="_Caption0948"/>
      <w:bookmarkStart w:id="9313" w:name="_Caption9967"/>
      <w:bookmarkStart w:id="9314" w:name="_Caption5629"/>
      <w:bookmarkStart w:id="9315" w:name="_Caption6637"/>
      <w:bookmarkStart w:id="9316" w:name="_Caption4709"/>
      <w:bookmarkStart w:id="9317" w:name="_Caption5115"/>
      <w:bookmarkStart w:id="9318" w:name="_Caption0331"/>
      <w:bookmarkStart w:id="9319" w:name="_Caption0407"/>
      <w:bookmarkStart w:id="9320" w:name="_Caption9824"/>
      <w:bookmarkStart w:id="9321" w:name="_Caption9375"/>
      <w:bookmarkStart w:id="9322" w:name="_Caption2502"/>
      <w:bookmarkStart w:id="9323" w:name="_Caption9656"/>
      <w:bookmarkStart w:id="9324" w:name="_Caption9654"/>
      <w:bookmarkStart w:id="9325" w:name="_Caption7291"/>
      <w:bookmarkStart w:id="9326" w:name="_Caption1050"/>
      <w:bookmarkStart w:id="9327" w:name="_Caption9587"/>
      <w:bookmarkStart w:id="9328" w:name="_Caption6571"/>
      <w:bookmarkStart w:id="9329" w:name="_Caption9519"/>
      <w:bookmarkStart w:id="9330" w:name="_Caption8285"/>
      <w:bookmarkStart w:id="9331" w:name="_Caption0403"/>
      <w:bookmarkStart w:id="9332" w:name="_Toc529870019"/>
      <w:bookmarkStart w:id="9333" w:name="_Toc530748515"/>
      <w:r w:rsidR="00EA42ED">
        <w:rPr>
          <w:noProof/>
        </w:rPr>
        <w:t>I</w:t>
      </w:r>
      <w:r w:rsidR="00EA42ED" w:rsidRPr="00227536">
        <w:rPr>
          <w:noProof/>
        </w:rPr>
        <w:t>.</w:t>
      </w:r>
      <w:r w:rsidR="00EA42ED">
        <w:rPr>
          <w:noProof/>
        </w:rPr>
        <w:t>5</w:t>
      </w:r>
      <w:bookmarkEnd w:id="9265"/>
      <w:bookmarkEnd w:id="9266"/>
      <w:bookmarkEnd w:id="9267"/>
      <w:bookmarkEnd w:id="9268"/>
      <w:bookmarkEnd w:id="9269"/>
      <w:bookmarkEnd w:id="9270"/>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bookmarkEnd w:id="9288"/>
      <w:bookmarkEnd w:id="9289"/>
      <w:bookmarkEnd w:id="9290"/>
      <w:bookmarkEnd w:id="9291"/>
      <w:bookmarkEnd w:id="9292"/>
      <w:bookmarkEnd w:id="9293"/>
      <w:bookmarkEnd w:id="9294"/>
      <w:bookmarkEnd w:id="9295"/>
      <w:bookmarkEnd w:id="9296"/>
      <w:bookmarkEnd w:id="9297"/>
      <w:bookmarkEnd w:id="9298"/>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bookmarkEnd w:id="9313"/>
      <w:bookmarkEnd w:id="9314"/>
      <w:bookmarkEnd w:id="9315"/>
      <w:bookmarkEnd w:id="9316"/>
      <w:bookmarkEnd w:id="9317"/>
      <w:bookmarkEnd w:id="9318"/>
      <w:bookmarkEnd w:id="9319"/>
      <w:bookmarkEnd w:id="9320"/>
      <w:bookmarkEnd w:id="9321"/>
      <w:bookmarkEnd w:id="9322"/>
      <w:bookmarkEnd w:id="9323"/>
      <w:bookmarkEnd w:id="9324"/>
      <w:bookmarkEnd w:id="9325"/>
      <w:bookmarkEnd w:id="9326"/>
      <w:bookmarkEnd w:id="9327"/>
      <w:bookmarkEnd w:id="9328"/>
      <w:bookmarkEnd w:id="9329"/>
      <w:bookmarkEnd w:id="9330"/>
      <w:bookmarkEnd w:id="9331"/>
      <w:r w:rsidRPr="00227536">
        <w:fldChar w:fldCharType="end"/>
      </w:r>
      <w:r w:rsidRPr="00227536">
        <w:tab/>
        <w:t>Net benefits to Victoria — medium realisation scenario</w:t>
      </w:r>
      <w:bookmarkEnd w:id="9332"/>
      <w:bookmarkEnd w:id="9333"/>
    </w:p>
    <w:tbl>
      <w:tblPr>
        <w:tblW w:w="7937" w:type="dxa"/>
        <w:tblLayout w:type="fixed"/>
        <w:tblLook w:val="0000" w:firstRow="0" w:lastRow="0" w:firstColumn="0" w:lastColumn="0" w:noHBand="0" w:noVBand="0"/>
        <w:tblCaption w:val="Table I.5: Net beenfits to Victoria - medium realisation scenario"/>
        <w:tblDescription w:val="This table shows the net benefits under a medium realisation scenario of the proposed changes to NCC 2019 in Victoria. "/>
      </w:tblPr>
      <w:tblGrid>
        <w:gridCol w:w="2456"/>
        <w:gridCol w:w="783"/>
        <w:gridCol w:w="783"/>
        <w:gridCol w:w="783"/>
        <w:gridCol w:w="783"/>
        <w:gridCol w:w="783"/>
        <w:gridCol w:w="783"/>
        <w:gridCol w:w="783"/>
      </w:tblGrid>
      <w:tr w:rsidR="00612FD3" w:rsidTr="00301B6D">
        <w:trPr>
          <w:trHeight w:val="230"/>
          <w:tblHeader/>
        </w:trPr>
        <w:tc>
          <w:tcPr>
            <w:tcW w:w="2456" w:type="dxa"/>
            <w:shd w:val="clear" w:color="auto" w:fill="6F6652"/>
            <w:tcMar>
              <w:left w:w="57" w:type="dxa"/>
              <w:right w:w="57" w:type="dxa"/>
            </w:tcMar>
          </w:tcPr>
          <w:p w:rsidR="00612FD3" w:rsidRDefault="00612FD3" w:rsidP="00301B6D">
            <w:pPr>
              <w:pStyle w:val="TableDataColumnHeading"/>
              <w:jc w:val="left"/>
              <w:rPr>
                <w:lang w:val="en-GB"/>
              </w:rPr>
            </w:pP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CZ1</w:t>
            </w: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CZ2</w:t>
            </w: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CZ3</w:t>
            </w: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CZ4</w:t>
            </w: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CZ5</w:t>
            </w: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CZ6</w:t>
            </w: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CZ7</w:t>
            </w:r>
          </w:p>
        </w:tc>
      </w:tr>
      <w:tr w:rsidR="00612FD3" w:rsidTr="00301B6D">
        <w:trPr>
          <w:trHeight w:val="230"/>
          <w:tblHeader/>
        </w:trPr>
        <w:tc>
          <w:tcPr>
            <w:tcW w:w="2456"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jc w:val="left"/>
              <w:rPr>
                <w:lang w:val="en-GB"/>
              </w:rPr>
            </w:pP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r>
      <w:tr w:rsidR="00612FD3" w:rsidTr="00301B6D">
        <w:trPr>
          <w:trHeight w:val="230"/>
        </w:trPr>
        <w:tc>
          <w:tcPr>
            <w:tcW w:w="245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r>
              <w:rPr>
                <w:lang w:val="en-GB"/>
              </w:rPr>
              <w:t>Hotels</w:t>
            </w: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r>
      <w:tr w:rsidR="00227536" w:rsidTr="00817952">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Bill savings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43.07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45.32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42.38</w:t>
            </w:r>
          </w:p>
        </w:tc>
      </w:tr>
      <w:tr w:rsidR="00227536" w:rsidTr="00817952">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Bill savings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2.14</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1.52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1.57</w:t>
            </w:r>
          </w:p>
        </w:tc>
      </w:tr>
      <w:tr w:rsidR="00227536" w:rsidTr="00D364DA">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Private costs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1.10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0.77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12.65</w:t>
            </w:r>
          </w:p>
        </w:tc>
      </w:tr>
      <w:tr w:rsidR="00227536" w:rsidRPr="00D364DA" w:rsidTr="00D364DA">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227536" w:rsidRPr="00D364DA" w:rsidRDefault="00227536" w:rsidP="00227536">
            <w:pPr>
              <w:pStyle w:val="TableDataEntries"/>
              <w:jc w:val="left"/>
              <w:rPr>
                <w:lang w:val="en-GB"/>
              </w:rPr>
            </w:pPr>
            <w:r w:rsidRPr="00D364DA">
              <w:rPr>
                <w:lang w:val="en-GB"/>
              </w:rPr>
              <w:t>Net private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 xml:space="preserve"> 46.30</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 xml:space="preserve"> 47.60</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 xml:space="preserve"> 56.61</w:t>
            </w:r>
          </w:p>
        </w:tc>
      </w:tr>
      <w:tr w:rsidR="00227536"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Avoided GHG emissions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15.46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16.27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15.21</w:t>
            </w:r>
          </w:p>
        </w:tc>
      </w:tr>
      <w:tr w:rsidR="00227536"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Avoided GHG emissions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0.67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0.48</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0.50</w:t>
            </w:r>
          </w:p>
        </w:tc>
      </w:tr>
      <w:tr w:rsidR="00227536" w:rsidRPr="00227536"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227536" w:rsidRPr="00227536" w:rsidRDefault="00227536" w:rsidP="00227536">
            <w:pPr>
              <w:pStyle w:val="TableDataEntries"/>
              <w:jc w:val="left"/>
              <w:rPr>
                <w:rFonts w:ascii="Franklin Gothic Demi" w:hAnsi="Franklin Gothic Demi"/>
                <w:lang w:val="en-GB"/>
              </w:rPr>
            </w:pPr>
            <w:r w:rsidRPr="00227536">
              <w:rPr>
                <w:rFonts w:ascii="Franklin Gothic Demi" w:hAnsi="Franklin Gothic Demi"/>
                <w:lang w:val="en-GB"/>
              </w:rPr>
              <w:t>Net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 xml:space="preserve"> 62.44</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 xml:space="preserve"> 64.35</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 xml:space="preserve"> 72.32</w:t>
            </w:r>
          </w:p>
        </w:tc>
      </w:tr>
      <w:tr w:rsidR="00227536" w:rsidTr="00301B6D">
        <w:trPr>
          <w:trHeight w:val="230"/>
        </w:trPr>
        <w:tc>
          <w:tcPr>
            <w:tcW w:w="245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227536" w:rsidRDefault="00227536" w:rsidP="00227536">
            <w:pPr>
              <w:pStyle w:val="TableHeading1"/>
              <w:rPr>
                <w:lang w:val="en-GB"/>
              </w:rPr>
            </w:pPr>
            <w:r>
              <w:rPr>
                <w:lang w:val="en-GB"/>
              </w:rPr>
              <w:t>Office building</w:t>
            </w: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r>
      <w:tr w:rsidR="00227536" w:rsidTr="00817952">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Bill savings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9.68</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10.52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9.56</w:t>
            </w:r>
          </w:p>
        </w:tc>
      </w:tr>
      <w:tr w:rsidR="00227536" w:rsidTr="00817952">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Bill savings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1.43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0.76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1.44</w:t>
            </w:r>
          </w:p>
        </w:tc>
      </w:tr>
      <w:tr w:rsidR="00227536" w:rsidTr="00D364DA">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Private costs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- 7.12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- 5.29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- 1.72</w:t>
            </w:r>
          </w:p>
        </w:tc>
      </w:tr>
      <w:tr w:rsidR="00227536" w:rsidRPr="00D364DA" w:rsidTr="00D364DA">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227536" w:rsidRPr="00D364DA" w:rsidRDefault="00227536" w:rsidP="00227536">
            <w:pPr>
              <w:pStyle w:val="TableDataEntries"/>
              <w:jc w:val="left"/>
              <w:rPr>
                <w:lang w:val="en-GB"/>
              </w:rPr>
            </w:pPr>
            <w:r w:rsidRPr="00D364DA">
              <w:rPr>
                <w:lang w:val="en-GB"/>
              </w:rPr>
              <w:t>Net private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 xml:space="preserve"> 3.99</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 xml:space="preserve"> 5.99</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 xml:space="preserve"> 9.28</w:t>
            </w:r>
          </w:p>
        </w:tc>
      </w:tr>
      <w:tr w:rsidR="00227536"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Avoided GHG emissions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3.47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3.78</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3.43</w:t>
            </w:r>
          </w:p>
        </w:tc>
      </w:tr>
      <w:tr w:rsidR="00227536"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Avoided GHG emissions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0.45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0.24</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0.45</w:t>
            </w:r>
          </w:p>
        </w:tc>
      </w:tr>
      <w:tr w:rsidR="00227536" w:rsidRPr="00227536"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227536" w:rsidRPr="00227536" w:rsidRDefault="00227536" w:rsidP="00227536">
            <w:pPr>
              <w:pStyle w:val="TableDataEntries"/>
              <w:jc w:val="left"/>
              <w:rPr>
                <w:rFonts w:ascii="Franklin Gothic Demi" w:hAnsi="Franklin Gothic Demi"/>
                <w:lang w:val="en-GB"/>
              </w:rPr>
            </w:pPr>
            <w:r w:rsidRPr="00227536">
              <w:rPr>
                <w:rFonts w:ascii="Franklin Gothic Demi" w:hAnsi="Franklin Gothic Demi"/>
                <w:lang w:val="en-GB"/>
              </w:rPr>
              <w:t>Net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 xml:space="preserve"> 7.92</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 xml:space="preserve"> 10.00</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 xml:space="preserve"> 13.16</w:t>
            </w:r>
          </w:p>
        </w:tc>
      </w:tr>
      <w:tr w:rsidR="00227536" w:rsidTr="00301B6D">
        <w:trPr>
          <w:trHeight w:val="230"/>
        </w:trPr>
        <w:tc>
          <w:tcPr>
            <w:tcW w:w="245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227536" w:rsidRDefault="00227536" w:rsidP="00227536">
            <w:pPr>
              <w:pStyle w:val="TableHeading1"/>
              <w:rPr>
                <w:lang w:val="en-GB"/>
              </w:rPr>
            </w:pPr>
            <w:r>
              <w:rPr>
                <w:lang w:val="en-GB"/>
              </w:rPr>
              <w:t>Retail</w:t>
            </w: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r>
      <w:tr w:rsidR="00227536"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Bill savings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53.58</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56.05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- 6.61</w:t>
            </w:r>
          </w:p>
        </w:tc>
      </w:tr>
      <w:tr w:rsidR="00227536" w:rsidTr="00817952">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Bill savings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- 5.39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- 11.82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5.99</w:t>
            </w:r>
          </w:p>
        </w:tc>
      </w:tr>
      <w:tr w:rsidR="00227536" w:rsidTr="00D364DA">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Private costs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- 18.60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- 10.36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- 16.62</w:t>
            </w:r>
          </w:p>
        </w:tc>
      </w:tr>
      <w:tr w:rsidR="00227536" w:rsidRPr="00D364DA" w:rsidTr="00D364DA">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227536" w:rsidRPr="00D364DA" w:rsidRDefault="00227536" w:rsidP="00227536">
            <w:pPr>
              <w:pStyle w:val="TableDataEntries"/>
              <w:jc w:val="left"/>
              <w:rPr>
                <w:lang w:val="en-GB"/>
              </w:rPr>
            </w:pPr>
            <w:r w:rsidRPr="00D364DA">
              <w:rPr>
                <w:lang w:val="en-GB"/>
              </w:rPr>
              <w:t>Net private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 xml:space="preserve"> 29.59</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 xml:space="preserve"> 33.88</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- 17.24</w:t>
            </w:r>
          </w:p>
        </w:tc>
      </w:tr>
      <w:tr w:rsidR="00227536" w:rsidTr="00817952">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Avoided GHG emissions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19.23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20.12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- 2.37</w:t>
            </w:r>
          </w:p>
        </w:tc>
      </w:tr>
      <w:tr w:rsidR="00227536"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Avoided GHG emissions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- 1.70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- 3.73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1.89</w:t>
            </w:r>
          </w:p>
        </w:tc>
      </w:tr>
      <w:tr w:rsidR="00227536" w:rsidRPr="00227536"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227536" w:rsidRPr="00227536" w:rsidRDefault="00227536" w:rsidP="00227536">
            <w:pPr>
              <w:pStyle w:val="TableDataEntries"/>
              <w:jc w:val="left"/>
              <w:rPr>
                <w:rFonts w:ascii="Franklin Gothic Demi" w:hAnsi="Franklin Gothic Demi"/>
                <w:lang w:val="en-GB"/>
              </w:rPr>
            </w:pPr>
            <w:r w:rsidRPr="00227536">
              <w:rPr>
                <w:rFonts w:ascii="Franklin Gothic Demi" w:hAnsi="Franklin Gothic Demi"/>
                <w:lang w:val="en-GB"/>
              </w:rPr>
              <w:t>Net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 xml:space="preserve"> 47.12</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 xml:space="preserve"> 50.27</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- 17.72</w:t>
            </w:r>
          </w:p>
        </w:tc>
      </w:tr>
      <w:tr w:rsidR="00227536" w:rsidTr="00301B6D">
        <w:trPr>
          <w:trHeight w:val="230"/>
        </w:trPr>
        <w:tc>
          <w:tcPr>
            <w:tcW w:w="245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227536" w:rsidRDefault="00227536" w:rsidP="00227536">
            <w:pPr>
              <w:pStyle w:val="TableHeading1"/>
              <w:rPr>
                <w:lang w:val="en-GB"/>
              </w:rPr>
            </w:pPr>
            <w:r>
              <w:rPr>
                <w:lang w:val="en-GB"/>
              </w:rPr>
              <w:t>Healthcare</w:t>
            </w: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r>
      <w:tr w:rsidR="00227536" w:rsidTr="00817952">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Bill savings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20.59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11.11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22.23</w:t>
            </w:r>
          </w:p>
        </w:tc>
      </w:tr>
      <w:tr w:rsidR="00227536" w:rsidTr="00817952">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Bill savings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- 0.29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- 5.85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- 7.67</w:t>
            </w:r>
          </w:p>
        </w:tc>
      </w:tr>
      <w:tr w:rsidR="00227536" w:rsidTr="00D364DA">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Private costs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- 17.49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- 26.49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- 28.34</w:t>
            </w:r>
          </w:p>
        </w:tc>
      </w:tr>
      <w:tr w:rsidR="00227536" w:rsidRPr="00D364DA" w:rsidTr="00D364DA">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227536" w:rsidRPr="00D364DA" w:rsidRDefault="00227536" w:rsidP="00227536">
            <w:pPr>
              <w:pStyle w:val="TableDataEntries"/>
              <w:jc w:val="left"/>
              <w:rPr>
                <w:lang w:val="en-GB"/>
              </w:rPr>
            </w:pPr>
            <w:r w:rsidRPr="00D364DA">
              <w:rPr>
                <w:lang w:val="en-GB"/>
              </w:rPr>
              <w:t>Net private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 xml:space="preserve"> 2.81</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- 21.23</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- 13.77</w:t>
            </w:r>
          </w:p>
        </w:tc>
      </w:tr>
      <w:tr w:rsidR="00227536"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Avoided GHG emissions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7.39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3.99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7.98</w:t>
            </w:r>
          </w:p>
        </w:tc>
      </w:tr>
      <w:tr w:rsidR="00227536"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Avoided GHG emissions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- 0.09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- 1.84</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- 2.42</w:t>
            </w:r>
          </w:p>
        </w:tc>
      </w:tr>
      <w:tr w:rsidR="00227536" w:rsidRPr="00227536"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227536" w:rsidRPr="00227536" w:rsidRDefault="00227536" w:rsidP="00227536">
            <w:pPr>
              <w:pStyle w:val="TableDataEntries"/>
              <w:jc w:val="left"/>
              <w:rPr>
                <w:rFonts w:ascii="Franklin Gothic Demi" w:hAnsi="Franklin Gothic Demi"/>
                <w:lang w:val="en-GB"/>
              </w:rPr>
            </w:pPr>
            <w:r w:rsidRPr="00227536">
              <w:rPr>
                <w:rFonts w:ascii="Franklin Gothic Demi" w:hAnsi="Franklin Gothic Demi"/>
                <w:lang w:val="en-GB"/>
              </w:rPr>
              <w:t>Net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 xml:space="preserve"> 10.11</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- 19.09</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- 8.21</w:t>
            </w:r>
          </w:p>
        </w:tc>
      </w:tr>
      <w:tr w:rsidR="00227536" w:rsidTr="00301B6D">
        <w:trPr>
          <w:trHeight w:val="230"/>
        </w:trPr>
        <w:tc>
          <w:tcPr>
            <w:tcW w:w="245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227536" w:rsidRDefault="00227536" w:rsidP="00227536">
            <w:pPr>
              <w:pStyle w:val="TableHeading1"/>
              <w:rPr>
                <w:lang w:val="en-GB"/>
              </w:rPr>
            </w:pPr>
            <w:r>
              <w:rPr>
                <w:lang w:val="en-GB"/>
              </w:rPr>
              <w:t>School</w:t>
            </w: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r>
      <w:tr w:rsidR="00227536" w:rsidTr="00817952">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Bill savings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43.46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35.50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55.10</w:t>
            </w:r>
          </w:p>
        </w:tc>
      </w:tr>
      <w:tr w:rsidR="00227536" w:rsidTr="00817952">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Bill savings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6.53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7.72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5.28</w:t>
            </w:r>
          </w:p>
        </w:tc>
      </w:tr>
      <w:tr w:rsidR="00227536" w:rsidTr="00D364DA">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Private costs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- 17.65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- 7.71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- 8.72</w:t>
            </w:r>
          </w:p>
        </w:tc>
      </w:tr>
      <w:tr w:rsidR="00227536" w:rsidRPr="00D364DA" w:rsidTr="00D364DA">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227536" w:rsidRPr="00D364DA" w:rsidRDefault="00227536" w:rsidP="00227536">
            <w:pPr>
              <w:pStyle w:val="TableDataEntries"/>
              <w:jc w:val="left"/>
              <w:rPr>
                <w:lang w:val="en-GB"/>
              </w:rPr>
            </w:pPr>
            <w:r w:rsidRPr="00D364DA">
              <w:rPr>
                <w:lang w:val="en-GB"/>
              </w:rPr>
              <w:t>Net private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 xml:space="preserve"> 32.33</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 xml:space="preserve"> 35.51</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 xml:space="preserve"> 51.66</w:t>
            </w:r>
          </w:p>
        </w:tc>
      </w:tr>
      <w:tr w:rsidR="00227536" w:rsidTr="00817952">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Avoided GHG emissions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15.60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12.74</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19.78</w:t>
            </w:r>
          </w:p>
        </w:tc>
      </w:tr>
      <w:tr w:rsidR="00227536"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Avoided GHG emissions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2.06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2.43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1.67</w:t>
            </w:r>
          </w:p>
        </w:tc>
      </w:tr>
      <w:tr w:rsidR="00227536" w:rsidRPr="00227536" w:rsidTr="00301B6D">
        <w:trPr>
          <w:trHeight w:val="230"/>
        </w:trPr>
        <w:tc>
          <w:tcPr>
            <w:tcW w:w="2456"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rsidR="00227536" w:rsidRPr="00227536" w:rsidRDefault="00227536" w:rsidP="00227536">
            <w:pPr>
              <w:pStyle w:val="TableDataEntries"/>
              <w:jc w:val="left"/>
              <w:rPr>
                <w:rFonts w:ascii="Franklin Gothic Demi" w:hAnsi="Franklin Gothic Demi"/>
                <w:lang w:val="en-GB"/>
              </w:rPr>
            </w:pPr>
            <w:r w:rsidRPr="00227536">
              <w:rPr>
                <w:rFonts w:ascii="Franklin Gothic Demi" w:hAnsi="Franklin Gothic Demi"/>
                <w:lang w:val="en-GB"/>
              </w:rPr>
              <w:t>Net benefit/cost</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n.a.</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n.a.</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n.a.</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 xml:space="preserve"> 49.99</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n.a.</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 xml:space="preserve"> 50.68</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 xml:space="preserve"> 73.10</w:t>
            </w:r>
          </w:p>
        </w:tc>
      </w:tr>
    </w:tbl>
    <w:p w:rsidR="00612FD3" w:rsidRDefault="00612FD3" w:rsidP="00612FD3">
      <w:pPr>
        <w:pStyle w:val="Note"/>
        <w:rPr>
          <w:lang w:bidi="fa-IR"/>
        </w:rPr>
      </w:pPr>
      <w:r w:rsidRPr="007D1B4F">
        <w:rPr>
          <w:i/>
        </w:rPr>
        <w:t>Note:</w:t>
      </w:r>
      <w:r w:rsidRPr="00E879B8">
        <w:t xml:space="preserve"> </w:t>
      </w:r>
      <w:r>
        <w:t>Costs and benefits are estimated over the assumed 40 year life of the building, using a discount rate of 7 per cent.</w:t>
      </w:r>
    </w:p>
    <w:p w:rsidR="00612FD3" w:rsidRDefault="00612FD3" w:rsidP="00612FD3">
      <w:pPr>
        <w:pStyle w:val="Source"/>
        <w:rPr>
          <w:lang w:bidi="fa-IR"/>
        </w:rPr>
      </w:pPr>
      <w:r w:rsidRPr="00C6138D">
        <w:rPr>
          <w:i/>
          <w:lang w:bidi="fa-IR"/>
        </w:rPr>
        <w:t>Source:</w:t>
      </w:r>
      <w:r>
        <w:rPr>
          <w:lang w:bidi="fa-IR"/>
        </w:rPr>
        <w:t xml:space="preserve"> CIE based on </w:t>
      </w:r>
      <w:r w:rsidR="00EB5964">
        <w:rPr>
          <w:lang w:bidi="fa-IR"/>
        </w:rPr>
        <w:t>EA</w:t>
      </w:r>
      <w:r>
        <w:rPr>
          <w:lang w:bidi="fa-IR"/>
        </w:rPr>
        <w:t xml:space="preserve"> modelling.</w:t>
      </w:r>
    </w:p>
    <w:p w:rsidR="00817952" w:rsidRDefault="00817952" w:rsidP="00612FD3">
      <w:pPr>
        <w:pStyle w:val="Caption"/>
      </w:pPr>
      <w:r>
        <w:br w:type="page"/>
      </w:r>
    </w:p>
    <w:p w:rsidR="00612FD3" w:rsidRDefault="00612FD3" w:rsidP="00612FD3">
      <w:pPr>
        <w:pStyle w:val="Caption"/>
      </w:pPr>
      <w:r w:rsidRPr="00227536">
        <w:fldChar w:fldCharType="begin"/>
      </w:r>
      <w:r w:rsidRPr="00227536">
        <w:instrText xml:space="preserve"> IF 1 = 1 "</w:instrText>
      </w:r>
      <w:r w:rsidRPr="00227536">
        <w:fldChar w:fldCharType="begin"/>
      </w:r>
      <w:r w:rsidRPr="00227536">
        <w:instrText xml:space="preserve"> IF </w:instrText>
      </w:r>
      <w:r w:rsidRPr="00227536">
        <w:rPr>
          <w:noProof/>
        </w:rPr>
        <w:fldChar w:fldCharType="begin"/>
      </w:r>
      <w:r w:rsidRPr="00227536">
        <w:rPr>
          <w:noProof/>
        </w:rPr>
        <w:instrText xml:space="preserve"> STYLEREF "Heading 6" \l \n </w:instrText>
      </w:r>
      <w:r w:rsidRPr="00227536">
        <w:rPr>
          <w:noProof/>
        </w:rPr>
        <w:fldChar w:fldCharType="separate"/>
      </w:r>
      <w:r w:rsidR="00B833F1">
        <w:rPr>
          <w:noProof/>
        </w:rPr>
        <w:instrText>I</w:instrText>
      </w:r>
      <w:r w:rsidRPr="00227536">
        <w:rPr>
          <w:noProof/>
        </w:rPr>
        <w:fldChar w:fldCharType="end"/>
      </w:r>
      <w:r w:rsidRPr="00227536">
        <w:instrText xml:space="preserve"> = 0 "</w:instrText>
      </w:r>
      <w:r w:rsidRPr="00227536">
        <w:fldChar w:fldCharType="begin"/>
      </w:r>
      <w:r w:rsidRPr="00227536">
        <w:instrText xml:space="preserve"> IF </w:instrText>
      </w:r>
      <w:r w:rsidRPr="00227536">
        <w:rPr>
          <w:noProof/>
        </w:rPr>
        <w:fldChar w:fldCharType="begin"/>
      </w:r>
      <w:r w:rsidRPr="00227536">
        <w:rPr>
          <w:noProof/>
        </w:rPr>
        <w:instrText xml:space="preserve"> STYLEREF "Heading 1" \l \n </w:instrText>
      </w:r>
      <w:r w:rsidRPr="00227536">
        <w:rPr>
          <w:noProof/>
        </w:rPr>
        <w:fldChar w:fldCharType="separate"/>
      </w:r>
      <w:r w:rsidRPr="00227536">
        <w:rPr>
          <w:noProof/>
        </w:rPr>
        <w:instrText>1</w:instrText>
      </w:r>
      <w:r w:rsidRPr="00227536">
        <w:rPr>
          <w:noProof/>
        </w:rPr>
        <w:fldChar w:fldCharType="end"/>
      </w:r>
      <w:r w:rsidRPr="00227536">
        <w:instrText xml:space="preserve"> = 0 "" "</w:instrText>
      </w:r>
      <w:r w:rsidRPr="00227536">
        <w:rPr>
          <w:noProof/>
        </w:rPr>
        <w:fldChar w:fldCharType="begin"/>
      </w:r>
      <w:r w:rsidRPr="00227536">
        <w:rPr>
          <w:noProof/>
        </w:rPr>
        <w:instrText xml:space="preserve"> STYLEREF "Heading 1" \l \n </w:instrText>
      </w:r>
      <w:r w:rsidRPr="00227536">
        <w:rPr>
          <w:noProof/>
        </w:rPr>
        <w:fldChar w:fldCharType="separate"/>
      </w:r>
      <w:r w:rsidRPr="00227536">
        <w:rPr>
          <w:noProof/>
        </w:rPr>
        <w:instrText>1</w:instrText>
      </w:r>
      <w:r w:rsidRPr="00227536">
        <w:rPr>
          <w:noProof/>
        </w:rPr>
        <w:fldChar w:fldCharType="end"/>
      </w:r>
      <w:r w:rsidRPr="00227536">
        <w:instrText xml:space="preserve">." </w:instrText>
      </w:r>
      <w:r w:rsidRPr="00227536">
        <w:fldChar w:fldCharType="separate"/>
      </w:r>
      <w:r w:rsidRPr="00227536">
        <w:rPr>
          <w:noProof/>
        </w:rPr>
        <w:instrText>1.</w:instrText>
      </w:r>
      <w:r w:rsidRPr="00227536">
        <w:fldChar w:fldCharType="end"/>
      </w:r>
      <w:r w:rsidRPr="00227536">
        <w:instrText>" "</w:instrText>
      </w:r>
      <w:r w:rsidRPr="00227536">
        <w:rPr>
          <w:noProof/>
        </w:rPr>
        <w:fldChar w:fldCharType="begin"/>
      </w:r>
      <w:r w:rsidRPr="00227536">
        <w:rPr>
          <w:noProof/>
        </w:rPr>
        <w:instrText xml:space="preserve"> STYLEREF "Heading 6" \l \n </w:instrText>
      </w:r>
      <w:r w:rsidRPr="00227536">
        <w:rPr>
          <w:noProof/>
        </w:rPr>
        <w:fldChar w:fldCharType="separate"/>
      </w:r>
      <w:r w:rsidR="00B833F1">
        <w:rPr>
          <w:noProof/>
        </w:rPr>
        <w:instrText>I</w:instrText>
      </w:r>
      <w:r w:rsidRPr="00227536">
        <w:rPr>
          <w:noProof/>
        </w:rPr>
        <w:fldChar w:fldCharType="end"/>
      </w:r>
      <w:r w:rsidRPr="00227536">
        <w:instrText xml:space="preserve">." </w:instrText>
      </w:r>
      <w:r w:rsidRPr="00227536">
        <w:fldChar w:fldCharType="separate"/>
      </w:r>
      <w:r w:rsidR="00B833F1">
        <w:rPr>
          <w:noProof/>
        </w:rPr>
        <w:instrText>I</w:instrText>
      </w:r>
      <w:r w:rsidR="00B833F1" w:rsidRPr="00227536">
        <w:rPr>
          <w:noProof/>
        </w:rPr>
        <w:instrText>.</w:instrText>
      </w:r>
      <w:r w:rsidRPr="00227536">
        <w:fldChar w:fldCharType="end"/>
      </w:r>
      <w:r w:rsidRPr="00227536">
        <w:fldChar w:fldCharType="begin"/>
      </w:r>
      <w:r w:rsidRPr="00227536">
        <w:instrText xml:space="preserve"> SEQ Item \* ARABIC \s </w:instrText>
      </w:r>
      <w:r w:rsidRPr="00227536">
        <w:fldChar w:fldCharType="begin"/>
      </w:r>
      <w:r w:rsidRPr="00227536">
        <w:instrText xml:space="preserve"> IF </w:instrText>
      </w:r>
      <w:r w:rsidRPr="00227536">
        <w:rPr>
          <w:noProof/>
        </w:rPr>
        <w:fldChar w:fldCharType="begin"/>
      </w:r>
      <w:r w:rsidRPr="00227536">
        <w:rPr>
          <w:noProof/>
        </w:rPr>
        <w:instrText xml:space="preserve"> STYLEREF "Heading 6" \l \n </w:instrText>
      </w:r>
      <w:r w:rsidRPr="00227536">
        <w:rPr>
          <w:noProof/>
        </w:rPr>
        <w:fldChar w:fldCharType="separate"/>
      </w:r>
      <w:r w:rsidR="00B833F1">
        <w:rPr>
          <w:noProof/>
        </w:rPr>
        <w:instrText>I</w:instrText>
      </w:r>
      <w:r w:rsidRPr="00227536">
        <w:rPr>
          <w:noProof/>
        </w:rPr>
        <w:fldChar w:fldCharType="end"/>
      </w:r>
      <w:r w:rsidRPr="00227536">
        <w:instrText xml:space="preserve"> = 0 "</w:instrText>
      </w:r>
      <w:r w:rsidRPr="00227536">
        <w:fldChar w:fldCharType="begin"/>
      </w:r>
      <w:r w:rsidRPr="00227536">
        <w:instrText xml:space="preserve"> IF </w:instrText>
      </w:r>
      <w:r w:rsidRPr="00227536">
        <w:rPr>
          <w:noProof/>
        </w:rPr>
        <w:fldChar w:fldCharType="begin"/>
      </w:r>
      <w:r w:rsidRPr="00227536">
        <w:rPr>
          <w:noProof/>
        </w:rPr>
        <w:instrText xml:space="preserve"> STYLEREF "Heading 1" \l \n </w:instrText>
      </w:r>
      <w:r w:rsidRPr="00227536">
        <w:rPr>
          <w:noProof/>
        </w:rPr>
        <w:fldChar w:fldCharType="separate"/>
      </w:r>
      <w:r w:rsidRPr="00227536">
        <w:rPr>
          <w:noProof/>
        </w:rPr>
        <w:instrText>1</w:instrText>
      </w:r>
      <w:r w:rsidRPr="00227536">
        <w:rPr>
          <w:noProof/>
        </w:rPr>
        <w:fldChar w:fldCharType="end"/>
      </w:r>
      <w:r w:rsidRPr="00227536">
        <w:instrText xml:space="preserve"> = 0 "" "1" </w:instrText>
      </w:r>
      <w:r w:rsidRPr="00227536">
        <w:fldChar w:fldCharType="separate"/>
      </w:r>
      <w:r w:rsidRPr="00227536">
        <w:rPr>
          <w:noProof/>
        </w:rPr>
        <w:instrText>1</w:instrText>
      </w:r>
      <w:r w:rsidRPr="00227536">
        <w:fldChar w:fldCharType="end"/>
      </w:r>
      <w:r w:rsidRPr="00227536">
        <w:instrText xml:space="preserve">" "6" </w:instrText>
      </w:r>
      <w:r w:rsidRPr="00227536">
        <w:fldChar w:fldCharType="separate"/>
      </w:r>
      <w:r w:rsidR="00B833F1" w:rsidRPr="00227536">
        <w:rPr>
          <w:noProof/>
        </w:rPr>
        <w:instrText>6</w:instrText>
      </w:r>
      <w:r w:rsidRPr="00227536">
        <w:fldChar w:fldCharType="end"/>
      </w:r>
      <w:r w:rsidRPr="00227536">
        <w:instrText xml:space="preserve"> </w:instrText>
      </w:r>
      <w:r w:rsidRPr="00227536">
        <w:fldChar w:fldCharType="separate"/>
      </w:r>
      <w:r w:rsidR="00B833F1">
        <w:rPr>
          <w:noProof/>
        </w:rPr>
        <w:instrText>6</w:instrText>
      </w:r>
      <w:r w:rsidRPr="00227536">
        <w:fldChar w:fldCharType="end"/>
      </w:r>
      <w:r w:rsidRPr="00227536">
        <w:instrText xml:space="preserve">" "" </w:instrText>
      </w:r>
      <w:r w:rsidRPr="00227536">
        <w:fldChar w:fldCharType="separate"/>
      </w:r>
      <w:bookmarkStart w:id="9334" w:name="_Caption9002"/>
      <w:bookmarkStart w:id="9335" w:name="_Caption8451"/>
      <w:bookmarkStart w:id="9336" w:name="_Caption4235"/>
      <w:bookmarkStart w:id="9337" w:name="_Caption1190"/>
      <w:bookmarkStart w:id="9338" w:name="_Caption6242"/>
      <w:bookmarkStart w:id="9339" w:name="_Caption6726"/>
      <w:bookmarkStart w:id="9340" w:name="_Caption7633"/>
      <w:bookmarkStart w:id="9341" w:name="_Caption7152"/>
      <w:bookmarkStart w:id="9342" w:name="_Caption4940"/>
      <w:bookmarkStart w:id="9343" w:name="_Caption6840"/>
      <w:bookmarkStart w:id="9344" w:name="_Caption7569"/>
      <w:bookmarkStart w:id="9345" w:name="_Caption8784"/>
      <w:bookmarkStart w:id="9346" w:name="_Caption9682"/>
      <w:bookmarkStart w:id="9347" w:name="_Caption1288"/>
      <w:bookmarkStart w:id="9348" w:name="_Caption6534"/>
      <w:bookmarkStart w:id="9349" w:name="_Caption7821"/>
      <w:bookmarkStart w:id="9350" w:name="_Caption4585"/>
      <w:bookmarkStart w:id="9351" w:name="_Caption4034"/>
      <w:bookmarkStart w:id="9352" w:name="_Caption2079"/>
      <w:bookmarkStart w:id="9353" w:name="_Caption7072"/>
      <w:bookmarkStart w:id="9354" w:name="_Caption4839"/>
      <w:bookmarkStart w:id="9355" w:name="_Caption5836"/>
      <w:bookmarkStart w:id="9356" w:name="_Caption4962"/>
      <w:bookmarkStart w:id="9357" w:name="_Caption8197"/>
      <w:bookmarkStart w:id="9358" w:name="_Caption6574"/>
      <w:bookmarkStart w:id="9359" w:name="_Caption5257"/>
      <w:bookmarkStart w:id="9360" w:name="_Caption7490"/>
      <w:bookmarkStart w:id="9361" w:name="_Caption3145"/>
      <w:bookmarkStart w:id="9362" w:name="_Caption7157"/>
      <w:bookmarkStart w:id="9363" w:name="_Caption1066"/>
      <w:bookmarkStart w:id="9364" w:name="_Caption8427"/>
      <w:bookmarkStart w:id="9365" w:name="_Caption7916"/>
      <w:bookmarkStart w:id="9366" w:name="_Caption8636"/>
      <w:bookmarkStart w:id="9367" w:name="_Caption5500"/>
      <w:bookmarkStart w:id="9368" w:name="_Caption0189"/>
      <w:bookmarkStart w:id="9369" w:name="_Caption7593"/>
      <w:bookmarkStart w:id="9370" w:name="_Caption3084"/>
      <w:bookmarkStart w:id="9371" w:name="_Caption8586"/>
      <w:bookmarkStart w:id="9372" w:name="_Caption1755"/>
      <w:bookmarkStart w:id="9373" w:name="_Caption6336"/>
      <w:bookmarkStart w:id="9374" w:name="_Caption0061"/>
      <w:bookmarkStart w:id="9375" w:name="_Caption2449"/>
      <w:bookmarkStart w:id="9376" w:name="_Caption1124"/>
      <w:bookmarkStart w:id="9377" w:name="_Caption5834"/>
      <w:bookmarkStart w:id="9378" w:name="_Caption8378"/>
      <w:bookmarkStart w:id="9379" w:name="_Caption3654"/>
      <w:bookmarkStart w:id="9380" w:name="_Caption4835"/>
      <w:bookmarkStart w:id="9381" w:name="_Caption6252"/>
      <w:bookmarkStart w:id="9382" w:name="_Caption7978"/>
      <w:bookmarkStart w:id="9383" w:name="_Caption9048"/>
      <w:bookmarkStart w:id="9384" w:name="_Caption8849"/>
      <w:bookmarkStart w:id="9385" w:name="_Caption8234"/>
      <w:bookmarkStart w:id="9386" w:name="_Caption0646"/>
      <w:bookmarkStart w:id="9387" w:name="_Caption5618"/>
      <w:bookmarkStart w:id="9388" w:name="_Caption3660"/>
      <w:bookmarkStart w:id="9389" w:name="_Caption1167"/>
      <w:bookmarkStart w:id="9390" w:name="_Caption4110"/>
      <w:bookmarkStart w:id="9391" w:name="_Caption5421"/>
      <w:bookmarkStart w:id="9392" w:name="_Caption0190"/>
      <w:bookmarkStart w:id="9393" w:name="_Caption5811"/>
      <w:bookmarkStart w:id="9394" w:name="_Caption8176"/>
      <w:bookmarkStart w:id="9395" w:name="_Caption4635"/>
      <w:bookmarkStart w:id="9396" w:name="_Caption1157"/>
      <w:bookmarkStart w:id="9397" w:name="_Caption4486"/>
      <w:bookmarkStart w:id="9398" w:name="_Caption2928"/>
      <w:bookmarkStart w:id="9399" w:name="_Caption7308"/>
      <w:bookmarkStart w:id="9400" w:name="_Caption9544"/>
      <w:bookmarkStart w:id="9401" w:name="_Toc529870020"/>
      <w:bookmarkStart w:id="9402" w:name="_Toc530748516"/>
      <w:r w:rsidR="00EA42ED">
        <w:rPr>
          <w:noProof/>
        </w:rPr>
        <w:t>I</w:t>
      </w:r>
      <w:r w:rsidR="00EA42ED" w:rsidRPr="00227536">
        <w:rPr>
          <w:noProof/>
        </w:rPr>
        <w:t>.</w:t>
      </w:r>
      <w:r w:rsidR="00EA42ED">
        <w:rPr>
          <w:noProof/>
        </w:rPr>
        <w:t>6</w:t>
      </w:r>
      <w:bookmarkEnd w:id="9334"/>
      <w:bookmarkEnd w:id="9335"/>
      <w:bookmarkEnd w:id="9336"/>
      <w:bookmarkEnd w:id="9337"/>
      <w:bookmarkEnd w:id="9338"/>
      <w:bookmarkEnd w:id="9339"/>
      <w:bookmarkEnd w:id="9340"/>
      <w:bookmarkEnd w:id="9341"/>
      <w:bookmarkEnd w:id="9342"/>
      <w:bookmarkEnd w:id="9343"/>
      <w:bookmarkEnd w:id="9344"/>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bookmarkEnd w:id="9380"/>
      <w:bookmarkEnd w:id="9381"/>
      <w:bookmarkEnd w:id="9382"/>
      <w:bookmarkEnd w:id="9383"/>
      <w:bookmarkEnd w:id="9384"/>
      <w:bookmarkEnd w:id="9385"/>
      <w:bookmarkEnd w:id="9386"/>
      <w:bookmarkEnd w:id="9387"/>
      <w:bookmarkEnd w:id="9388"/>
      <w:bookmarkEnd w:id="9389"/>
      <w:bookmarkEnd w:id="9390"/>
      <w:bookmarkEnd w:id="9391"/>
      <w:bookmarkEnd w:id="9392"/>
      <w:bookmarkEnd w:id="9393"/>
      <w:bookmarkEnd w:id="9394"/>
      <w:bookmarkEnd w:id="9395"/>
      <w:bookmarkEnd w:id="9396"/>
      <w:bookmarkEnd w:id="9397"/>
      <w:bookmarkEnd w:id="9398"/>
      <w:bookmarkEnd w:id="9399"/>
      <w:bookmarkEnd w:id="9400"/>
      <w:r w:rsidRPr="00227536">
        <w:fldChar w:fldCharType="end"/>
      </w:r>
      <w:r w:rsidRPr="00227536">
        <w:tab/>
        <w:t>Net benefits to Victoria — high realisation scenario</w:t>
      </w:r>
      <w:bookmarkEnd w:id="9401"/>
      <w:bookmarkEnd w:id="9402"/>
    </w:p>
    <w:tbl>
      <w:tblPr>
        <w:tblW w:w="7937" w:type="dxa"/>
        <w:tblLayout w:type="fixed"/>
        <w:tblLook w:val="0000" w:firstRow="0" w:lastRow="0" w:firstColumn="0" w:lastColumn="0" w:noHBand="0" w:noVBand="0"/>
        <w:tblCaption w:val="Table I.6: Net benefits to Victoria - high realisation scenario"/>
        <w:tblDescription w:val="This table shows the net benefits under a high realisation scenario of the proposed changes to NCC 2019 in Victoria. "/>
      </w:tblPr>
      <w:tblGrid>
        <w:gridCol w:w="2456"/>
        <w:gridCol w:w="783"/>
        <w:gridCol w:w="783"/>
        <w:gridCol w:w="783"/>
        <w:gridCol w:w="783"/>
        <w:gridCol w:w="783"/>
        <w:gridCol w:w="783"/>
        <w:gridCol w:w="783"/>
      </w:tblGrid>
      <w:tr w:rsidR="00612FD3" w:rsidTr="00301B6D">
        <w:trPr>
          <w:trHeight w:val="230"/>
          <w:tblHeader/>
        </w:trPr>
        <w:tc>
          <w:tcPr>
            <w:tcW w:w="2456" w:type="dxa"/>
            <w:shd w:val="clear" w:color="auto" w:fill="6F6652"/>
            <w:tcMar>
              <w:left w:w="57" w:type="dxa"/>
              <w:right w:w="57" w:type="dxa"/>
            </w:tcMar>
          </w:tcPr>
          <w:p w:rsidR="00612FD3" w:rsidRDefault="00612FD3" w:rsidP="00301B6D">
            <w:pPr>
              <w:pStyle w:val="TableDataColumnHeading"/>
              <w:jc w:val="left"/>
              <w:rPr>
                <w:lang w:val="en-GB"/>
              </w:rPr>
            </w:pP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CZ1</w:t>
            </w: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CZ2</w:t>
            </w: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CZ3</w:t>
            </w: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CZ4</w:t>
            </w: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CZ5</w:t>
            </w: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CZ6</w:t>
            </w: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CZ7</w:t>
            </w:r>
          </w:p>
        </w:tc>
      </w:tr>
      <w:tr w:rsidR="00612FD3" w:rsidTr="00301B6D">
        <w:trPr>
          <w:trHeight w:val="230"/>
          <w:tblHeader/>
        </w:trPr>
        <w:tc>
          <w:tcPr>
            <w:tcW w:w="2456"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jc w:val="left"/>
              <w:rPr>
                <w:lang w:val="en-GB"/>
              </w:rPr>
            </w:pP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r>
      <w:tr w:rsidR="00612FD3" w:rsidTr="00301B6D">
        <w:trPr>
          <w:trHeight w:val="230"/>
        </w:trPr>
        <w:tc>
          <w:tcPr>
            <w:tcW w:w="245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r>
              <w:rPr>
                <w:lang w:val="en-GB"/>
              </w:rPr>
              <w:t>Hotels</w:t>
            </w: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r>
      <w:tr w:rsidR="00227536"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Bill savings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57.42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60.43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56.51</w:t>
            </w:r>
          </w:p>
        </w:tc>
      </w:tr>
      <w:tr w:rsidR="00227536" w:rsidTr="00817952">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Bill savings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2.85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2.02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2.09</w:t>
            </w:r>
          </w:p>
        </w:tc>
      </w:tr>
      <w:tr w:rsidR="00227536" w:rsidTr="00D364DA">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Private costs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1.10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0.77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12.65</w:t>
            </w:r>
          </w:p>
        </w:tc>
      </w:tr>
      <w:tr w:rsidR="00227536" w:rsidRPr="00D364DA" w:rsidTr="00D364DA">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227536" w:rsidRPr="00D364DA" w:rsidRDefault="00227536" w:rsidP="00227536">
            <w:pPr>
              <w:pStyle w:val="TableDataEntries"/>
              <w:jc w:val="left"/>
              <w:rPr>
                <w:lang w:val="en-GB"/>
              </w:rPr>
            </w:pPr>
            <w:r w:rsidRPr="00D364DA">
              <w:rPr>
                <w:lang w:val="en-GB"/>
              </w:rPr>
              <w:t>Net private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 xml:space="preserve"> 61.37</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 xml:space="preserve"> 63.21</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 xml:space="preserve"> 71.26</w:t>
            </w:r>
          </w:p>
        </w:tc>
      </w:tr>
      <w:tr w:rsidR="00227536" w:rsidTr="00817952">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Avoided GHG emissions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20.61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21.69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20.29</w:t>
            </w:r>
          </w:p>
        </w:tc>
      </w:tr>
      <w:tr w:rsidR="00227536"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Avoided GHG emissions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0.90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0.64</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0.66</w:t>
            </w:r>
          </w:p>
        </w:tc>
      </w:tr>
      <w:tr w:rsidR="00227536" w:rsidRPr="00227536"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227536" w:rsidRPr="00227536" w:rsidRDefault="00227536" w:rsidP="00227536">
            <w:pPr>
              <w:pStyle w:val="TableDataEntries"/>
              <w:jc w:val="left"/>
              <w:rPr>
                <w:rFonts w:ascii="Franklin Gothic Demi" w:hAnsi="Franklin Gothic Demi"/>
                <w:lang w:val="en-GB"/>
              </w:rPr>
            </w:pPr>
            <w:r w:rsidRPr="00227536">
              <w:rPr>
                <w:rFonts w:ascii="Franklin Gothic Demi" w:hAnsi="Franklin Gothic Demi"/>
                <w:lang w:val="en-GB"/>
              </w:rPr>
              <w:t>Net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 xml:space="preserve"> 82.88</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 xml:space="preserve"> 85.54</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 xml:space="preserve"> 92.20</w:t>
            </w:r>
          </w:p>
        </w:tc>
      </w:tr>
      <w:tr w:rsidR="00227536" w:rsidTr="00301B6D">
        <w:trPr>
          <w:trHeight w:val="230"/>
        </w:trPr>
        <w:tc>
          <w:tcPr>
            <w:tcW w:w="245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227536" w:rsidRDefault="00227536" w:rsidP="00227536">
            <w:pPr>
              <w:pStyle w:val="TableHeading1"/>
              <w:rPr>
                <w:lang w:val="en-GB"/>
              </w:rPr>
            </w:pPr>
            <w:r>
              <w:rPr>
                <w:lang w:val="en-GB"/>
              </w:rPr>
              <w:t>Office building</w:t>
            </w: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r>
      <w:tr w:rsidR="00227536" w:rsidTr="00817952">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Bill savings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12.90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14.02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12.75</w:t>
            </w:r>
          </w:p>
        </w:tc>
      </w:tr>
      <w:tr w:rsidR="00227536" w:rsidTr="00817952">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Bill savings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1.91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1.02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1.92</w:t>
            </w:r>
          </w:p>
        </w:tc>
      </w:tr>
      <w:tr w:rsidR="00227536" w:rsidTr="00D364DA">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Private costs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- 7.12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- 5.29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- 1.72</w:t>
            </w:r>
          </w:p>
        </w:tc>
      </w:tr>
      <w:tr w:rsidR="00227536" w:rsidRPr="00D364DA" w:rsidTr="00D364DA">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227536" w:rsidRPr="00D364DA" w:rsidRDefault="00227536" w:rsidP="00227536">
            <w:pPr>
              <w:pStyle w:val="TableDataEntries"/>
              <w:jc w:val="left"/>
              <w:rPr>
                <w:lang w:val="en-GB"/>
              </w:rPr>
            </w:pPr>
            <w:r w:rsidRPr="00D364DA">
              <w:rPr>
                <w:lang w:val="en-GB"/>
              </w:rPr>
              <w:t>Net private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 xml:space="preserve"> 7.70</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 xml:space="preserve"> 9.75</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 xml:space="preserve"> 12.94</w:t>
            </w:r>
          </w:p>
        </w:tc>
      </w:tr>
      <w:tr w:rsidR="00227536"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Avoided GHG emissions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4.63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5.03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4.58</w:t>
            </w:r>
          </w:p>
        </w:tc>
      </w:tr>
      <w:tr w:rsidR="00227536"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Avoided GHG emissions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0.60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0.32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0.60</w:t>
            </w:r>
          </w:p>
        </w:tc>
      </w:tr>
      <w:tr w:rsidR="00227536" w:rsidRPr="00227536"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227536" w:rsidRPr="00227536" w:rsidRDefault="00227536" w:rsidP="00227536">
            <w:pPr>
              <w:pStyle w:val="TableDataEntries"/>
              <w:jc w:val="left"/>
              <w:rPr>
                <w:rFonts w:ascii="Franklin Gothic Demi" w:hAnsi="Franklin Gothic Demi"/>
                <w:lang w:val="en-GB"/>
              </w:rPr>
            </w:pPr>
            <w:r w:rsidRPr="00227536">
              <w:rPr>
                <w:rFonts w:ascii="Franklin Gothic Demi" w:hAnsi="Franklin Gothic Demi"/>
                <w:lang w:val="en-GB"/>
              </w:rPr>
              <w:t>Net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 xml:space="preserve"> 12.93</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 xml:space="preserve"> 15.10</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 xml:space="preserve"> 18.12</w:t>
            </w:r>
          </w:p>
        </w:tc>
      </w:tr>
      <w:tr w:rsidR="00227536" w:rsidTr="00301B6D">
        <w:trPr>
          <w:trHeight w:val="230"/>
        </w:trPr>
        <w:tc>
          <w:tcPr>
            <w:tcW w:w="245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227536" w:rsidRDefault="00227536" w:rsidP="00227536">
            <w:pPr>
              <w:pStyle w:val="TableHeading1"/>
              <w:rPr>
                <w:lang w:val="en-GB"/>
              </w:rPr>
            </w:pPr>
            <w:r>
              <w:rPr>
                <w:lang w:val="en-GB"/>
              </w:rPr>
              <w:t>Retail</w:t>
            </w: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r>
      <w:tr w:rsidR="00227536" w:rsidTr="00817952">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Bill savings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71.44</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74.73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- 8.81</w:t>
            </w:r>
          </w:p>
        </w:tc>
      </w:tr>
      <w:tr w:rsidR="00227536" w:rsidTr="00817952">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Bill savings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- 7.19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- 15.75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7.98</w:t>
            </w:r>
          </w:p>
        </w:tc>
      </w:tr>
      <w:tr w:rsidR="00227536" w:rsidTr="00D364DA">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Private costs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- 18.60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- 10.36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- 16.62</w:t>
            </w:r>
          </w:p>
        </w:tc>
      </w:tr>
      <w:tr w:rsidR="00227536" w:rsidRPr="00D364DA" w:rsidTr="00D364DA">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227536" w:rsidRPr="00D364DA" w:rsidRDefault="00227536" w:rsidP="00227536">
            <w:pPr>
              <w:pStyle w:val="TableDataEntries"/>
              <w:jc w:val="left"/>
              <w:rPr>
                <w:lang w:val="en-GB"/>
              </w:rPr>
            </w:pPr>
            <w:r w:rsidRPr="00D364DA">
              <w:rPr>
                <w:lang w:val="en-GB"/>
              </w:rPr>
              <w:t>Net private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 xml:space="preserve"> 45.65</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 xml:space="preserve"> 48.62</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- 17.44</w:t>
            </w:r>
          </w:p>
        </w:tc>
      </w:tr>
      <w:tr w:rsidR="00227536" w:rsidTr="00817952">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Avoided GHG emissions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25.65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26.83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- 3.16</w:t>
            </w:r>
          </w:p>
        </w:tc>
      </w:tr>
      <w:tr w:rsidR="00227536"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Avoided GHG emissions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- 2.27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- 4.97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2.52</w:t>
            </w:r>
          </w:p>
        </w:tc>
      </w:tr>
      <w:tr w:rsidR="00227536" w:rsidRPr="00227536"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227536" w:rsidRPr="00227536" w:rsidRDefault="00227536" w:rsidP="00227536">
            <w:pPr>
              <w:pStyle w:val="TableDataEntries"/>
              <w:jc w:val="left"/>
              <w:rPr>
                <w:rFonts w:ascii="Franklin Gothic Demi" w:hAnsi="Franklin Gothic Demi"/>
                <w:lang w:val="en-GB"/>
              </w:rPr>
            </w:pPr>
            <w:r w:rsidRPr="00227536">
              <w:rPr>
                <w:rFonts w:ascii="Franklin Gothic Demi" w:hAnsi="Franklin Gothic Demi"/>
                <w:lang w:val="en-GB"/>
              </w:rPr>
              <w:t>Net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 xml:space="preserve"> 69.03</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 xml:space="preserve"> 70.48</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- 18.09</w:t>
            </w:r>
          </w:p>
        </w:tc>
      </w:tr>
      <w:tr w:rsidR="00227536" w:rsidTr="00301B6D">
        <w:trPr>
          <w:trHeight w:val="230"/>
        </w:trPr>
        <w:tc>
          <w:tcPr>
            <w:tcW w:w="245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227536" w:rsidRDefault="00227536" w:rsidP="00227536">
            <w:pPr>
              <w:pStyle w:val="TableHeading1"/>
              <w:rPr>
                <w:lang w:val="en-GB"/>
              </w:rPr>
            </w:pPr>
            <w:r>
              <w:rPr>
                <w:lang w:val="en-GB"/>
              </w:rPr>
              <w:t>Healthcare</w:t>
            </w: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r>
      <w:tr w:rsidR="00227536" w:rsidTr="00817952">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Bill savings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27.45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14.81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29.64</w:t>
            </w:r>
          </w:p>
        </w:tc>
      </w:tr>
      <w:tr w:rsidR="00227536" w:rsidTr="00817952">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Bill savings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- 0.39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- 7.80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- 10.22</w:t>
            </w:r>
          </w:p>
        </w:tc>
      </w:tr>
      <w:tr w:rsidR="00227536" w:rsidTr="00D364DA">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Private costs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- 17.49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- 26.49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- 28.34</w:t>
            </w:r>
          </w:p>
        </w:tc>
      </w:tr>
      <w:tr w:rsidR="00227536" w:rsidRPr="00D364DA" w:rsidTr="00D364DA">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227536" w:rsidRPr="00D364DA" w:rsidRDefault="00227536" w:rsidP="00227536">
            <w:pPr>
              <w:pStyle w:val="TableDataEntries"/>
              <w:jc w:val="left"/>
              <w:rPr>
                <w:lang w:val="en-GB"/>
              </w:rPr>
            </w:pPr>
            <w:r w:rsidRPr="00D364DA">
              <w:rPr>
                <w:lang w:val="en-GB"/>
              </w:rPr>
              <w:t>Net private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 xml:space="preserve"> 9.58</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- 19.48</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- 8.92</w:t>
            </w:r>
          </w:p>
        </w:tc>
      </w:tr>
      <w:tr w:rsidR="00227536"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Avoided GHG emissions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9.85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5.32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10.64</w:t>
            </w:r>
          </w:p>
        </w:tc>
      </w:tr>
      <w:tr w:rsidR="00227536"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Avoided GHG emissions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- 0.12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- 2.46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- 3.22</w:t>
            </w:r>
          </w:p>
        </w:tc>
      </w:tr>
      <w:tr w:rsidR="00227536" w:rsidRPr="00227536"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227536" w:rsidRPr="00227536" w:rsidRDefault="00227536" w:rsidP="00227536">
            <w:pPr>
              <w:pStyle w:val="TableDataEntries"/>
              <w:jc w:val="left"/>
              <w:rPr>
                <w:rFonts w:ascii="Franklin Gothic Demi" w:hAnsi="Franklin Gothic Demi"/>
                <w:lang w:val="en-GB"/>
              </w:rPr>
            </w:pPr>
            <w:r w:rsidRPr="00227536">
              <w:rPr>
                <w:rFonts w:ascii="Franklin Gothic Demi" w:hAnsi="Franklin Gothic Demi"/>
                <w:lang w:val="en-GB"/>
              </w:rPr>
              <w:t>Net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 xml:space="preserve"> 19.31</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- 16.62</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- 1.50</w:t>
            </w:r>
          </w:p>
        </w:tc>
      </w:tr>
      <w:tr w:rsidR="00227536" w:rsidTr="00301B6D">
        <w:trPr>
          <w:trHeight w:val="230"/>
        </w:trPr>
        <w:tc>
          <w:tcPr>
            <w:tcW w:w="245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227536" w:rsidRDefault="00227536" w:rsidP="00227536">
            <w:pPr>
              <w:pStyle w:val="TableHeading1"/>
              <w:rPr>
                <w:lang w:val="en-GB"/>
              </w:rPr>
            </w:pPr>
            <w:r>
              <w:rPr>
                <w:lang w:val="en-GB"/>
              </w:rPr>
              <w:t>School</w:t>
            </w: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r>
      <w:tr w:rsidR="00227536"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Bill savings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57.94</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47.33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73.46</w:t>
            </w:r>
          </w:p>
        </w:tc>
      </w:tr>
      <w:tr w:rsidR="00227536" w:rsidTr="00817952">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Bill savings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8.70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10.29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7.04</w:t>
            </w:r>
          </w:p>
        </w:tc>
      </w:tr>
      <w:tr w:rsidR="00227536" w:rsidTr="00D364DA">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Private costs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- 17.65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- 7.71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- 8.72</w:t>
            </w:r>
          </w:p>
        </w:tc>
      </w:tr>
      <w:tr w:rsidR="00227536" w:rsidRPr="00D364DA" w:rsidTr="00D364DA">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227536" w:rsidRPr="00D364DA" w:rsidRDefault="00227536" w:rsidP="00227536">
            <w:pPr>
              <w:pStyle w:val="TableDataEntries"/>
              <w:jc w:val="left"/>
              <w:rPr>
                <w:lang w:val="en-GB"/>
              </w:rPr>
            </w:pPr>
            <w:r w:rsidRPr="00D364DA">
              <w:rPr>
                <w:lang w:val="en-GB"/>
              </w:rPr>
              <w:t>Net private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 xml:space="preserve"> 48.99</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 xml:space="preserve"> 49.91</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 xml:space="preserve"> 71.78</w:t>
            </w:r>
          </w:p>
        </w:tc>
      </w:tr>
      <w:tr w:rsidR="00227536" w:rsidTr="00817952">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Avoided GHG emissions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20.80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16.99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26.37</w:t>
            </w:r>
          </w:p>
        </w:tc>
      </w:tr>
      <w:tr w:rsidR="00227536"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Avoided GHG emissions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2.75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3.25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2.22</w:t>
            </w:r>
          </w:p>
        </w:tc>
      </w:tr>
      <w:tr w:rsidR="00227536" w:rsidRPr="00227536" w:rsidTr="00301B6D">
        <w:trPr>
          <w:trHeight w:val="230"/>
        </w:trPr>
        <w:tc>
          <w:tcPr>
            <w:tcW w:w="2456"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rsidR="00227536" w:rsidRPr="00227536" w:rsidRDefault="00227536" w:rsidP="00227536">
            <w:pPr>
              <w:pStyle w:val="TableDataEntries"/>
              <w:jc w:val="left"/>
              <w:rPr>
                <w:rFonts w:ascii="Franklin Gothic Demi" w:hAnsi="Franklin Gothic Demi"/>
                <w:lang w:val="en-GB"/>
              </w:rPr>
            </w:pPr>
            <w:r w:rsidRPr="00227536">
              <w:rPr>
                <w:rFonts w:ascii="Franklin Gothic Demi" w:hAnsi="Franklin Gothic Demi"/>
                <w:lang w:val="en-GB"/>
              </w:rPr>
              <w:t>Net benefit/cost</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n.a.</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n.a.</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n.a.</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 xml:space="preserve"> 72.54</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n.a.</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 xml:space="preserve"> 70.15</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 xml:space="preserve"> 100.37</w:t>
            </w:r>
          </w:p>
        </w:tc>
      </w:tr>
    </w:tbl>
    <w:p w:rsidR="00612FD3" w:rsidRDefault="00612FD3" w:rsidP="00612FD3">
      <w:pPr>
        <w:pStyle w:val="Note"/>
        <w:rPr>
          <w:lang w:bidi="fa-IR"/>
        </w:rPr>
      </w:pPr>
      <w:r w:rsidRPr="007D1B4F">
        <w:rPr>
          <w:i/>
        </w:rPr>
        <w:t>Note:</w:t>
      </w:r>
      <w:r w:rsidRPr="00E879B8">
        <w:t xml:space="preserve"> </w:t>
      </w:r>
      <w:r>
        <w:t>Costs and benefits are estimated over the assumed 40 year life of the building, using a discount rate of 7 per cent.</w:t>
      </w:r>
    </w:p>
    <w:p w:rsidR="00612FD3" w:rsidRDefault="00612FD3" w:rsidP="00612FD3">
      <w:pPr>
        <w:pStyle w:val="Source"/>
        <w:rPr>
          <w:lang w:bidi="fa-IR"/>
        </w:rPr>
      </w:pPr>
      <w:r w:rsidRPr="00C6138D">
        <w:rPr>
          <w:i/>
          <w:lang w:bidi="fa-IR"/>
        </w:rPr>
        <w:t>Source:</w:t>
      </w:r>
      <w:r>
        <w:rPr>
          <w:lang w:bidi="fa-IR"/>
        </w:rPr>
        <w:t xml:space="preserve"> CIE based on </w:t>
      </w:r>
      <w:r w:rsidR="00EB5964">
        <w:rPr>
          <w:lang w:bidi="fa-IR"/>
        </w:rPr>
        <w:t>EA</w:t>
      </w:r>
      <w:r>
        <w:rPr>
          <w:lang w:bidi="fa-IR"/>
        </w:rPr>
        <w:t xml:space="preserve"> modelling.</w:t>
      </w:r>
    </w:p>
    <w:p w:rsidR="00612FD3" w:rsidRDefault="00612FD3" w:rsidP="00612FD3">
      <w:pPr>
        <w:pStyle w:val="Heading7"/>
        <w:numPr>
          <w:ilvl w:val="6"/>
          <w:numId w:val="5"/>
        </w:numPr>
      </w:pPr>
      <w:r>
        <w:t>Queensland</w:t>
      </w:r>
    </w:p>
    <w:p w:rsidR="00612FD3" w:rsidRDefault="00612FD3" w:rsidP="00612FD3">
      <w:pPr>
        <w:pStyle w:val="Caption"/>
      </w:pPr>
      <w:r w:rsidRPr="00227536">
        <w:fldChar w:fldCharType="begin"/>
      </w:r>
      <w:r w:rsidRPr="00227536">
        <w:instrText xml:space="preserve"> IF 1 = 1 "</w:instrText>
      </w:r>
      <w:r w:rsidRPr="00227536">
        <w:fldChar w:fldCharType="begin"/>
      </w:r>
      <w:r w:rsidRPr="00227536">
        <w:instrText xml:space="preserve"> IF </w:instrText>
      </w:r>
      <w:r w:rsidRPr="00227536">
        <w:rPr>
          <w:noProof/>
        </w:rPr>
        <w:fldChar w:fldCharType="begin"/>
      </w:r>
      <w:r w:rsidRPr="00227536">
        <w:rPr>
          <w:noProof/>
        </w:rPr>
        <w:instrText xml:space="preserve"> STYLEREF "Heading 6" \l \n </w:instrText>
      </w:r>
      <w:r w:rsidRPr="00227536">
        <w:rPr>
          <w:noProof/>
        </w:rPr>
        <w:fldChar w:fldCharType="separate"/>
      </w:r>
      <w:r w:rsidR="00B833F1">
        <w:rPr>
          <w:noProof/>
        </w:rPr>
        <w:instrText>I</w:instrText>
      </w:r>
      <w:r w:rsidRPr="00227536">
        <w:rPr>
          <w:noProof/>
        </w:rPr>
        <w:fldChar w:fldCharType="end"/>
      </w:r>
      <w:r w:rsidRPr="00227536">
        <w:instrText xml:space="preserve"> = 0 "</w:instrText>
      </w:r>
      <w:r w:rsidRPr="00227536">
        <w:fldChar w:fldCharType="begin"/>
      </w:r>
      <w:r w:rsidRPr="00227536">
        <w:instrText xml:space="preserve"> IF </w:instrText>
      </w:r>
      <w:r w:rsidRPr="00227536">
        <w:rPr>
          <w:noProof/>
        </w:rPr>
        <w:fldChar w:fldCharType="begin"/>
      </w:r>
      <w:r w:rsidRPr="00227536">
        <w:rPr>
          <w:noProof/>
        </w:rPr>
        <w:instrText xml:space="preserve"> STYLEREF "Heading 1" \l \n </w:instrText>
      </w:r>
      <w:r w:rsidRPr="00227536">
        <w:rPr>
          <w:noProof/>
        </w:rPr>
        <w:fldChar w:fldCharType="separate"/>
      </w:r>
      <w:r w:rsidRPr="00227536">
        <w:rPr>
          <w:noProof/>
        </w:rPr>
        <w:instrText>1</w:instrText>
      </w:r>
      <w:r w:rsidRPr="00227536">
        <w:rPr>
          <w:noProof/>
        </w:rPr>
        <w:fldChar w:fldCharType="end"/>
      </w:r>
      <w:r w:rsidRPr="00227536">
        <w:instrText xml:space="preserve"> = 0 "" "</w:instrText>
      </w:r>
      <w:r w:rsidRPr="00227536">
        <w:rPr>
          <w:noProof/>
        </w:rPr>
        <w:fldChar w:fldCharType="begin"/>
      </w:r>
      <w:r w:rsidRPr="00227536">
        <w:rPr>
          <w:noProof/>
        </w:rPr>
        <w:instrText xml:space="preserve"> STYLEREF "Heading 1" \l \n </w:instrText>
      </w:r>
      <w:r w:rsidRPr="00227536">
        <w:rPr>
          <w:noProof/>
        </w:rPr>
        <w:fldChar w:fldCharType="separate"/>
      </w:r>
      <w:r w:rsidRPr="00227536">
        <w:rPr>
          <w:noProof/>
        </w:rPr>
        <w:instrText>1</w:instrText>
      </w:r>
      <w:r w:rsidRPr="00227536">
        <w:rPr>
          <w:noProof/>
        </w:rPr>
        <w:fldChar w:fldCharType="end"/>
      </w:r>
      <w:r w:rsidRPr="00227536">
        <w:instrText xml:space="preserve">." </w:instrText>
      </w:r>
      <w:r w:rsidRPr="00227536">
        <w:fldChar w:fldCharType="separate"/>
      </w:r>
      <w:r w:rsidRPr="00227536">
        <w:rPr>
          <w:noProof/>
        </w:rPr>
        <w:instrText>1.</w:instrText>
      </w:r>
      <w:r w:rsidRPr="00227536">
        <w:fldChar w:fldCharType="end"/>
      </w:r>
      <w:r w:rsidRPr="00227536">
        <w:instrText>" "</w:instrText>
      </w:r>
      <w:r w:rsidRPr="00227536">
        <w:rPr>
          <w:noProof/>
        </w:rPr>
        <w:fldChar w:fldCharType="begin"/>
      </w:r>
      <w:r w:rsidRPr="00227536">
        <w:rPr>
          <w:noProof/>
        </w:rPr>
        <w:instrText xml:space="preserve"> STYLEREF "Heading 6" \l \n </w:instrText>
      </w:r>
      <w:r w:rsidRPr="00227536">
        <w:rPr>
          <w:noProof/>
        </w:rPr>
        <w:fldChar w:fldCharType="separate"/>
      </w:r>
      <w:r w:rsidR="00B833F1">
        <w:rPr>
          <w:noProof/>
        </w:rPr>
        <w:instrText>I</w:instrText>
      </w:r>
      <w:r w:rsidRPr="00227536">
        <w:rPr>
          <w:noProof/>
        </w:rPr>
        <w:fldChar w:fldCharType="end"/>
      </w:r>
      <w:r w:rsidRPr="00227536">
        <w:instrText xml:space="preserve">." </w:instrText>
      </w:r>
      <w:r w:rsidRPr="00227536">
        <w:fldChar w:fldCharType="separate"/>
      </w:r>
      <w:r w:rsidR="00B833F1">
        <w:rPr>
          <w:noProof/>
        </w:rPr>
        <w:instrText>I</w:instrText>
      </w:r>
      <w:r w:rsidR="00B833F1" w:rsidRPr="00227536">
        <w:rPr>
          <w:noProof/>
        </w:rPr>
        <w:instrText>.</w:instrText>
      </w:r>
      <w:r w:rsidRPr="00227536">
        <w:fldChar w:fldCharType="end"/>
      </w:r>
      <w:r w:rsidRPr="00227536">
        <w:fldChar w:fldCharType="begin"/>
      </w:r>
      <w:r w:rsidRPr="00227536">
        <w:instrText xml:space="preserve"> SEQ Item \* ARABIC \s </w:instrText>
      </w:r>
      <w:r w:rsidRPr="00227536">
        <w:fldChar w:fldCharType="begin"/>
      </w:r>
      <w:r w:rsidRPr="00227536">
        <w:instrText xml:space="preserve"> IF </w:instrText>
      </w:r>
      <w:r w:rsidRPr="00227536">
        <w:rPr>
          <w:noProof/>
        </w:rPr>
        <w:fldChar w:fldCharType="begin"/>
      </w:r>
      <w:r w:rsidRPr="00227536">
        <w:rPr>
          <w:noProof/>
        </w:rPr>
        <w:instrText xml:space="preserve"> STYLEREF "Heading 6" \l \n </w:instrText>
      </w:r>
      <w:r w:rsidRPr="00227536">
        <w:rPr>
          <w:noProof/>
        </w:rPr>
        <w:fldChar w:fldCharType="separate"/>
      </w:r>
      <w:r w:rsidR="00B833F1">
        <w:rPr>
          <w:noProof/>
        </w:rPr>
        <w:instrText>I</w:instrText>
      </w:r>
      <w:r w:rsidRPr="00227536">
        <w:rPr>
          <w:noProof/>
        </w:rPr>
        <w:fldChar w:fldCharType="end"/>
      </w:r>
      <w:r w:rsidRPr="00227536">
        <w:instrText xml:space="preserve"> = 0 "</w:instrText>
      </w:r>
      <w:r w:rsidRPr="00227536">
        <w:fldChar w:fldCharType="begin"/>
      </w:r>
      <w:r w:rsidRPr="00227536">
        <w:instrText xml:space="preserve"> IF </w:instrText>
      </w:r>
      <w:r w:rsidRPr="00227536">
        <w:rPr>
          <w:noProof/>
        </w:rPr>
        <w:fldChar w:fldCharType="begin"/>
      </w:r>
      <w:r w:rsidRPr="00227536">
        <w:rPr>
          <w:noProof/>
        </w:rPr>
        <w:instrText xml:space="preserve"> STYLEREF "Heading 1" \l \n </w:instrText>
      </w:r>
      <w:r w:rsidRPr="00227536">
        <w:rPr>
          <w:noProof/>
        </w:rPr>
        <w:fldChar w:fldCharType="separate"/>
      </w:r>
      <w:r w:rsidRPr="00227536">
        <w:rPr>
          <w:noProof/>
        </w:rPr>
        <w:instrText>1</w:instrText>
      </w:r>
      <w:r w:rsidRPr="00227536">
        <w:rPr>
          <w:noProof/>
        </w:rPr>
        <w:fldChar w:fldCharType="end"/>
      </w:r>
      <w:r w:rsidRPr="00227536">
        <w:instrText xml:space="preserve"> = 0 "" "1" </w:instrText>
      </w:r>
      <w:r w:rsidRPr="00227536">
        <w:fldChar w:fldCharType="separate"/>
      </w:r>
      <w:r w:rsidRPr="00227536">
        <w:rPr>
          <w:noProof/>
        </w:rPr>
        <w:instrText>1</w:instrText>
      </w:r>
      <w:r w:rsidRPr="00227536">
        <w:fldChar w:fldCharType="end"/>
      </w:r>
      <w:r w:rsidRPr="00227536">
        <w:instrText xml:space="preserve">" "6" </w:instrText>
      </w:r>
      <w:r w:rsidRPr="00227536">
        <w:fldChar w:fldCharType="separate"/>
      </w:r>
      <w:r w:rsidR="00B833F1" w:rsidRPr="00227536">
        <w:rPr>
          <w:noProof/>
        </w:rPr>
        <w:instrText>6</w:instrText>
      </w:r>
      <w:r w:rsidRPr="00227536">
        <w:fldChar w:fldCharType="end"/>
      </w:r>
      <w:r w:rsidRPr="00227536">
        <w:instrText xml:space="preserve"> </w:instrText>
      </w:r>
      <w:r w:rsidRPr="00227536">
        <w:fldChar w:fldCharType="separate"/>
      </w:r>
      <w:r w:rsidR="00B833F1">
        <w:rPr>
          <w:noProof/>
        </w:rPr>
        <w:instrText>7</w:instrText>
      </w:r>
      <w:r w:rsidRPr="00227536">
        <w:fldChar w:fldCharType="end"/>
      </w:r>
      <w:r w:rsidRPr="00227536">
        <w:instrText xml:space="preserve">" "" </w:instrText>
      </w:r>
      <w:r w:rsidRPr="00227536">
        <w:fldChar w:fldCharType="separate"/>
      </w:r>
      <w:bookmarkStart w:id="9403" w:name="_Caption8084"/>
      <w:bookmarkStart w:id="9404" w:name="_Caption4651"/>
      <w:bookmarkStart w:id="9405" w:name="_Caption3367"/>
      <w:bookmarkStart w:id="9406" w:name="_Caption9512"/>
      <w:bookmarkStart w:id="9407" w:name="_Caption2152"/>
      <w:bookmarkStart w:id="9408" w:name="_Caption9483"/>
      <w:bookmarkStart w:id="9409" w:name="_Caption4464"/>
      <w:bookmarkStart w:id="9410" w:name="_Caption8942"/>
      <w:bookmarkStart w:id="9411" w:name="_Caption8096"/>
      <w:bookmarkStart w:id="9412" w:name="_Caption4640"/>
      <w:bookmarkStart w:id="9413" w:name="_Caption1870"/>
      <w:bookmarkStart w:id="9414" w:name="_Caption7829"/>
      <w:bookmarkStart w:id="9415" w:name="_Caption9947"/>
      <w:bookmarkStart w:id="9416" w:name="_Caption7226"/>
      <w:bookmarkStart w:id="9417" w:name="_Caption5847"/>
      <w:bookmarkStart w:id="9418" w:name="_Caption1762"/>
      <w:bookmarkStart w:id="9419" w:name="_Caption1290"/>
      <w:bookmarkStart w:id="9420" w:name="_Caption5113"/>
      <w:bookmarkStart w:id="9421" w:name="_Caption6714"/>
      <w:bookmarkStart w:id="9422" w:name="_Caption4444"/>
      <w:bookmarkStart w:id="9423" w:name="_Caption0097"/>
      <w:bookmarkStart w:id="9424" w:name="_Caption8370"/>
      <w:bookmarkStart w:id="9425" w:name="_Caption5212"/>
      <w:bookmarkStart w:id="9426" w:name="_Caption5440"/>
      <w:bookmarkStart w:id="9427" w:name="_Caption2731"/>
      <w:bookmarkStart w:id="9428" w:name="_Caption6703"/>
      <w:bookmarkStart w:id="9429" w:name="_Caption0426"/>
      <w:bookmarkStart w:id="9430" w:name="_Caption3655"/>
      <w:bookmarkStart w:id="9431" w:name="_Caption5927"/>
      <w:bookmarkStart w:id="9432" w:name="_Caption0716"/>
      <w:bookmarkStart w:id="9433" w:name="_Caption6850"/>
      <w:bookmarkStart w:id="9434" w:name="_Caption9596"/>
      <w:bookmarkStart w:id="9435" w:name="_Caption6830"/>
      <w:bookmarkStart w:id="9436" w:name="_Caption3787"/>
      <w:bookmarkStart w:id="9437" w:name="_Caption8534"/>
      <w:bookmarkStart w:id="9438" w:name="_Caption4225"/>
      <w:bookmarkStart w:id="9439" w:name="_Caption6032"/>
      <w:bookmarkStart w:id="9440" w:name="_Caption0054"/>
      <w:bookmarkStart w:id="9441" w:name="_Caption3663"/>
      <w:bookmarkStart w:id="9442" w:name="_Caption2885"/>
      <w:bookmarkStart w:id="9443" w:name="_Caption8036"/>
      <w:bookmarkStart w:id="9444" w:name="_Caption5590"/>
      <w:bookmarkStart w:id="9445" w:name="_Caption7611"/>
      <w:bookmarkStart w:id="9446" w:name="_Caption5967"/>
      <w:bookmarkStart w:id="9447" w:name="_Caption2900"/>
      <w:bookmarkStart w:id="9448" w:name="_Caption0752"/>
      <w:bookmarkStart w:id="9449" w:name="_Caption9279"/>
      <w:bookmarkStart w:id="9450" w:name="_Caption3017"/>
      <w:bookmarkStart w:id="9451" w:name="_Caption8248"/>
      <w:bookmarkStart w:id="9452" w:name="_Caption4008"/>
      <w:bookmarkStart w:id="9453" w:name="_Caption1728"/>
      <w:bookmarkStart w:id="9454" w:name="_Caption4866"/>
      <w:bookmarkStart w:id="9455" w:name="_Caption5312"/>
      <w:bookmarkStart w:id="9456" w:name="_Caption4212"/>
      <w:bookmarkStart w:id="9457" w:name="_Caption9462"/>
      <w:bookmarkStart w:id="9458" w:name="_Caption8528"/>
      <w:bookmarkStart w:id="9459" w:name="_Caption3464"/>
      <w:bookmarkStart w:id="9460" w:name="_Caption4412"/>
      <w:bookmarkStart w:id="9461" w:name="_Caption8312"/>
      <w:bookmarkStart w:id="9462" w:name="_Caption6730"/>
      <w:bookmarkStart w:id="9463" w:name="_Caption7261"/>
      <w:bookmarkStart w:id="9464" w:name="_Caption7097"/>
      <w:bookmarkStart w:id="9465" w:name="_Caption1376"/>
      <w:bookmarkStart w:id="9466" w:name="_Caption8001"/>
      <w:bookmarkStart w:id="9467" w:name="_Caption9617"/>
      <w:bookmarkStart w:id="9468" w:name="_Caption3357"/>
      <w:bookmarkStart w:id="9469" w:name="_Caption2645"/>
      <w:bookmarkStart w:id="9470" w:name="_Toc529870021"/>
      <w:bookmarkStart w:id="9471" w:name="_Toc530748517"/>
      <w:r w:rsidR="00EA42ED">
        <w:rPr>
          <w:noProof/>
        </w:rPr>
        <w:t>I</w:t>
      </w:r>
      <w:r w:rsidR="00EA42ED" w:rsidRPr="00227536">
        <w:rPr>
          <w:noProof/>
        </w:rPr>
        <w:t>.</w:t>
      </w:r>
      <w:r w:rsidR="00EA42ED">
        <w:rPr>
          <w:noProof/>
        </w:rPr>
        <w:t>7</w:t>
      </w:r>
      <w:bookmarkEnd w:id="9403"/>
      <w:bookmarkEnd w:id="9404"/>
      <w:bookmarkEnd w:id="9405"/>
      <w:bookmarkEnd w:id="9406"/>
      <w:bookmarkEnd w:id="9407"/>
      <w:bookmarkEnd w:id="9408"/>
      <w:bookmarkEnd w:id="9409"/>
      <w:bookmarkEnd w:id="9410"/>
      <w:bookmarkEnd w:id="9411"/>
      <w:bookmarkEnd w:id="9412"/>
      <w:bookmarkEnd w:id="9413"/>
      <w:bookmarkEnd w:id="9414"/>
      <w:bookmarkEnd w:id="9415"/>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bookmarkEnd w:id="9431"/>
      <w:bookmarkEnd w:id="9432"/>
      <w:bookmarkEnd w:id="9433"/>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bookmarkEnd w:id="9467"/>
      <w:bookmarkEnd w:id="9468"/>
      <w:bookmarkEnd w:id="9469"/>
      <w:r w:rsidRPr="00227536">
        <w:fldChar w:fldCharType="end"/>
      </w:r>
      <w:r w:rsidRPr="00227536">
        <w:tab/>
        <w:t>Net benefits to Queensland — low realisation scenario</w:t>
      </w:r>
      <w:bookmarkEnd w:id="9470"/>
      <w:bookmarkEnd w:id="9471"/>
    </w:p>
    <w:tbl>
      <w:tblPr>
        <w:tblW w:w="7937" w:type="dxa"/>
        <w:tblLayout w:type="fixed"/>
        <w:tblLook w:val="0000" w:firstRow="0" w:lastRow="0" w:firstColumn="0" w:lastColumn="0" w:noHBand="0" w:noVBand="0"/>
        <w:tblCaption w:val="Table I.7: Net benefits to Queensland - low realisation scenario"/>
        <w:tblDescription w:val="This table shows the net benefits under a low realisation scenario of the proposed changes to NCC 2019 in Queensland. "/>
      </w:tblPr>
      <w:tblGrid>
        <w:gridCol w:w="2456"/>
        <w:gridCol w:w="783"/>
        <w:gridCol w:w="783"/>
        <w:gridCol w:w="783"/>
        <w:gridCol w:w="783"/>
        <w:gridCol w:w="783"/>
        <w:gridCol w:w="783"/>
        <w:gridCol w:w="783"/>
      </w:tblGrid>
      <w:tr w:rsidR="00612FD3" w:rsidTr="00301B6D">
        <w:trPr>
          <w:trHeight w:val="230"/>
          <w:tblHeader/>
        </w:trPr>
        <w:tc>
          <w:tcPr>
            <w:tcW w:w="2456" w:type="dxa"/>
            <w:shd w:val="clear" w:color="auto" w:fill="6F6652"/>
            <w:tcMar>
              <w:left w:w="57" w:type="dxa"/>
              <w:right w:w="57" w:type="dxa"/>
            </w:tcMar>
          </w:tcPr>
          <w:p w:rsidR="00612FD3" w:rsidRDefault="00612FD3" w:rsidP="00301B6D">
            <w:pPr>
              <w:pStyle w:val="TableDataColumnHeading"/>
              <w:jc w:val="left"/>
              <w:rPr>
                <w:lang w:val="en-GB"/>
              </w:rPr>
            </w:pP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CZ1</w:t>
            </w: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CZ2</w:t>
            </w: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CZ3</w:t>
            </w: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CZ4</w:t>
            </w: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CZ5</w:t>
            </w: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CZ6</w:t>
            </w: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CZ7</w:t>
            </w:r>
          </w:p>
        </w:tc>
      </w:tr>
      <w:tr w:rsidR="00612FD3" w:rsidTr="00301B6D">
        <w:trPr>
          <w:trHeight w:val="230"/>
          <w:tblHeader/>
        </w:trPr>
        <w:tc>
          <w:tcPr>
            <w:tcW w:w="2456"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jc w:val="left"/>
              <w:rPr>
                <w:lang w:val="en-GB"/>
              </w:rPr>
            </w:pP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r>
      <w:tr w:rsidR="00612FD3" w:rsidTr="00301B6D">
        <w:trPr>
          <w:trHeight w:val="230"/>
        </w:trPr>
        <w:tc>
          <w:tcPr>
            <w:tcW w:w="245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r>
              <w:rPr>
                <w:lang w:val="en-GB"/>
              </w:rPr>
              <w:t>Hotels</w:t>
            </w: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r>
      <w:tr w:rsidR="00227536" w:rsidTr="00817952">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Bill savings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15.94</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33.30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25.94</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27.82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r>
      <w:tr w:rsidR="00227536" w:rsidTr="00817952">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Bill savings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0.00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0.36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0.05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0.05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r>
      <w:tr w:rsidR="00227536" w:rsidTr="00D364DA">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Private costs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10.26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- 1.77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0.97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- 4.98</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r>
      <w:tr w:rsidR="00227536" w:rsidRPr="00D364DA" w:rsidTr="00D364DA">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227536" w:rsidRPr="00D364DA" w:rsidRDefault="00227536" w:rsidP="00227536">
            <w:pPr>
              <w:pStyle w:val="TableDataEntries"/>
              <w:jc w:val="left"/>
              <w:rPr>
                <w:lang w:val="en-GB"/>
              </w:rPr>
            </w:pPr>
            <w:r w:rsidRPr="00D364DA">
              <w:rPr>
                <w:lang w:val="en-GB"/>
              </w:rPr>
              <w:t>Net private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 xml:space="preserve"> 26.20</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 xml:space="preserve"> 31.89</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 xml:space="preserve"> 26.96</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 xml:space="preserve"> 22.89</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n.a.</w:t>
            </w:r>
          </w:p>
        </w:tc>
      </w:tr>
      <w:tr w:rsidR="00227536" w:rsidTr="00817952">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Avoided GHG emissions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4.87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10.18</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7.93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8.50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r>
      <w:tr w:rsidR="00227536"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Avoided GHG emissions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0.00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0.08</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0.01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0.01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r>
      <w:tr w:rsidR="00227536" w:rsidRPr="00227536"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227536" w:rsidRPr="00227536" w:rsidRDefault="00227536" w:rsidP="00227536">
            <w:pPr>
              <w:pStyle w:val="TableDataEntries"/>
              <w:jc w:val="left"/>
              <w:rPr>
                <w:rFonts w:ascii="Franklin Gothic Demi" w:hAnsi="Franklin Gothic Demi"/>
                <w:lang w:val="en-GB"/>
              </w:rPr>
            </w:pPr>
            <w:r w:rsidRPr="00227536">
              <w:rPr>
                <w:rFonts w:ascii="Franklin Gothic Demi" w:hAnsi="Franklin Gothic Demi"/>
                <w:lang w:val="en-GB"/>
              </w:rPr>
              <w:t>Net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 xml:space="preserve"> 31.07</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 xml:space="preserve"> 42.15</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 xml:space="preserve"> 34.90</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 xml:space="preserve"> 31.41</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n.a.</w:t>
            </w:r>
          </w:p>
        </w:tc>
      </w:tr>
      <w:tr w:rsidR="00227536" w:rsidTr="00301B6D">
        <w:trPr>
          <w:trHeight w:val="230"/>
        </w:trPr>
        <w:tc>
          <w:tcPr>
            <w:tcW w:w="245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227536" w:rsidRDefault="00227536" w:rsidP="00227536">
            <w:pPr>
              <w:pStyle w:val="TableHeading1"/>
              <w:rPr>
                <w:lang w:val="en-GB"/>
              </w:rPr>
            </w:pPr>
            <w:r>
              <w:rPr>
                <w:lang w:val="en-GB"/>
              </w:rPr>
              <w:t>Office building</w:t>
            </w: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r>
      <w:tr w:rsidR="00227536" w:rsidTr="00817952">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Bill savings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10.45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10.51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r>
      <w:tr w:rsidR="00227536" w:rsidTr="00817952">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Bill savings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0.00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0.60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r>
      <w:tr w:rsidR="00227536" w:rsidTr="00D364DA">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Private costs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- 9.71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- 2.61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r>
      <w:tr w:rsidR="00227536" w:rsidRPr="00D364DA" w:rsidTr="00D364DA">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227536" w:rsidRPr="00D364DA" w:rsidRDefault="00227536" w:rsidP="00227536">
            <w:pPr>
              <w:pStyle w:val="TableDataEntries"/>
              <w:jc w:val="left"/>
              <w:rPr>
                <w:lang w:val="en-GB"/>
              </w:rPr>
            </w:pPr>
            <w:r w:rsidRPr="00D364DA">
              <w:rPr>
                <w:lang w:val="en-GB"/>
              </w:rPr>
              <w:t>Net private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 xml:space="preserve"> 0.74</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 xml:space="preserve"> 8.50</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n.a.</w:t>
            </w:r>
          </w:p>
        </w:tc>
      </w:tr>
      <w:tr w:rsidR="00227536"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Avoided GHG emissions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3.19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3.21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r>
      <w:tr w:rsidR="00227536"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Avoided GHG emissions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0.00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0.13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r>
      <w:tr w:rsidR="00227536" w:rsidRPr="00227536"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227536" w:rsidRPr="00227536" w:rsidRDefault="00227536" w:rsidP="00227536">
            <w:pPr>
              <w:pStyle w:val="TableDataEntries"/>
              <w:jc w:val="left"/>
              <w:rPr>
                <w:rFonts w:ascii="Franklin Gothic Demi" w:hAnsi="Franklin Gothic Demi"/>
                <w:lang w:val="en-GB"/>
              </w:rPr>
            </w:pPr>
            <w:r w:rsidRPr="00227536">
              <w:rPr>
                <w:rFonts w:ascii="Franklin Gothic Demi" w:hAnsi="Franklin Gothic Demi"/>
                <w:lang w:val="en-GB"/>
              </w:rPr>
              <w:t>Net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 xml:space="preserve"> 3.93</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 xml:space="preserve"> 11.85</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n.a.</w:t>
            </w:r>
          </w:p>
        </w:tc>
      </w:tr>
      <w:tr w:rsidR="00227536" w:rsidTr="00301B6D">
        <w:trPr>
          <w:trHeight w:val="230"/>
        </w:trPr>
        <w:tc>
          <w:tcPr>
            <w:tcW w:w="245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227536" w:rsidRDefault="00227536" w:rsidP="00227536">
            <w:pPr>
              <w:pStyle w:val="TableHeading1"/>
              <w:rPr>
                <w:lang w:val="en-GB"/>
              </w:rPr>
            </w:pPr>
            <w:r>
              <w:rPr>
                <w:lang w:val="en-GB"/>
              </w:rPr>
              <w:t>Retail</w:t>
            </w: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r>
      <w:tr w:rsidR="00227536" w:rsidTr="00817952">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Bill savings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38.08</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28.85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39.81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40.34</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r>
      <w:tr w:rsidR="00227536" w:rsidTr="00817952">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Bill savings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- 0.01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- 0.65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- 1.16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- 2.37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r>
      <w:tr w:rsidR="00227536" w:rsidTr="00D364DA">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Private costs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- 0.45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- 4.39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- 14.17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- 7.22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r>
      <w:tr w:rsidR="00227536" w:rsidRPr="00D364DA" w:rsidTr="00D364DA">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227536" w:rsidRPr="00D364DA" w:rsidRDefault="00227536" w:rsidP="00227536">
            <w:pPr>
              <w:pStyle w:val="TableDataEntries"/>
              <w:jc w:val="left"/>
              <w:rPr>
                <w:lang w:val="en-GB"/>
              </w:rPr>
            </w:pPr>
            <w:r w:rsidRPr="00D364DA">
              <w:rPr>
                <w:lang w:val="en-GB"/>
              </w:rPr>
              <w:t>Net private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 xml:space="preserve"> 37.62</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 xml:space="preserve"> 23.81</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 xml:space="preserve"> 24.47</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 xml:space="preserve"> 30.75</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n.a.</w:t>
            </w:r>
          </w:p>
        </w:tc>
      </w:tr>
      <w:tr w:rsidR="00227536"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Avoided GHG emissions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11.64</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8.82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12.17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12.33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r>
      <w:tr w:rsidR="00227536"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Avoided GHG emissions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0.00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- 0.15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- 0.26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- 0.53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r>
      <w:tr w:rsidR="00227536" w:rsidRPr="00227536"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227536" w:rsidRPr="00227536" w:rsidRDefault="00227536" w:rsidP="00227536">
            <w:pPr>
              <w:pStyle w:val="TableDataEntries"/>
              <w:jc w:val="left"/>
              <w:rPr>
                <w:rFonts w:ascii="Franklin Gothic Demi" w:hAnsi="Franklin Gothic Demi"/>
                <w:lang w:val="en-GB"/>
              </w:rPr>
            </w:pPr>
            <w:r w:rsidRPr="00227536">
              <w:rPr>
                <w:rFonts w:ascii="Franklin Gothic Demi" w:hAnsi="Franklin Gothic Demi"/>
                <w:lang w:val="en-GB"/>
              </w:rPr>
              <w:t>Net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 xml:space="preserve"> 49.25</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 xml:space="preserve"> 32.48</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 xml:space="preserve"> 36.38</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 xml:space="preserve"> 42.55</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n.a.</w:t>
            </w:r>
          </w:p>
        </w:tc>
      </w:tr>
      <w:tr w:rsidR="00227536" w:rsidTr="00301B6D">
        <w:trPr>
          <w:trHeight w:val="230"/>
        </w:trPr>
        <w:tc>
          <w:tcPr>
            <w:tcW w:w="245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227536" w:rsidRDefault="00227536" w:rsidP="00227536">
            <w:pPr>
              <w:pStyle w:val="TableHeading1"/>
              <w:rPr>
                <w:lang w:val="en-GB"/>
              </w:rPr>
            </w:pPr>
            <w:r>
              <w:rPr>
                <w:lang w:val="en-GB"/>
              </w:rPr>
              <w:t>Healthcare</w:t>
            </w: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r>
      <w:tr w:rsidR="00227536" w:rsidTr="00817952">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Bill savings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30.76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17.31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22.74</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12.15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r>
      <w:tr w:rsidR="00227536" w:rsidTr="00817952">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Bill savings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0.00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- 0.11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0.41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- 0.08</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r>
      <w:tr w:rsidR="00227536" w:rsidTr="00D364DA">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Private costs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- 14.62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- 9.62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- 15.98</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- 16.23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r>
      <w:tr w:rsidR="00227536" w:rsidRPr="00D364DA" w:rsidTr="00D364DA">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227536" w:rsidRPr="00D364DA" w:rsidRDefault="00227536" w:rsidP="00227536">
            <w:pPr>
              <w:pStyle w:val="TableDataEntries"/>
              <w:jc w:val="left"/>
              <w:rPr>
                <w:lang w:val="en-GB"/>
              </w:rPr>
            </w:pPr>
            <w:r w:rsidRPr="00D364DA">
              <w:rPr>
                <w:lang w:val="en-GB"/>
              </w:rPr>
              <w:t>Net private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 xml:space="preserve"> 16.14</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 xml:space="preserve"> 7.57</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 xml:space="preserve"> 7.18</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- 4.16</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n.a.</w:t>
            </w:r>
          </w:p>
        </w:tc>
      </w:tr>
      <w:tr w:rsidR="00227536" w:rsidTr="00817952">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Avoided GHG emissions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9.40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5.29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6.95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3.71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r>
      <w:tr w:rsidR="00227536"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Avoided GHG emissions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0.00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- 0.03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0.09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- 0.02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r>
      <w:tr w:rsidR="00227536" w:rsidRPr="00227536"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227536" w:rsidRPr="00227536" w:rsidRDefault="00227536" w:rsidP="00227536">
            <w:pPr>
              <w:pStyle w:val="TableDataEntries"/>
              <w:jc w:val="left"/>
              <w:rPr>
                <w:rFonts w:ascii="Franklin Gothic Demi" w:hAnsi="Franklin Gothic Demi"/>
                <w:lang w:val="en-GB"/>
              </w:rPr>
            </w:pPr>
            <w:r w:rsidRPr="00227536">
              <w:rPr>
                <w:rFonts w:ascii="Franklin Gothic Demi" w:hAnsi="Franklin Gothic Demi"/>
                <w:lang w:val="en-GB"/>
              </w:rPr>
              <w:t>Net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 xml:space="preserve"> 25.54</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 xml:space="preserve"> 12.84</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 xml:space="preserve"> 14.22</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- 0.46</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n.a.</w:t>
            </w:r>
          </w:p>
        </w:tc>
      </w:tr>
      <w:tr w:rsidR="00227536" w:rsidTr="00301B6D">
        <w:trPr>
          <w:trHeight w:val="230"/>
        </w:trPr>
        <w:tc>
          <w:tcPr>
            <w:tcW w:w="245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227536" w:rsidRDefault="00227536" w:rsidP="00227536">
            <w:pPr>
              <w:pStyle w:val="TableHeading1"/>
              <w:rPr>
                <w:lang w:val="en-GB"/>
              </w:rPr>
            </w:pPr>
            <w:r>
              <w:rPr>
                <w:lang w:val="en-GB"/>
              </w:rPr>
              <w:t>School</w:t>
            </w: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227536" w:rsidRDefault="00227536" w:rsidP="00227536">
            <w:pPr>
              <w:pStyle w:val="TableDataEntries"/>
              <w:rPr>
                <w:lang w:val="en-GB"/>
              </w:rPr>
            </w:pPr>
          </w:p>
        </w:tc>
      </w:tr>
      <w:tr w:rsidR="00227536"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Bill savings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69.22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47.39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43.58</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19.87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r>
      <w:tr w:rsidR="00227536" w:rsidTr="00817952">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Bill savings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0.04</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- 1.61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1.81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2.96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r>
      <w:tr w:rsidR="00227536" w:rsidTr="00D364DA">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Private costs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- 5.61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- 19.48</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- 12.16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- 18.10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r>
      <w:tr w:rsidR="00227536" w:rsidRPr="00D364DA" w:rsidTr="00D364DA">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227536" w:rsidRPr="00D364DA" w:rsidRDefault="00227536" w:rsidP="00227536">
            <w:pPr>
              <w:pStyle w:val="TableDataEntries"/>
              <w:jc w:val="left"/>
              <w:rPr>
                <w:lang w:val="en-GB"/>
              </w:rPr>
            </w:pPr>
            <w:r w:rsidRPr="00D364DA">
              <w:rPr>
                <w:lang w:val="en-GB"/>
              </w:rPr>
              <w:t>Net private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 xml:space="preserve"> 63.65</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 xml:space="preserve"> 26.30</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 xml:space="preserve"> 33.23</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 xml:space="preserve"> 4.73</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227536" w:rsidRPr="00D364DA" w:rsidRDefault="00227536" w:rsidP="00227536">
            <w:pPr>
              <w:pStyle w:val="TableDataEntries"/>
              <w:rPr>
                <w:lang w:val="en-GB"/>
              </w:rPr>
            </w:pPr>
            <w:r>
              <w:t>n.a.</w:t>
            </w:r>
          </w:p>
        </w:tc>
      </w:tr>
      <w:tr w:rsidR="00227536" w:rsidTr="00817952">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Avoided GHG emissions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21.16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14.49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13.32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6.07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r>
      <w:tr w:rsidR="00227536"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227536" w:rsidRDefault="00227536" w:rsidP="00227536">
            <w:pPr>
              <w:pStyle w:val="TableDataEntries"/>
              <w:jc w:val="left"/>
              <w:rPr>
                <w:lang w:val="en-GB"/>
              </w:rPr>
            </w:pPr>
            <w:r>
              <w:rPr>
                <w:lang w:val="en-GB"/>
              </w:rPr>
              <w:t>Avoided GHG emissions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0.01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- 0.36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0.41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 xml:space="preserve"> 0.67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227536" w:rsidRDefault="00227536" w:rsidP="00227536">
            <w:pPr>
              <w:pStyle w:val="TableDataEntries"/>
              <w:rPr>
                <w:lang w:val="en-GB"/>
              </w:rPr>
            </w:pPr>
            <w:r>
              <w:t>n.a.</w:t>
            </w:r>
          </w:p>
        </w:tc>
      </w:tr>
      <w:tr w:rsidR="00227536" w:rsidRPr="00227536" w:rsidTr="00301B6D">
        <w:trPr>
          <w:trHeight w:val="230"/>
        </w:trPr>
        <w:tc>
          <w:tcPr>
            <w:tcW w:w="2456"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rsidR="00227536" w:rsidRPr="00227536" w:rsidRDefault="00227536" w:rsidP="00227536">
            <w:pPr>
              <w:pStyle w:val="TableDataEntries"/>
              <w:jc w:val="left"/>
              <w:rPr>
                <w:rFonts w:ascii="Franklin Gothic Demi" w:hAnsi="Franklin Gothic Demi"/>
                <w:lang w:val="en-GB"/>
              </w:rPr>
            </w:pPr>
            <w:r w:rsidRPr="00227536">
              <w:rPr>
                <w:rFonts w:ascii="Franklin Gothic Demi" w:hAnsi="Franklin Gothic Demi"/>
                <w:lang w:val="en-GB"/>
              </w:rPr>
              <w:t>Net benefit/cost</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 xml:space="preserve"> 84.81</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 xml:space="preserve"> 40.42</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 xml:space="preserve"> 46.96</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n.a.</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 xml:space="preserve"> 11.47</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n.a.</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227536" w:rsidRPr="00227536" w:rsidRDefault="00227536" w:rsidP="00227536">
            <w:pPr>
              <w:pStyle w:val="TableDataEntries"/>
              <w:rPr>
                <w:rFonts w:ascii="Franklin Gothic Demi" w:hAnsi="Franklin Gothic Demi"/>
                <w:lang w:val="en-GB"/>
              </w:rPr>
            </w:pPr>
            <w:r w:rsidRPr="00227536">
              <w:rPr>
                <w:rFonts w:ascii="Franklin Gothic Demi" w:hAnsi="Franklin Gothic Demi"/>
              </w:rPr>
              <w:t>n.a.</w:t>
            </w:r>
          </w:p>
        </w:tc>
      </w:tr>
    </w:tbl>
    <w:p w:rsidR="00612FD3" w:rsidRPr="00E4232C" w:rsidRDefault="00612FD3" w:rsidP="00612FD3">
      <w:pPr>
        <w:pStyle w:val="Note"/>
      </w:pPr>
      <w:r>
        <w:t xml:space="preserve"> </w:t>
      </w:r>
    </w:p>
    <w:p w:rsidR="00612FD3" w:rsidRDefault="00612FD3" w:rsidP="00612FD3">
      <w:pPr>
        <w:pStyle w:val="Note"/>
        <w:rPr>
          <w:lang w:bidi="fa-IR"/>
        </w:rPr>
      </w:pPr>
      <w:r w:rsidRPr="007D1B4F">
        <w:rPr>
          <w:i/>
        </w:rPr>
        <w:t>Note:</w:t>
      </w:r>
      <w:r w:rsidRPr="00E879B8">
        <w:t xml:space="preserve"> </w:t>
      </w:r>
      <w:r>
        <w:t>Costs and benefits are estimated over the assumed 40 year life of the building, using a discount rate of 7 per cent.</w:t>
      </w:r>
    </w:p>
    <w:p w:rsidR="00612FD3" w:rsidRDefault="00612FD3" w:rsidP="00612FD3">
      <w:pPr>
        <w:pStyle w:val="Source"/>
        <w:rPr>
          <w:lang w:bidi="fa-IR"/>
        </w:rPr>
      </w:pPr>
      <w:r w:rsidRPr="00C6138D">
        <w:rPr>
          <w:i/>
          <w:lang w:bidi="fa-IR"/>
        </w:rPr>
        <w:t>Source:</w:t>
      </w:r>
      <w:r>
        <w:rPr>
          <w:lang w:bidi="fa-IR"/>
        </w:rPr>
        <w:t xml:space="preserve"> CIE based on </w:t>
      </w:r>
      <w:r w:rsidR="00EB5964">
        <w:rPr>
          <w:lang w:bidi="fa-IR"/>
        </w:rPr>
        <w:t>EA</w:t>
      </w:r>
      <w:r>
        <w:rPr>
          <w:lang w:bidi="fa-IR"/>
        </w:rPr>
        <w:t xml:space="preserve"> modelling.</w:t>
      </w:r>
    </w:p>
    <w:p w:rsidR="00612FD3" w:rsidRDefault="00612FD3" w:rsidP="00612FD3">
      <w:pPr>
        <w:pStyle w:val="BodyText"/>
      </w:pPr>
    </w:p>
    <w:p w:rsidR="00612FD3" w:rsidRDefault="00612FD3" w:rsidP="00612FD3">
      <w:pPr>
        <w:pStyle w:val="Caption"/>
      </w:pPr>
      <w:r w:rsidRPr="00BF170C">
        <w:fldChar w:fldCharType="begin"/>
      </w:r>
      <w:r w:rsidRPr="00BF170C">
        <w:instrText xml:space="preserve"> IF 1 = 1 "</w:instrText>
      </w:r>
      <w:r w:rsidRPr="00BF170C">
        <w:fldChar w:fldCharType="begin"/>
      </w:r>
      <w:r w:rsidRPr="00BF170C">
        <w:instrText xml:space="preserve"> IF </w:instrText>
      </w:r>
      <w:r w:rsidRPr="00BF170C">
        <w:rPr>
          <w:noProof/>
        </w:rPr>
        <w:fldChar w:fldCharType="begin"/>
      </w:r>
      <w:r w:rsidRPr="00BF170C">
        <w:rPr>
          <w:noProof/>
        </w:rPr>
        <w:instrText xml:space="preserve"> STYLEREF "Heading 6" \l \n </w:instrText>
      </w:r>
      <w:r w:rsidRPr="00BF170C">
        <w:rPr>
          <w:noProof/>
        </w:rPr>
        <w:fldChar w:fldCharType="separate"/>
      </w:r>
      <w:r w:rsidR="00B833F1">
        <w:rPr>
          <w:noProof/>
        </w:rPr>
        <w:instrText>I</w:instrText>
      </w:r>
      <w:r w:rsidRPr="00BF170C">
        <w:rPr>
          <w:noProof/>
        </w:rPr>
        <w:fldChar w:fldCharType="end"/>
      </w:r>
      <w:r w:rsidRPr="00BF170C">
        <w:instrText xml:space="preserve"> = 0 "</w:instrText>
      </w:r>
      <w:r w:rsidRPr="00BF170C">
        <w:fldChar w:fldCharType="begin"/>
      </w:r>
      <w:r w:rsidRPr="00BF170C">
        <w:instrText xml:space="preserve"> IF </w:instrText>
      </w:r>
      <w:r w:rsidRPr="00BF170C">
        <w:rPr>
          <w:noProof/>
        </w:rPr>
        <w:fldChar w:fldCharType="begin"/>
      </w:r>
      <w:r w:rsidRPr="00BF170C">
        <w:rPr>
          <w:noProof/>
        </w:rPr>
        <w:instrText xml:space="preserve"> STYLEREF "Heading 1" \l \n </w:instrText>
      </w:r>
      <w:r w:rsidRPr="00BF170C">
        <w:rPr>
          <w:noProof/>
        </w:rPr>
        <w:fldChar w:fldCharType="separate"/>
      </w:r>
      <w:r w:rsidRPr="00BF170C">
        <w:rPr>
          <w:noProof/>
        </w:rPr>
        <w:instrText>1</w:instrText>
      </w:r>
      <w:r w:rsidRPr="00BF170C">
        <w:rPr>
          <w:noProof/>
        </w:rPr>
        <w:fldChar w:fldCharType="end"/>
      </w:r>
      <w:r w:rsidRPr="00BF170C">
        <w:instrText xml:space="preserve"> = 0 "" "</w:instrText>
      </w:r>
      <w:r w:rsidRPr="00BF170C">
        <w:rPr>
          <w:noProof/>
        </w:rPr>
        <w:fldChar w:fldCharType="begin"/>
      </w:r>
      <w:r w:rsidRPr="00BF170C">
        <w:rPr>
          <w:noProof/>
        </w:rPr>
        <w:instrText xml:space="preserve"> STYLEREF "Heading 1" \l \n </w:instrText>
      </w:r>
      <w:r w:rsidRPr="00BF170C">
        <w:rPr>
          <w:noProof/>
        </w:rPr>
        <w:fldChar w:fldCharType="separate"/>
      </w:r>
      <w:r w:rsidRPr="00BF170C">
        <w:rPr>
          <w:noProof/>
        </w:rPr>
        <w:instrText>1</w:instrText>
      </w:r>
      <w:r w:rsidRPr="00BF170C">
        <w:rPr>
          <w:noProof/>
        </w:rPr>
        <w:fldChar w:fldCharType="end"/>
      </w:r>
      <w:r w:rsidRPr="00BF170C">
        <w:instrText xml:space="preserve">." </w:instrText>
      </w:r>
      <w:r w:rsidRPr="00BF170C">
        <w:fldChar w:fldCharType="separate"/>
      </w:r>
      <w:r w:rsidRPr="00BF170C">
        <w:rPr>
          <w:noProof/>
        </w:rPr>
        <w:instrText>1.</w:instrText>
      </w:r>
      <w:r w:rsidRPr="00BF170C">
        <w:fldChar w:fldCharType="end"/>
      </w:r>
      <w:r w:rsidRPr="00BF170C">
        <w:instrText>" "</w:instrText>
      </w:r>
      <w:r w:rsidRPr="00BF170C">
        <w:rPr>
          <w:noProof/>
        </w:rPr>
        <w:fldChar w:fldCharType="begin"/>
      </w:r>
      <w:r w:rsidRPr="00BF170C">
        <w:rPr>
          <w:noProof/>
        </w:rPr>
        <w:instrText xml:space="preserve"> STYLEREF "Heading 6" \l \n </w:instrText>
      </w:r>
      <w:r w:rsidRPr="00BF170C">
        <w:rPr>
          <w:noProof/>
        </w:rPr>
        <w:fldChar w:fldCharType="separate"/>
      </w:r>
      <w:r w:rsidR="00B833F1">
        <w:rPr>
          <w:noProof/>
        </w:rPr>
        <w:instrText>I</w:instrText>
      </w:r>
      <w:r w:rsidRPr="00BF170C">
        <w:rPr>
          <w:noProof/>
        </w:rPr>
        <w:fldChar w:fldCharType="end"/>
      </w:r>
      <w:r w:rsidRPr="00BF170C">
        <w:instrText xml:space="preserve">." </w:instrText>
      </w:r>
      <w:r w:rsidRPr="00BF170C">
        <w:fldChar w:fldCharType="separate"/>
      </w:r>
      <w:r w:rsidR="00B833F1">
        <w:rPr>
          <w:noProof/>
        </w:rPr>
        <w:instrText>I</w:instrText>
      </w:r>
      <w:r w:rsidR="00B833F1" w:rsidRPr="00BF170C">
        <w:rPr>
          <w:noProof/>
        </w:rPr>
        <w:instrText>.</w:instrText>
      </w:r>
      <w:r w:rsidRPr="00BF170C">
        <w:fldChar w:fldCharType="end"/>
      </w:r>
      <w:r w:rsidRPr="00BF170C">
        <w:fldChar w:fldCharType="begin"/>
      </w:r>
      <w:r w:rsidRPr="00BF170C">
        <w:instrText xml:space="preserve"> SEQ Item \* ARABIC \s </w:instrText>
      </w:r>
      <w:r w:rsidRPr="00BF170C">
        <w:fldChar w:fldCharType="begin"/>
      </w:r>
      <w:r w:rsidRPr="00BF170C">
        <w:instrText xml:space="preserve"> IF </w:instrText>
      </w:r>
      <w:r w:rsidRPr="00BF170C">
        <w:rPr>
          <w:noProof/>
        </w:rPr>
        <w:fldChar w:fldCharType="begin"/>
      </w:r>
      <w:r w:rsidRPr="00BF170C">
        <w:rPr>
          <w:noProof/>
        </w:rPr>
        <w:instrText xml:space="preserve"> STYLEREF "Heading 6" \l \n </w:instrText>
      </w:r>
      <w:r w:rsidRPr="00BF170C">
        <w:rPr>
          <w:noProof/>
        </w:rPr>
        <w:fldChar w:fldCharType="separate"/>
      </w:r>
      <w:r w:rsidR="00B833F1">
        <w:rPr>
          <w:noProof/>
        </w:rPr>
        <w:instrText>I</w:instrText>
      </w:r>
      <w:r w:rsidRPr="00BF170C">
        <w:rPr>
          <w:noProof/>
        </w:rPr>
        <w:fldChar w:fldCharType="end"/>
      </w:r>
      <w:r w:rsidRPr="00BF170C">
        <w:instrText xml:space="preserve"> = 0 "</w:instrText>
      </w:r>
      <w:r w:rsidRPr="00BF170C">
        <w:fldChar w:fldCharType="begin"/>
      </w:r>
      <w:r w:rsidRPr="00BF170C">
        <w:instrText xml:space="preserve"> IF </w:instrText>
      </w:r>
      <w:r w:rsidRPr="00BF170C">
        <w:rPr>
          <w:noProof/>
        </w:rPr>
        <w:fldChar w:fldCharType="begin"/>
      </w:r>
      <w:r w:rsidRPr="00BF170C">
        <w:rPr>
          <w:noProof/>
        </w:rPr>
        <w:instrText xml:space="preserve"> STYLEREF "Heading 1" \l \n </w:instrText>
      </w:r>
      <w:r w:rsidRPr="00BF170C">
        <w:rPr>
          <w:noProof/>
        </w:rPr>
        <w:fldChar w:fldCharType="separate"/>
      </w:r>
      <w:r w:rsidRPr="00BF170C">
        <w:rPr>
          <w:noProof/>
        </w:rPr>
        <w:instrText>1</w:instrText>
      </w:r>
      <w:r w:rsidRPr="00BF170C">
        <w:rPr>
          <w:noProof/>
        </w:rPr>
        <w:fldChar w:fldCharType="end"/>
      </w:r>
      <w:r w:rsidRPr="00BF170C">
        <w:instrText xml:space="preserve"> = 0 "" "1" </w:instrText>
      </w:r>
      <w:r w:rsidRPr="00BF170C">
        <w:fldChar w:fldCharType="separate"/>
      </w:r>
      <w:r w:rsidRPr="00BF170C">
        <w:rPr>
          <w:noProof/>
        </w:rPr>
        <w:instrText>1</w:instrText>
      </w:r>
      <w:r w:rsidRPr="00BF170C">
        <w:fldChar w:fldCharType="end"/>
      </w:r>
      <w:r w:rsidRPr="00BF170C">
        <w:instrText xml:space="preserve">" "6" </w:instrText>
      </w:r>
      <w:r w:rsidRPr="00BF170C">
        <w:fldChar w:fldCharType="separate"/>
      </w:r>
      <w:r w:rsidR="00B833F1" w:rsidRPr="00BF170C">
        <w:rPr>
          <w:noProof/>
        </w:rPr>
        <w:instrText>6</w:instrText>
      </w:r>
      <w:r w:rsidRPr="00BF170C">
        <w:fldChar w:fldCharType="end"/>
      </w:r>
      <w:r w:rsidRPr="00BF170C">
        <w:instrText xml:space="preserve"> </w:instrText>
      </w:r>
      <w:r w:rsidRPr="00BF170C">
        <w:fldChar w:fldCharType="separate"/>
      </w:r>
      <w:r w:rsidR="00B833F1">
        <w:rPr>
          <w:noProof/>
        </w:rPr>
        <w:instrText>8</w:instrText>
      </w:r>
      <w:r w:rsidRPr="00BF170C">
        <w:fldChar w:fldCharType="end"/>
      </w:r>
      <w:r w:rsidRPr="00BF170C">
        <w:instrText xml:space="preserve">" "" </w:instrText>
      </w:r>
      <w:r w:rsidRPr="00BF170C">
        <w:fldChar w:fldCharType="separate"/>
      </w:r>
      <w:bookmarkStart w:id="9472" w:name="_Caption7353"/>
      <w:bookmarkStart w:id="9473" w:name="_Caption7133"/>
      <w:bookmarkStart w:id="9474" w:name="_Caption5365"/>
      <w:bookmarkStart w:id="9475" w:name="_Caption7234"/>
      <w:bookmarkStart w:id="9476" w:name="_Caption7910"/>
      <w:bookmarkStart w:id="9477" w:name="_Caption2856"/>
      <w:bookmarkStart w:id="9478" w:name="_Caption8244"/>
      <w:bookmarkStart w:id="9479" w:name="_Caption3449"/>
      <w:bookmarkStart w:id="9480" w:name="_Caption1778"/>
      <w:bookmarkStart w:id="9481" w:name="_Caption2350"/>
      <w:bookmarkStart w:id="9482" w:name="_Caption0862"/>
      <w:bookmarkStart w:id="9483" w:name="_Caption9611"/>
      <w:bookmarkStart w:id="9484" w:name="_Caption7848"/>
      <w:bookmarkStart w:id="9485" w:name="_Caption5063"/>
      <w:bookmarkStart w:id="9486" w:name="_Caption7020"/>
      <w:bookmarkStart w:id="9487" w:name="_Caption9940"/>
      <w:bookmarkStart w:id="9488" w:name="_Caption6696"/>
      <w:bookmarkStart w:id="9489" w:name="_Caption0567"/>
      <w:bookmarkStart w:id="9490" w:name="_Caption0352"/>
      <w:bookmarkStart w:id="9491" w:name="_Caption3792"/>
      <w:bookmarkStart w:id="9492" w:name="_Caption8092"/>
      <w:bookmarkStart w:id="9493" w:name="_Caption2044"/>
      <w:bookmarkStart w:id="9494" w:name="_Caption2720"/>
      <w:bookmarkStart w:id="9495" w:name="_Caption1517"/>
      <w:bookmarkStart w:id="9496" w:name="_Caption9700"/>
      <w:bookmarkStart w:id="9497" w:name="_Caption8224"/>
      <w:bookmarkStart w:id="9498" w:name="_Caption3814"/>
      <w:bookmarkStart w:id="9499" w:name="_Caption7110"/>
      <w:bookmarkStart w:id="9500" w:name="_Caption6610"/>
      <w:bookmarkStart w:id="9501" w:name="_Caption0687"/>
      <w:bookmarkStart w:id="9502" w:name="_Caption3643"/>
      <w:bookmarkStart w:id="9503" w:name="_Caption4587"/>
      <w:bookmarkStart w:id="9504" w:name="_Caption4105"/>
      <w:bookmarkStart w:id="9505" w:name="_Caption4594"/>
      <w:bookmarkStart w:id="9506" w:name="_Caption5046"/>
      <w:bookmarkStart w:id="9507" w:name="_Caption9478"/>
      <w:bookmarkStart w:id="9508" w:name="_Caption5016"/>
      <w:bookmarkStart w:id="9509" w:name="_Caption4781"/>
      <w:bookmarkStart w:id="9510" w:name="_Caption1483"/>
      <w:bookmarkStart w:id="9511" w:name="_Caption9032"/>
      <w:bookmarkStart w:id="9512" w:name="_Caption4970"/>
      <w:bookmarkStart w:id="9513" w:name="_Caption2174"/>
      <w:bookmarkStart w:id="9514" w:name="_Caption5369"/>
      <w:bookmarkStart w:id="9515" w:name="_Caption9620"/>
      <w:bookmarkStart w:id="9516" w:name="_Caption6295"/>
      <w:bookmarkStart w:id="9517" w:name="_Caption1085"/>
      <w:bookmarkStart w:id="9518" w:name="_Caption7630"/>
      <w:bookmarkStart w:id="9519" w:name="_Caption4906"/>
      <w:bookmarkStart w:id="9520" w:name="_Caption0705"/>
      <w:bookmarkStart w:id="9521" w:name="_Caption2300"/>
      <w:bookmarkStart w:id="9522" w:name="_Caption0762"/>
      <w:bookmarkStart w:id="9523" w:name="_Caption1839"/>
      <w:bookmarkStart w:id="9524" w:name="_Caption5478"/>
      <w:bookmarkStart w:id="9525" w:name="_Caption2195"/>
      <w:bookmarkStart w:id="9526" w:name="_Caption5893"/>
      <w:bookmarkStart w:id="9527" w:name="_Caption3182"/>
      <w:bookmarkStart w:id="9528" w:name="_Caption9975"/>
      <w:bookmarkStart w:id="9529" w:name="_Caption6160"/>
      <w:bookmarkStart w:id="9530" w:name="_Caption0020"/>
      <w:bookmarkStart w:id="9531" w:name="_Caption1572"/>
      <w:bookmarkStart w:id="9532" w:name="_Caption8989"/>
      <w:bookmarkStart w:id="9533" w:name="_Caption6421"/>
      <w:bookmarkStart w:id="9534" w:name="_Caption9418"/>
      <w:bookmarkStart w:id="9535" w:name="_Caption1073"/>
      <w:bookmarkStart w:id="9536" w:name="_Caption5263"/>
      <w:bookmarkStart w:id="9537" w:name="_Caption2818"/>
      <w:bookmarkStart w:id="9538" w:name="_Caption3882"/>
      <w:bookmarkStart w:id="9539" w:name="_Toc529870022"/>
      <w:bookmarkStart w:id="9540" w:name="_Toc530748518"/>
      <w:r w:rsidR="00EA42ED">
        <w:rPr>
          <w:noProof/>
        </w:rPr>
        <w:t>I</w:t>
      </w:r>
      <w:r w:rsidR="00EA42ED" w:rsidRPr="00BF170C">
        <w:rPr>
          <w:noProof/>
        </w:rPr>
        <w:t>.</w:t>
      </w:r>
      <w:r w:rsidR="00EA42ED">
        <w:rPr>
          <w:noProof/>
        </w:rPr>
        <w:t>8</w:t>
      </w:r>
      <w:bookmarkEnd w:id="9472"/>
      <w:bookmarkEnd w:id="9473"/>
      <w:bookmarkEnd w:id="9474"/>
      <w:bookmarkEnd w:id="9475"/>
      <w:bookmarkEnd w:id="9476"/>
      <w:bookmarkEnd w:id="9477"/>
      <w:bookmarkEnd w:id="9478"/>
      <w:bookmarkEnd w:id="9479"/>
      <w:bookmarkEnd w:id="9480"/>
      <w:bookmarkEnd w:id="9481"/>
      <w:bookmarkEnd w:id="9482"/>
      <w:bookmarkEnd w:id="9483"/>
      <w:bookmarkEnd w:id="9484"/>
      <w:bookmarkEnd w:id="9485"/>
      <w:bookmarkEnd w:id="9486"/>
      <w:bookmarkEnd w:id="9487"/>
      <w:bookmarkEnd w:id="9488"/>
      <w:bookmarkEnd w:id="9489"/>
      <w:bookmarkEnd w:id="9490"/>
      <w:bookmarkEnd w:id="9491"/>
      <w:bookmarkEnd w:id="9492"/>
      <w:bookmarkEnd w:id="9493"/>
      <w:bookmarkEnd w:id="9494"/>
      <w:bookmarkEnd w:id="9495"/>
      <w:bookmarkEnd w:id="9496"/>
      <w:bookmarkEnd w:id="9497"/>
      <w:bookmarkEnd w:id="9498"/>
      <w:bookmarkEnd w:id="9499"/>
      <w:bookmarkEnd w:id="9500"/>
      <w:bookmarkEnd w:id="9501"/>
      <w:bookmarkEnd w:id="9502"/>
      <w:bookmarkEnd w:id="9503"/>
      <w:bookmarkEnd w:id="9504"/>
      <w:bookmarkEnd w:id="9505"/>
      <w:bookmarkEnd w:id="9506"/>
      <w:bookmarkEnd w:id="9507"/>
      <w:bookmarkEnd w:id="9508"/>
      <w:bookmarkEnd w:id="9509"/>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r w:rsidRPr="00BF170C">
        <w:fldChar w:fldCharType="end"/>
      </w:r>
      <w:r w:rsidRPr="00BF170C">
        <w:tab/>
        <w:t>Net benefits to Queensland — medium realisation scenario</w:t>
      </w:r>
      <w:bookmarkEnd w:id="9539"/>
      <w:bookmarkEnd w:id="9540"/>
    </w:p>
    <w:tbl>
      <w:tblPr>
        <w:tblW w:w="7937" w:type="dxa"/>
        <w:tblLayout w:type="fixed"/>
        <w:tblLook w:val="0000" w:firstRow="0" w:lastRow="0" w:firstColumn="0" w:lastColumn="0" w:noHBand="0" w:noVBand="0"/>
        <w:tblCaption w:val="Table I.8: Net benefits to Queensland - medium realisation scenario"/>
        <w:tblDescription w:val="This table shows the net benefits under a medium realisation scenario of the proposed changes to NCC 2019 in Queensland. "/>
      </w:tblPr>
      <w:tblGrid>
        <w:gridCol w:w="2456"/>
        <w:gridCol w:w="783"/>
        <w:gridCol w:w="783"/>
        <w:gridCol w:w="783"/>
        <w:gridCol w:w="783"/>
        <w:gridCol w:w="783"/>
        <w:gridCol w:w="783"/>
        <w:gridCol w:w="783"/>
      </w:tblGrid>
      <w:tr w:rsidR="00612FD3" w:rsidTr="00301B6D">
        <w:trPr>
          <w:trHeight w:val="230"/>
          <w:tblHeader/>
        </w:trPr>
        <w:tc>
          <w:tcPr>
            <w:tcW w:w="2456" w:type="dxa"/>
            <w:shd w:val="clear" w:color="auto" w:fill="6F6652"/>
            <w:tcMar>
              <w:left w:w="57" w:type="dxa"/>
              <w:right w:w="57" w:type="dxa"/>
            </w:tcMar>
          </w:tcPr>
          <w:p w:rsidR="00612FD3" w:rsidRDefault="00612FD3" w:rsidP="00301B6D">
            <w:pPr>
              <w:pStyle w:val="TableDataColumnHeading"/>
              <w:jc w:val="left"/>
              <w:rPr>
                <w:lang w:val="en-GB"/>
              </w:rPr>
            </w:pP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CZ1</w:t>
            </w: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CZ2</w:t>
            </w: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CZ3</w:t>
            </w: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CZ4</w:t>
            </w: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CZ5</w:t>
            </w: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CZ6</w:t>
            </w: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CZ7</w:t>
            </w:r>
          </w:p>
        </w:tc>
      </w:tr>
      <w:tr w:rsidR="00612FD3" w:rsidTr="00301B6D">
        <w:trPr>
          <w:trHeight w:val="230"/>
          <w:tblHeader/>
        </w:trPr>
        <w:tc>
          <w:tcPr>
            <w:tcW w:w="2456"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jc w:val="left"/>
              <w:rPr>
                <w:lang w:val="en-GB"/>
              </w:rPr>
            </w:pP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r>
      <w:tr w:rsidR="00612FD3" w:rsidTr="00301B6D">
        <w:trPr>
          <w:trHeight w:val="230"/>
        </w:trPr>
        <w:tc>
          <w:tcPr>
            <w:tcW w:w="245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r>
              <w:rPr>
                <w:lang w:val="en-GB"/>
              </w:rPr>
              <w:t>Hotels</w:t>
            </w: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r>
      <w:tr w:rsidR="00BF170C" w:rsidTr="00817952">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23.91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49.94</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38.90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41.73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817952">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0.00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0.55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0.08</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0.08</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D364DA">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Private costs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10.26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- 1.77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0.97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- 4.98</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RPr="00D364DA" w:rsidTr="00D364DA">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BF170C" w:rsidRPr="00D364DA" w:rsidRDefault="00BF170C" w:rsidP="00BF170C">
            <w:pPr>
              <w:pStyle w:val="TableDataEntries"/>
              <w:jc w:val="left"/>
              <w:rPr>
                <w:lang w:val="en-GB"/>
              </w:rPr>
            </w:pPr>
            <w:r w:rsidRPr="00D364DA">
              <w:rPr>
                <w:lang w:val="en-GB"/>
              </w:rPr>
              <w:t>Net private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D364DA" w:rsidRDefault="00BF170C" w:rsidP="00BF170C">
            <w:pPr>
              <w:pStyle w:val="TableDataEntries"/>
              <w:rPr>
                <w:lang w:val="en-GB"/>
              </w:rPr>
            </w:pPr>
            <w:r>
              <w:t xml:space="preserve"> 34.17</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D364DA" w:rsidRDefault="00BF170C" w:rsidP="00BF170C">
            <w:pPr>
              <w:pStyle w:val="TableDataEntries"/>
              <w:rPr>
                <w:lang w:val="en-GB"/>
              </w:rPr>
            </w:pPr>
            <w:r>
              <w:t xml:space="preserve"> 48.72</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D364DA" w:rsidRDefault="00BF170C" w:rsidP="00BF170C">
            <w:pPr>
              <w:pStyle w:val="TableDataEntries"/>
              <w:rPr>
                <w:lang w:val="en-GB"/>
              </w:rPr>
            </w:pPr>
            <w:r>
              <w:t xml:space="preserve"> 39.95</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D364DA"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D364DA" w:rsidRDefault="00BF170C" w:rsidP="00BF170C">
            <w:pPr>
              <w:pStyle w:val="TableDataEntries"/>
              <w:rPr>
                <w:lang w:val="en-GB"/>
              </w:rPr>
            </w:pPr>
            <w:r>
              <w:t xml:space="preserve"> 36.83</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D364DA"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D364DA" w:rsidRDefault="00BF170C" w:rsidP="00BF170C">
            <w:pPr>
              <w:pStyle w:val="TableDataEntries"/>
              <w:rPr>
                <w:lang w:val="en-GB"/>
              </w:rPr>
            </w:pPr>
            <w:r>
              <w:t>n.a.</w:t>
            </w:r>
          </w:p>
        </w:tc>
      </w:tr>
      <w:tr w:rsidR="00BF170C" w:rsidTr="00817952">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7.31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15.27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11.89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12.76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0.00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0.12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0.02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0.02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RPr="00BF170C"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BF170C" w:rsidRPr="00BF170C" w:rsidRDefault="00BF170C" w:rsidP="00BF170C">
            <w:pPr>
              <w:pStyle w:val="TableDataEntries"/>
              <w:jc w:val="left"/>
              <w:rPr>
                <w:rFonts w:ascii="Franklin Gothic Demi" w:hAnsi="Franklin Gothic Demi"/>
                <w:lang w:val="en-GB"/>
              </w:rPr>
            </w:pPr>
            <w:r w:rsidRPr="00BF170C">
              <w:rPr>
                <w:rFonts w:ascii="Franklin Gothic Demi" w:hAnsi="Franklin Gothic Demi"/>
                <w:lang w:val="en-GB"/>
              </w:rPr>
              <w:t>Net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41.47</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64.11</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51.86</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49.60</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BF170C" w:rsidRDefault="00BF170C" w:rsidP="00BF170C">
            <w:pPr>
              <w:pStyle w:val="TableHeading1"/>
              <w:rPr>
                <w:lang w:val="en-GB"/>
              </w:rPr>
            </w:pPr>
            <w:r>
              <w:rPr>
                <w:lang w:val="en-GB"/>
              </w:rPr>
              <w:t>Office building</w:t>
            </w: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15.67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15.77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0.00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0.90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D364DA">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Private costs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- 9.71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- 2.61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RPr="00D364DA" w:rsidTr="00D364DA">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BF170C" w:rsidRPr="00D364DA" w:rsidRDefault="00BF170C" w:rsidP="00BF170C">
            <w:pPr>
              <w:pStyle w:val="TableDataEntries"/>
              <w:jc w:val="left"/>
              <w:rPr>
                <w:lang w:val="en-GB"/>
              </w:rPr>
            </w:pPr>
            <w:r w:rsidRPr="00D364DA">
              <w:rPr>
                <w:lang w:val="en-GB"/>
              </w:rPr>
              <w:t>Net private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D364DA" w:rsidRDefault="00BF170C" w:rsidP="00BF170C">
            <w:pPr>
              <w:pStyle w:val="TableDataEntries"/>
              <w:rPr>
                <w:lang w:val="en-GB"/>
              </w:rPr>
            </w:pPr>
            <w:r>
              <w:t xml:space="preserve"> 5.96</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D364DA" w:rsidRDefault="00BF170C" w:rsidP="00BF170C">
            <w:pPr>
              <w:pStyle w:val="TableDataEntries"/>
              <w:rPr>
                <w:lang w:val="en-GB"/>
              </w:rPr>
            </w:pPr>
            <w:r>
              <w:t xml:space="preserve"> 14.06</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D364DA"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D364DA"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D364DA"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D364DA"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D364DA" w:rsidRDefault="00BF170C" w:rsidP="00BF170C">
            <w:pPr>
              <w:pStyle w:val="TableDataEntries"/>
              <w:rPr>
                <w:lang w:val="en-GB"/>
              </w:rPr>
            </w:pPr>
            <w:r>
              <w:t>n.a.</w:t>
            </w:r>
          </w:p>
        </w:tc>
      </w:tr>
      <w:tr w:rsidR="00BF170C" w:rsidTr="00817952">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4.79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4.82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0.00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0.20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RPr="00BF170C"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BF170C" w:rsidRPr="00BF170C" w:rsidRDefault="00BF170C" w:rsidP="00BF170C">
            <w:pPr>
              <w:pStyle w:val="TableDataEntries"/>
              <w:jc w:val="left"/>
              <w:rPr>
                <w:rFonts w:ascii="Franklin Gothic Demi" w:hAnsi="Franklin Gothic Demi"/>
                <w:lang w:val="en-GB"/>
              </w:rPr>
            </w:pPr>
            <w:r w:rsidRPr="00BF170C">
              <w:rPr>
                <w:rFonts w:ascii="Franklin Gothic Demi" w:hAnsi="Franklin Gothic Demi"/>
                <w:lang w:val="en-GB"/>
              </w:rPr>
              <w:t>Net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10.75</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19.08</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BF170C" w:rsidRDefault="00BF170C" w:rsidP="00BF170C">
            <w:pPr>
              <w:pStyle w:val="TableHeading1"/>
              <w:rPr>
                <w:lang w:val="en-GB"/>
              </w:rPr>
            </w:pPr>
            <w:r>
              <w:rPr>
                <w:lang w:val="en-GB"/>
              </w:rPr>
              <w:t>Retail</w:t>
            </w: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r>
      <w:tr w:rsidR="00BF170C" w:rsidTr="00817952">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57.12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43.27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59.71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60.51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817952">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- 0.01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- 0.98</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- 1.74</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- 3.55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D364DA">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Private costs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- 0.45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- 4.39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- 14.17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- 7.22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RPr="00D364DA" w:rsidTr="00D364DA">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BF170C" w:rsidRPr="00D364DA" w:rsidRDefault="00BF170C" w:rsidP="00BF170C">
            <w:pPr>
              <w:pStyle w:val="TableDataEntries"/>
              <w:jc w:val="left"/>
              <w:rPr>
                <w:lang w:val="en-GB"/>
              </w:rPr>
            </w:pPr>
            <w:r w:rsidRPr="00D364DA">
              <w:rPr>
                <w:lang w:val="en-GB"/>
              </w:rPr>
              <w:t>Net private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D364DA" w:rsidRDefault="00BF170C" w:rsidP="00BF170C">
            <w:pPr>
              <w:pStyle w:val="TableDataEntries"/>
              <w:rPr>
                <w:lang w:val="en-GB"/>
              </w:rPr>
            </w:pPr>
            <w:r>
              <w:t xml:space="preserve"> 56.65</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D364DA" w:rsidRDefault="00BF170C" w:rsidP="00BF170C">
            <w:pPr>
              <w:pStyle w:val="TableDataEntries"/>
              <w:rPr>
                <w:lang w:val="en-GB"/>
              </w:rPr>
            </w:pPr>
            <w:r>
              <w:t xml:space="preserve"> 37.90</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D364DA" w:rsidRDefault="00BF170C" w:rsidP="00BF170C">
            <w:pPr>
              <w:pStyle w:val="TableDataEntries"/>
              <w:rPr>
                <w:lang w:val="en-GB"/>
              </w:rPr>
            </w:pPr>
            <w:r>
              <w:t xml:space="preserve"> 43.80</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D364DA"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D364DA" w:rsidRDefault="00BF170C" w:rsidP="00BF170C">
            <w:pPr>
              <w:pStyle w:val="TableDataEntries"/>
              <w:rPr>
                <w:lang w:val="en-GB"/>
              </w:rPr>
            </w:pPr>
            <w:r>
              <w:t xml:space="preserve"> 49.74</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D364DA"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D364DA" w:rsidRDefault="00BF170C" w:rsidP="00BF170C">
            <w:pPr>
              <w:pStyle w:val="TableDataEntries"/>
              <w:rPr>
                <w:lang w:val="en-GB"/>
              </w:rPr>
            </w:pPr>
            <w:r>
              <w:t>n.a.</w:t>
            </w:r>
          </w:p>
        </w:tc>
      </w:tr>
      <w:tr w:rsidR="00BF170C" w:rsidTr="00817952">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17.46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13.23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18.25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18.50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0.00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- 0.22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- 0.39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- 0.80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RPr="00BF170C"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BF170C" w:rsidRPr="00BF170C" w:rsidRDefault="00BF170C" w:rsidP="00BF170C">
            <w:pPr>
              <w:pStyle w:val="TableDataEntries"/>
              <w:jc w:val="left"/>
              <w:rPr>
                <w:rFonts w:ascii="Franklin Gothic Demi" w:hAnsi="Franklin Gothic Demi"/>
                <w:lang w:val="en-GB"/>
              </w:rPr>
            </w:pPr>
            <w:r w:rsidRPr="00BF170C">
              <w:rPr>
                <w:rFonts w:ascii="Franklin Gothic Demi" w:hAnsi="Franklin Gothic Demi"/>
                <w:lang w:val="en-GB"/>
              </w:rPr>
              <w:t>Net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74.11</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50.91</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61.66</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67.44</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BF170C" w:rsidRDefault="00BF170C" w:rsidP="00BF170C">
            <w:pPr>
              <w:pStyle w:val="TableHeading1"/>
              <w:rPr>
                <w:lang w:val="en-GB"/>
              </w:rPr>
            </w:pPr>
            <w:r>
              <w:rPr>
                <w:lang w:val="en-GB"/>
              </w:rPr>
              <w:t>Healthcare</w:t>
            </w: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r>
      <w:tr w:rsidR="00BF170C" w:rsidTr="00817952">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46.14</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25.96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34.11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18.22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817952">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- 0.01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- 0.17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0.62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- 0.11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D364DA">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Private costs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- 14.62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- 9.62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- 15.98</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- 16.23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RPr="00D364DA" w:rsidTr="00D364DA">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BF170C" w:rsidRPr="00D364DA" w:rsidRDefault="00BF170C" w:rsidP="00BF170C">
            <w:pPr>
              <w:pStyle w:val="TableDataEntries"/>
              <w:jc w:val="left"/>
              <w:rPr>
                <w:lang w:val="en-GB"/>
              </w:rPr>
            </w:pPr>
            <w:r w:rsidRPr="00D364DA">
              <w:rPr>
                <w:lang w:val="en-GB"/>
              </w:rPr>
              <w:t>Net private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D364DA" w:rsidRDefault="00BF170C" w:rsidP="00BF170C">
            <w:pPr>
              <w:pStyle w:val="TableDataEntries"/>
              <w:rPr>
                <w:lang w:val="en-GB"/>
              </w:rPr>
            </w:pPr>
            <w:r>
              <w:t xml:space="preserve"> 31.51</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D364DA" w:rsidRDefault="00BF170C" w:rsidP="00BF170C">
            <w:pPr>
              <w:pStyle w:val="TableDataEntries"/>
              <w:rPr>
                <w:lang w:val="en-GB"/>
              </w:rPr>
            </w:pPr>
            <w:r>
              <w:t xml:space="preserve"> 16.17</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D364DA" w:rsidRDefault="00BF170C" w:rsidP="00BF170C">
            <w:pPr>
              <w:pStyle w:val="TableDataEntries"/>
              <w:rPr>
                <w:lang w:val="en-GB"/>
              </w:rPr>
            </w:pPr>
            <w:r>
              <w:t xml:space="preserve"> 18.76</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D364DA"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D364DA" w:rsidRDefault="00BF170C" w:rsidP="00BF170C">
            <w:pPr>
              <w:pStyle w:val="TableDataEntries"/>
              <w:rPr>
                <w:lang w:val="en-GB"/>
              </w:rPr>
            </w:pPr>
            <w:r>
              <w:t xml:space="preserve"> 1.88</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D364DA"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D364DA" w:rsidRDefault="00BF170C" w:rsidP="00BF170C">
            <w:pPr>
              <w:pStyle w:val="TableDataEntries"/>
              <w:rPr>
                <w:lang w:val="en-GB"/>
              </w:rPr>
            </w:pPr>
            <w:r>
              <w:t>n.a.</w:t>
            </w:r>
          </w:p>
        </w:tc>
      </w:tr>
      <w:tr w:rsidR="00BF170C" w:rsidTr="00817952">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14.10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7.94</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10.43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5.57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0.00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- 0.04</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0.14</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- 0.03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RPr="00BF170C"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BF170C" w:rsidRPr="00BF170C" w:rsidRDefault="00BF170C" w:rsidP="00BF170C">
            <w:pPr>
              <w:pStyle w:val="TableDataEntries"/>
              <w:jc w:val="left"/>
              <w:rPr>
                <w:rFonts w:ascii="Franklin Gothic Demi" w:hAnsi="Franklin Gothic Demi"/>
                <w:lang w:val="en-GB"/>
              </w:rPr>
            </w:pPr>
            <w:r w:rsidRPr="00BF170C">
              <w:rPr>
                <w:rFonts w:ascii="Franklin Gothic Demi" w:hAnsi="Franklin Gothic Demi"/>
                <w:lang w:val="en-GB"/>
              </w:rPr>
              <w:t>Net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45.61</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24.07</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29.33</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7.42</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BF170C" w:rsidRDefault="00BF170C" w:rsidP="00BF170C">
            <w:pPr>
              <w:pStyle w:val="TableHeading1"/>
              <w:rPr>
                <w:lang w:val="en-GB"/>
              </w:rPr>
            </w:pPr>
            <w:r>
              <w:rPr>
                <w:lang w:val="en-GB"/>
              </w:rPr>
              <w:t>School</w:t>
            </w: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103.83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71.09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65.37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29.81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817952">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0.06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- 2.42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2.72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4.45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D364DA">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Private costs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- 5.61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- 19.48</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- 12.16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- 18.10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RPr="00D364DA" w:rsidTr="00D364DA">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BF170C" w:rsidRPr="00D364DA" w:rsidRDefault="00BF170C" w:rsidP="00BF170C">
            <w:pPr>
              <w:pStyle w:val="TableDataEntries"/>
              <w:jc w:val="left"/>
              <w:rPr>
                <w:lang w:val="en-GB"/>
              </w:rPr>
            </w:pPr>
            <w:r w:rsidRPr="00D364DA">
              <w:rPr>
                <w:lang w:val="en-GB"/>
              </w:rPr>
              <w:t>Net private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D364DA" w:rsidRDefault="00BF170C" w:rsidP="00BF170C">
            <w:pPr>
              <w:pStyle w:val="TableDataEntries"/>
              <w:rPr>
                <w:lang w:val="en-GB"/>
              </w:rPr>
            </w:pPr>
            <w:r>
              <w:t xml:space="preserve"> 98.27</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D364DA" w:rsidRDefault="00BF170C" w:rsidP="00BF170C">
            <w:pPr>
              <w:pStyle w:val="TableDataEntries"/>
              <w:rPr>
                <w:lang w:val="en-GB"/>
              </w:rPr>
            </w:pPr>
            <w:r>
              <w:t xml:space="preserve"> 49.19</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D364DA" w:rsidRDefault="00BF170C" w:rsidP="00BF170C">
            <w:pPr>
              <w:pStyle w:val="TableDataEntries"/>
              <w:rPr>
                <w:lang w:val="en-GB"/>
              </w:rPr>
            </w:pPr>
            <w:r>
              <w:t xml:space="preserve"> 55.93</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D364DA"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D364DA" w:rsidRDefault="00BF170C" w:rsidP="00BF170C">
            <w:pPr>
              <w:pStyle w:val="TableDataEntries"/>
              <w:rPr>
                <w:lang w:val="en-GB"/>
              </w:rPr>
            </w:pPr>
            <w:r>
              <w:t xml:space="preserve"> 16.15</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D364DA"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D364DA" w:rsidRDefault="00BF170C" w:rsidP="00BF170C">
            <w:pPr>
              <w:pStyle w:val="TableDataEntries"/>
              <w:rPr>
                <w:lang w:val="en-GB"/>
              </w:rPr>
            </w:pPr>
            <w:r>
              <w:t>n.a.</w:t>
            </w:r>
          </w:p>
        </w:tc>
      </w:tr>
      <w:tr w:rsidR="00BF170C" w:rsidTr="00817952">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31.74</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21.73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19.98</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9.11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0.01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- 0.54</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0.61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1.00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RPr="00BF170C" w:rsidTr="00301B6D">
        <w:trPr>
          <w:trHeight w:val="230"/>
        </w:trPr>
        <w:tc>
          <w:tcPr>
            <w:tcW w:w="2456"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rsidR="00BF170C" w:rsidRPr="00BF170C" w:rsidRDefault="00BF170C" w:rsidP="00BF170C">
            <w:pPr>
              <w:pStyle w:val="TableDataEntries"/>
              <w:jc w:val="left"/>
              <w:rPr>
                <w:rFonts w:ascii="Franklin Gothic Demi" w:hAnsi="Franklin Gothic Demi"/>
                <w:lang w:val="en-GB"/>
              </w:rPr>
            </w:pPr>
            <w:r w:rsidRPr="00BF170C">
              <w:rPr>
                <w:rFonts w:ascii="Franklin Gothic Demi" w:hAnsi="Franklin Gothic Demi"/>
                <w:lang w:val="en-GB"/>
              </w:rPr>
              <w:t>Net benefit/cost</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130.02</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70.37</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76.52</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26.26</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r>
    </w:tbl>
    <w:p w:rsidR="00612FD3" w:rsidRDefault="00612FD3" w:rsidP="00612FD3">
      <w:pPr>
        <w:pStyle w:val="Note"/>
        <w:rPr>
          <w:lang w:bidi="fa-IR"/>
        </w:rPr>
      </w:pPr>
      <w:r w:rsidRPr="007D1B4F">
        <w:rPr>
          <w:i/>
        </w:rPr>
        <w:t>Note:</w:t>
      </w:r>
      <w:r w:rsidRPr="00E879B8">
        <w:t xml:space="preserve"> </w:t>
      </w:r>
      <w:r>
        <w:t>Costs and benefits are estimated over the assumed 40 year life of the building, using a discount rate of 7 per cent.</w:t>
      </w:r>
    </w:p>
    <w:p w:rsidR="00612FD3" w:rsidRDefault="00612FD3" w:rsidP="00612FD3">
      <w:pPr>
        <w:pStyle w:val="Source"/>
        <w:rPr>
          <w:lang w:bidi="fa-IR"/>
        </w:rPr>
      </w:pPr>
      <w:r w:rsidRPr="00C6138D">
        <w:rPr>
          <w:i/>
          <w:lang w:bidi="fa-IR"/>
        </w:rPr>
        <w:t>Source:</w:t>
      </w:r>
      <w:r>
        <w:rPr>
          <w:lang w:bidi="fa-IR"/>
        </w:rPr>
        <w:t xml:space="preserve"> CIE based on </w:t>
      </w:r>
      <w:r w:rsidR="00EB5964">
        <w:rPr>
          <w:lang w:bidi="fa-IR"/>
        </w:rPr>
        <w:t>EA</w:t>
      </w:r>
      <w:r>
        <w:rPr>
          <w:lang w:bidi="fa-IR"/>
        </w:rPr>
        <w:t xml:space="preserve"> modelling.</w:t>
      </w:r>
    </w:p>
    <w:p w:rsidR="00612FD3" w:rsidRDefault="00612FD3" w:rsidP="00612FD3">
      <w:pPr>
        <w:pStyle w:val="BodyText"/>
      </w:pPr>
    </w:p>
    <w:p w:rsidR="00817952" w:rsidRDefault="00817952" w:rsidP="00612FD3">
      <w:pPr>
        <w:pStyle w:val="Caption"/>
      </w:pPr>
      <w:r>
        <w:br w:type="page"/>
      </w:r>
    </w:p>
    <w:p w:rsidR="00612FD3" w:rsidRDefault="00612FD3" w:rsidP="00612FD3">
      <w:pPr>
        <w:pStyle w:val="Caption"/>
      </w:pPr>
      <w:r w:rsidRPr="00BF170C">
        <w:fldChar w:fldCharType="begin"/>
      </w:r>
      <w:r w:rsidRPr="00BF170C">
        <w:instrText xml:space="preserve"> IF 1 = 1 "</w:instrText>
      </w:r>
      <w:r w:rsidRPr="00BF170C">
        <w:fldChar w:fldCharType="begin"/>
      </w:r>
      <w:r w:rsidRPr="00BF170C">
        <w:instrText xml:space="preserve"> IF </w:instrText>
      </w:r>
      <w:r w:rsidRPr="00BF170C">
        <w:rPr>
          <w:noProof/>
        </w:rPr>
        <w:fldChar w:fldCharType="begin"/>
      </w:r>
      <w:r w:rsidRPr="00BF170C">
        <w:rPr>
          <w:noProof/>
        </w:rPr>
        <w:instrText xml:space="preserve"> STYLEREF "Heading 6" \l \n </w:instrText>
      </w:r>
      <w:r w:rsidRPr="00BF170C">
        <w:rPr>
          <w:noProof/>
        </w:rPr>
        <w:fldChar w:fldCharType="separate"/>
      </w:r>
      <w:r w:rsidR="00B833F1">
        <w:rPr>
          <w:noProof/>
        </w:rPr>
        <w:instrText>I</w:instrText>
      </w:r>
      <w:r w:rsidRPr="00BF170C">
        <w:rPr>
          <w:noProof/>
        </w:rPr>
        <w:fldChar w:fldCharType="end"/>
      </w:r>
      <w:r w:rsidRPr="00BF170C">
        <w:instrText xml:space="preserve"> = 0 "</w:instrText>
      </w:r>
      <w:r w:rsidRPr="00BF170C">
        <w:fldChar w:fldCharType="begin"/>
      </w:r>
      <w:r w:rsidRPr="00BF170C">
        <w:instrText xml:space="preserve"> IF </w:instrText>
      </w:r>
      <w:r w:rsidRPr="00BF170C">
        <w:rPr>
          <w:noProof/>
        </w:rPr>
        <w:fldChar w:fldCharType="begin"/>
      </w:r>
      <w:r w:rsidRPr="00BF170C">
        <w:rPr>
          <w:noProof/>
        </w:rPr>
        <w:instrText xml:space="preserve"> STYLEREF "Heading 1" \l \n </w:instrText>
      </w:r>
      <w:r w:rsidRPr="00BF170C">
        <w:rPr>
          <w:noProof/>
        </w:rPr>
        <w:fldChar w:fldCharType="separate"/>
      </w:r>
      <w:r w:rsidRPr="00BF170C">
        <w:rPr>
          <w:noProof/>
        </w:rPr>
        <w:instrText>1</w:instrText>
      </w:r>
      <w:r w:rsidRPr="00BF170C">
        <w:rPr>
          <w:noProof/>
        </w:rPr>
        <w:fldChar w:fldCharType="end"/>
      </w:r>
      <w:r w:rsidRPr="00BF170C">
        <w:instrText xml:space="preserve"> = 0 "" "</w:instrText>
      </w:r>
      <w:r w:rsidRPr="00BF170C">
        <w:rPr>
          <w:noProof/>
        </w:rPr>
        <w:fldChar w:fldCharType="begin"/>
      </w:r>
      <w:r w:rsidRPr="00BF170C">
        <w:rPr>
          <w:noProof/>
        </w:rPr>
        <w:instrText xml:space="preserve"> STYLEREF "Heading 1" \l \n </w:instrText>
      </w:r>
      <w:r w:rsidRPr="00BF170C">
        <w:rPr>
          <w:noProof/>
        </w:rPr>
        <w:fldChar w:fldCharType="separate"/>
      </w:r>
      <w:r w:rsidRPr="00BF170C">
        <w:rPr>
          <w:noProof/>
        </w:rPr>
        <w:instrText>1</w:instrText>
      </w:r>
      <w:r w:rsidRPr="00BF170C">
        <w:rPr>
          <w:noProof/>
        </w:rPr>
        <w:fldChar w:fldCharType="end"/>
      </w:r>
      <w:r w:rsidRPr="00BF170C">
        <w:instrText xml:space="preserve">." </w:instrText>
      </w:r>
      <w:r w:rsidRPr="00BF170C">
        <w:fldChar w:fldCharType="separate"/>
      </w:r>
      <w:r w:rsidRPr="00BF170C">
        <w:rPr>
          <w:noProof/>
        </w:rPr>
        <w:instrText>1.</w:instrText>
      </w:r>
      <w:r w:rsidRPr="00BF170C">
        <w:fldChar w:fldCharType="end"/>
      </w:r>
      <w:r w:rsidRPr="00BF170C">
        <w:instrText>" "</w:instrText>
      </w:r>
      <w:r w:rsidRPr="00BF170C">
        <w:rPr>
          <w:noProof/>
        </w:rPr>
        <w:fldChar w:fldCharType="begin"/>
      </w:r>
      <w:r w:rsidRPr="00BF170C">
        <w:rPr>
          <w:noProof/>
        </w:rPr>
        <w:instrText xml:space="preserve"> STYLEREF "Heading 6" \l \n </w:instrText>
      </w:r>
      <w:r w:rsidRPr="00BF170C">
        <w:rPr>
          <w:noProof/>
        </w:rPr>
        <w:fldChar w:fldCharType="separate"/>
      </w:r>
      <w:r w:rsidR="00B833F1">
        <w:rPr>
          <w:noProof/>
        </w:rPr>
        <w:instrText>I</w:instrText>
      </w:r>
      <w:r w:rsidRPr="00BF170C">
        <w:rPr>
          <w:noProof/>
        </w:rPr>
        <w:fldChar w:fldCharType="end"/>
      </w:r>
      <w:r w:rsidRPr="00BF170C">
        <w:instrText xml:space="preserve">." </w:instrText>
      </w:r>
      <w:r w:rsidRPr="00BF170C">
        <w:fldChar w:fldCharType="separate"/>
      </w:r>
      <w:r w:rsidR="00B833F1">
        <w:rPr>
          <w:noProof/>
        </w:rPr>
        <w:instrText>I</w:instrText>
      </w:r>
      <w:r w:rsidR="00B833F1" w:rsidRPr="00BF170C">
        <w:rPr>
          <w:noProof/>
        </w:rPr>
        <w:instrText>.</w:instrText>
      </w:r>
      <w:r w:rsidRPr="00BF170C">
        <w:fldChar w:fldCharType="end"/>
      </w:r>
      <w:r w:rsidRPr="00BF170C">
        <w:fldChar w:fldCharType="begin"/>
      </w:r>
      <w:r w:rsidRPr="00BF170C">
        <w:instrText xml:space="preserve"> SEQ Item \* ARABIC \s </w:instrText>
      </w:r>
      <w:r w:rsidRPr="00BF170C">
        <w:fldChar w:fldCharType="begin"/>
      </w:r>
      <w:r w:rsidRPr="00BF170C">
        <w:instrText xml:space="preserve"> IF </w:instrText>
      </w:r>
      <w:r w:rsidRPr="00BF170C">
        <w:rPr>
          <w:noProof/>
        </w:rPr>
        <w:fldChar w:fldCharType="begin"/>
      </w:r>
      <w:r w:rsidRPr="00BF170C">
        <w:rPr>
          <w:noProof/>
        </w:rPr>
        <w:instrText xml:space="preserve"> STYLEREF "Heading 6" \l \n </w:instrText>
      </w:r>
      <w:r w:rsidRPr="00BF170C">
        <w:rPr>
          <w:noProof/>
        </w:rPr>
        <w:fldChar w:fldCharType="separate"/>
      </w:r>
      <w:r w:rsidR="00B833F1">
        <w:rPr>
          <w:noProof/>
        </w:rPr>
        <w:instrText>I</w:instrText>
      </w:r>
      <w:r w:rsidRPr="00BF170C">
        <w:rPr>
          <w:noProof/>
        </w:rPr>
        <w:fldChar w:fldCharType="end"/>
      </w:r>
      <w:r w:rsidRPr="00BF170C">
        <w:instrText xml:space="preserve"> = 0 "</w:instrText>
      </w:r>
      <w:r w:rsidRPr="00BF170C">
        <w:fldChar w:fldCharType="begin"/>
      </w:r>
      <w:r w:rsidRPr="00BF170C">
        <w:instrText xml:space="preserve"> IF </w:instrText>
      </w:r>
      <w:r w:rsidRPr="00BF170C">
        <w:rPr>
          <w:noProof/>
        </w:rPr>
        <w:fldChar w:fldCharType="begin"/>
      </w:r>
      <w:r w:rsidRPr="00BF170C">
        <w:rPr>
          <w:noProof/>
        </w:rPr>
        <w:instrText xml:space="preserve"> STYLEREF "Heading 1" \l \n </w:instrText>
      </w:r>
      <w:r w:rsidRPr="00BF170C">
        <w:rPr>
          <w:noProof/>
        </w:rPr>
        <w:fldChar w:fldCharType="separate"/>
      </w:r>
      <w:r w:rsidRPr="00BF170C">
        <w:rPr>
          <w:noProof/>
        </w:rPr>
        <w:instrText>1</w:instrText>
      </w:r>
      <w:r w:rsidRPr="00BF170C">
        <w:rPr>
          <w:noProof/>
        </w:rPr>
        <w:fldChar w:fldCharType="end"/>
      </w:r>
      <w:r w:rsidRPr="00BF170C">
        <w:instrText xml:space="preserve"> = 0 "" "1" </w:instrText>
      </w:r>
      <w:r w:rsidRPr="00BF170C">
        <w:fldChar w:fldCharType="separate"/>
      </w:r>
      <w:r w:rsidRPr="00BF170C">
        <w:rPr>
          <w:noProof/>
        </w:rPr>
        <w:instrText>1</w:instrText>
      </w:r>
      <w:r w:rsidRPr="00BF170C">
        <w:fldChar w:fldCharType="end"/>
      </w:r>
      <w:r w:rsidRPr="00BF170C">
        <w:instrText xml:space="preserve">" "6" </w:instrText>
      </w:r>
      <w:r w:rsidRPr="00BF170C">
        <w:fldChar w:fldCharType="separate"/>
      </w:r>
      <w:r w:rsidR="00B833F1" w:rsidRPr="00BF170C">
        <w:rPr>
          <w:noProof/>
        </w:rPr>
        <w:instrText>6</w:instrText>
      </w:r>
      <w:r w:rsidRPr="00BF170C">
        <w:fldChar w:fldCharType="end"/>
      </w:r>
      <w:r w:rsidRPr="00BF170C">
        <w:instrText xml:space="preserve"> </w:instrText>
      </w:r>
      <w:r w:rsidRPr="00BF170C">
        <w:fldChar w:fldCharType="separate"/>
      </w:r>
      <w:r w:rsidR="00B833F1">
        <w:rPr>
          <w:noProof/>
        </w:rPr>
        <w:instrText>9</w:instrText>
      </w:r>
      <w:r w:rsidRPr="00BF170C">
        <w:fldChar w:fldCharType="end"/>
      </w:r>
      <w:r w:rsidRPr="00BF170C">
        <w:instrText xml:space="preserve">" "" </w:instrText>
      </w:r>
      <w:r w:rsidRPr="00BF170C">
        <w:fldChar w:fldCharType="separate"/>
      </w:r>
      <w:bookmarkStart w:id="9541" w:name="_Caption8443"/>
      <w:bookmarkStart w:id="9542" w:name="_Caption4936"/>
      <w:bookmarkStart w:id="9543" w:name="_Caption9775"/>
      <w:bookmarkStart w:id="9544" w:name="_Caption4418"/>
      <w:bookmarkStart w:id="9545" w:name="_Caption5595"/>
      <w:bookmarkStart w:id="9546" w:name="_Caption0434"/>
      <w:bookmarkStart w:id="9547" w:name="_Caption1510"/>
      <w:bookmarkStart w:id="9548" w:name="_Caption5139"/>
      <w:bookmarkStart w:id="9549" w:name="_Caption7992"/>
      <w:bookmarkStart w:id="9550" w:name="_Caption5617"/>
      <w:bookmarkStart w:id="9551" w:name="_Caption9527"/>
      <w:bookmarkStart w:id="9552" w:name="_Caption5838"/>
      <w:bookmarkStart w:id="9553" w:name="_Caption4250"/>
      <w:bookmarkStart w:id="9554" w:name="_Caption2109"/>
      <w:bookmarkStart w:id="9555" w:name="_Caption0279"/>
      <w:bookmarkStart w:id="9556" w:name="_Caption0421"/>
      <w:bookmarkStart w:id="9557" w:name="_Caption3912"/>
      <w:bookmarkStart w:id="9558" w:name="_Caption9220"/>
      <w:bookmarkStart w:id="9559" w:name="_Caption9269"/>
      <w:bookmarkStart w:id="9560" w:name="_Caption0250"/>
      <w:bookmarkStart w:id="9561" w:name="_Caption3025"/>
      <w:bookmarkStart w:id="9562" w:name="_Caption4761"/>
      <w:bookmarkStart w:id="9563" w:name="_Caption1862"/>
      <w:bookmarkStart w:id="9564" w:name="_Caption0839"/>
      <w:bookmarkStart w:id="9565" w:name="_Caption2568"/>
      <w:bookmarkStart w:id="9566" w:name="_Caption7834"/>
      <w:bookmarkStart w:id="9567" w:name="_Caption1267"/>
      <w:bookmarkStart w:id="9568" w:name="_Caption4369"/>
      <w:bookmarkStart w:id="9569" w:name="_Caption5807"/>
      <w:bookmarkStart w:id="9570" w:name="_Caption0805"/>
      <w:bookmarkStart w:id="9571" w:name="_Caption1070"/>
      <w:bookmarkStart w:id="9572" w:name="_Caption7121"/>
      <w:bookmarkStart w:id="9573" w:name="_Caption5529"/>
      <w:bookmarkStart w:id="9574" w:name="_Caption0339"/>
      <w:bookmarkStart w:id="9575" w:name="_Caption6978"/>
      <w:bookmarkStart w:id="9576" w:name="_Caption8881"/>
      <w:bookmarkStart w:id="9577" w:name="_Caption9444"/>
      <w:bookmarkStart w:id="9578" w:name="_Caption2633"/>
      <w:bookmarkStart w:id="9579" w:name="_Caption3789"/>
      <w:bookmarkStart w:id="9580" w:name="_Caption8240"/>
      <w:bookmarkStart w:id="9581" w:name="_Caption2764"/>
      <w:bookmarkStart w:id="9582" w:name="_Caption2184"/>
      <w:bookmarkStart w:id="9583" w:name="_Caption4942"/>
      <w:bookmarkStart w:id="9584" w:name="_Caption9854"/>
      <w:bookmarkStart w:id="9585" w:name="_Caption1975"/>
      <w:bookmarkStart w:id="9586" w:name="_Caption6877"/>
      <w:bookmarkStart w:id="9587" w:name="_Caption7153"/>
      <w:bookmarkStart w:id="9588" w:name="_Caption2484"/>
      <w:bookmarkStart w:id="9589" w:name="_Caption3513"/>
      <w:bookmarkStart w:id="9590" w:name="_Caption1801"/>
      <w:bookmarkStart w:id="9591" w:name="_Caption8410"/>
      <w:bookmarkStart w:id="9592" w:name="_Caption3517"/>
      <w:bookmarkStart w:id="9593" w:name="_Caption3587"/>
      <w:bookmarkStart w:id="9594" w:name="_Caption5916"/>
      <w:bookmarkStart w:id="9595" w:name="_Caption2274"/>
      <w:bookmarkStart w:id="9596" w:name="_Caption7104"/>
      <w:bookmarkStart w:id="9597" w:name="_Caption3413"/>
      <w:bookmarkStart w:id="9598" w:name="_Caption6547"/>
      <w:bookmarkStart w:id="9599" w:name="_Caption5940"/>
      <w:bookmarkStart w:id="9600" w:name="_Caption2315"/>
      <w:bookmarkStart w:id="9601" w:name="_Caption3227"/>
      <w:bookmarkStart w:id="9602" w:name="_Caption0614"/>
      <w:bookmarkStart w:id="9603" w:name="_Caption2093"/>
      <w:bookmarkStart w:id="9604" w:name="_Caption3601"/>
      <w:bookmarkStart w:id="9605" w:name="_Caption3986"/>
      <w:bookmarkStart w:id="9606" w:name="_Caption5668"/>
      <w:bookmarkStart w:id="9607" w:name="_Caption0464"/>
      <w:bookmarkStart w:id="9608" w:name="_Toc529870023"/>
      <w:bookmarkStart w:id="9609" w:name="_Toc530748519"/>
      <w:r w:rsidR="00EA42ED">
        <w:rPr>
          <w:noProof/>
        </w:rPr>
        <w:t>I</w:t>
      </w:r>
      <w:r w:rsidR="00EA42ED" w:rsidRPr="00BF170C">
        <w:rPr>
          <w:noProof/>
        </w:rPr>
        <w:t>.</w:t>
      </w:r>
      <w:r w:rsidR="00EA42ED">
        <w:rPr>
          <w:noProof/>
        </w:rPr>
        <w:t>9</w:t>
      </w:r>
      <w:bookmarkEnd w:id="9541"/>
      <w:bookmarkEnd w:id="9542"/>
      <w:bookmarkEnd w:id="9543"/>
      <w:bookmarkEnd w:id="9544"/>
      <w:bookmarkEnd w:id="9545"/>
      <w:bookmarkEnd w:id="9546"/>
      <w:bookmarkEnd w:id="9547"/>
      <w:bookmarkEnd w:id="9548"/>
      <w:bookmarkEnd w:id="9549"/>
      <w:bookmarkEnd w:id="9550"/>
      <w:bookmarkEnd w:id="9551"/>
      <w:bookmarkEnd w:id="9552"/>
      <w:bookmarkEnd w:id="9553"/>
      <w:bookmarkEnd w:id="9554"/>
      <w:bookmarkEnd w:id="9555"/>
      <w:bookmarkEnd w:id="9556"/>
      <w:bookmarkEnd w:id="9557"/>
      <w:bookmarkEnd w:id="9558"/>
      <w:bookmarkEnd w:id="9559"/>
      <w:bookmarkEnd w:id="9560"/>
      <w:bookmarkEnd w:id="9561"/>
      <w:bookmarkEnd w:id="9562"/>
      <w:bookmarkEnd w:id="9563"/>
      <w:bookmarkEnd w:id="9564"/>
      <w:bookmarkEnd w:id="9565"/>
      <w:bookmarkEnd w:id="9566"/>
      <w:bookmarkEnd w:id="9567"/>
      <w:bookmarkEnd w:id="9568"/>
      <w:bookmarkEnd w:id="9569"/>
      <w:bookmarkEnd w:id="9570"/>
      <w:bookmarkEnd w:id="9571"/>
      <w:bookmarkEnd w:id="9572"/>
      <w:bookmarkEnd w:id="9573"/>
      <w:bookmarkEnd w:id="9574"/>
      <w:bookmarkEnd w:id="9575"/>
      <w:bookmarkEnd w:id="9576"/>
      <w:bookmarkEnd w:id="9577"/>
      <w:bookmarkEnd w:id="9578"/>
      <w:bookmarkEnd w:id="9579"/>
      <w:bookmarkEnd w:id="9580"/>
      <w:bookmarkEnd w:id="9581"/>
      <w:bookmarkEnd w:id="9582"/>
      <w:bookmarkEnd w:id="9583"/>
      <w:bookmarkEnd w:id="9584"/>
      <w:bookmarkEnd w:id="9585"/>
      <w:bookmarkEnd w:id="9586"/>
      <w:bookmarkEnd w:id="9587"/>
      <w:bookmarkEnd w:id="9588"/>
      <w:bookmarkEnd w:id="9589"/>
      <w:bookmarkEnd w:id="9590"/>
      <w:bookmarkEnd w:id="9591"/>
      <w:bookmarkEnd w:id="9592"/>
      <w:bookmarkEnd w:id="9593"/>
      <w:bookmarkEnd w:id="9594"/>
      <w:bookmarkEnd w:id="9595"/>
      <w:bookmarkEnd w:id="9596"/>
      <w:bookmarkEnd w:id="9597"/>
      <w:bookmarkEnd w:id="9598"/>
      <w:bookmarkEnd w:id="9599"/>
      <w:bookmarkEnd w:id="9600"/>
      <w:bookmarkEnd w:id="9601"/>
      <w:bookmarkEnd w:id="9602"/>
      <w:bookmarkEnd w:id="9603"/>
      <w:bookmarkEnd w:id="9604"/>
      <w:bookmarkEnd w:id="9605"/>
      <w:bookmarkEnd w:id="9606"/>
      <w:bookmarkEnd w:id="9607"/>
      <w:r w:rsidRPr="00BF170C">
        <w:fldChar w:fldCharType="end"/>
      </w:r>
      <w:r w:rsidRPr="00BF170C">
        <w:tab/>
        <w:t>Net benefits to Queensland — high realisation scenario</w:t>
      </w:r>
      <w:bookmarkEnd w:id="9608"/>
      <w:bookmarkEnd w:id="9609"/>
    </w:p>
    <w:tbl>
      <w:tblPr>
        <w:tblW w:w="7937" w:type="dxa"/>
        <w:tblLayout w:type="fixed"/>
        <w:tblLook w:val="0000" w:firstRow="0" w:lastRow="0" w:firstColumn="0" w:lastColumn="0" w:noHBand="0" w:noVBand="0"/>
        <w:tblCaption w:val="Table I.9: Net benefits to Queensland - high realisation scenario"/>
        <w:tblDescription w:val="This table shows the net benefits under a high realisation scenario of the proposed changes to NCC 2019 in Queensland. "/>
      </w:tblPr>
      <w:tblGrid>
        <w:gridCol w:w="2456"/>
        <w:gridCol w:w="783"/>
        <w:gridCol w:w="783"/>
        <w:gridCol w:w="783"/>
        <w:gridCol w:w="783"/>
        <w:gridCol w:w="783"/>
        <w:gridCol w:w="783"/>
        <w:gridCol w:w="783"/>
      </w:tblGrid>
      <w:tr w:rsidR="00612FD3" w:rsidTr="00301B6D">
        <w:trPr>
          <w:trHeight w:val="230"/>
          <w:tblHeader/>
        </w:trPr>
        <w:tc>
          <w:tcPr>
            <w:tcW w:w="2456" w:type="dxa"/>
            <w:shd w:val="clear" w:color="auto" w:fill="6F6652"/>
            <w:tcMar>
              <w:left w:w="57" w:type="dxa"/>
              <w:right w:w="57" w:type="dxa"/>
            </w:tcMar>
          </w:tcPr>
          <w:p w:rsidR="00612FD3" w:rsidRDefault="00612FD3" w:rsidP="00301B6D">
            <w:pPr>
              <w:pStyle w:val="TableDataColumnHeading"/>
              <w:jc w:val="left"/>
              <w:rPr>
                <w:lang w:val="en-GB"/>
              </w:rPr>
            </w:pP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CZ1</w:t>
            </w: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CZ2</w:t>
            </w: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CZ3</w:t>
            </w: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CZ4</w:t>
            </w: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CZ5</w:t>
            </w: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CZ6</w:t>
            </w: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CZ7</w:t>
            </w:r>
          </w:p>
        </w:tc>
      </w:tr>
      <w:tr w:rsidR="00612FD3" w:rsidTr="00301B6D">
        <w:trPr>
          <w:trHeight w:val="230"/>
          <w:tblHeader/>
        </w:trPr>
        <w:tc>
          <w:tcPr>
            <w:tcW w:w="2456"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jc w:val="left"/>
              <w:rPr>
                <w:lang w:val="en-GB"/>
              </w:rPr>
            </w:pP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r>
      <w:tr w:rsidR="00612FD3" w:rsidTr="00301B6D">
        <w:trPr>
          <w:trHeight w:val="230"/>
        </w:trPr>
        <w:tc>
          <w:tcPr>
            <w:tcW w:w="245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r>
              <w:rPr>
                <w:lang w:val="en-GB"/>
              </w:rPr>
              <w:t>Hotels</w:t>
            </w: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31.88</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66.59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51.87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55.65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0.00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0.73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0.11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0.10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Private costs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10.26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- 1.77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0.97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- 4.98</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BF170C" w:rsidRDefault="00BF170C" w:rsidP="00BF170C">
            <w:pPr>
              <w:pStyle w:val="TableDataEntries"/>
              <w:jc w:val="left"/>
              <w:rPr>
                <w:lang w:val="en-GB"/>
              </w:rPr>
            </w:pPr>
            <w:r>
              <w:rPr>
                <w:lang w:val="en-GB"/>
              </w:rPr>
              <w:t>Net private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xml:space="preserve"> 42.14</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xml:space="preserve"> 65.55</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xml:space="preserve"> 52.95</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xml:space="preserve"> 50.77</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9.74</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20.35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15.86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17.01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0.00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0.16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0.02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0.02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RPr="00BF170C"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BF170C" w:rsidRPr="00BF170C" w:rsidRDefault="00BF170C" w:rsidP="00BF170C">
            <w:pPr>
              <w:pStyle w:val="TableDataEntries"/>
              <w:jc w:val="left"/>
              <w:rPr>
                <w:rFonts w:ascii="Franklin Gothic Demi" w:hAnsi="Franklin Gothic Demi"/>
                <w:lang w:val="en-GB"/>
              </w:rPr>
            </w:pPr>
            <w:r w:rsidRPr="00BF170C">
              <w:rPr>
                <w:rFonts w:ascii="Franklin Gothic Demi" w:hAnsi="Franklin Gothic Demi"/>
                <w:lang w:val="en-GB"/>
              </w:rPr>
              <w:t>Net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51.88</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86.07</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68.83</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67.80</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BF170C" w:rsidRDefault="00BF170C" w:rsidP="00BF170C">
            <w:pPr>
              <w:pStyle w:val="TableHeading1"/>
              <w:rPr>
                <w:lang w:val="en-GB"/>
              </w:rPr>
            </w:pPr>
            <w:r>
              <w:rPr>
                <w:lang w:val="en-GB"/>
              </w:rPr>
              <w:t>Office building</w:t>
            </w: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20.90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21.02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0.00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1.20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Private costs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- 9.71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- 2.61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BF170C" w:rsidRDefault="00BF170C" w:rsidP="00BF170C">
            <w:pPr>
              <w:pStyle w:val="TableDataEntries"/>
              <w:jc w:val="left"/>
              <w:rPr>
                <w:lang w:val="en-GB"/>
              </w:rPr>
            </w:pPr>
            <w:r>
              <w:rPr>
                <w:lang w:val="en-GB"/>
              </w:rPr>
              <w:t>Net private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xml:space="preserve"> 11.18</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xml:space="preserve"> 19.61</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6.39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6.43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0.00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0.27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RPr="00BF170C"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BF170C" w:rsidRPr="00BF170C" w:rsidRDefault="00BF170C" w:rsidP="00BF170C">
            <w:pPr>
              <w:pStyle w:val="TableDataEntries"/>
              <w:jc w:val="left"/>
              <w:rPr>
                <w:rFonts w:ascii="Franklin Gothic Demi" w:hAnsi="Franklin Gothic Demi"/>
                <w:lang w:val="en-GB"/>
              </w:rPr>
            </w:pPr>
            <w:r w:rsidRPr="00BF170C">
              <w:rPr>
                <w:rFonts w:ascii="Franklin Gothic Demi" w:hAnsi="Franklin Gothic Demi"/>
                <w:lang w:val="en-GB"/>
              </w:rPr>
              <w:t>Net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17.57</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26.31</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BF170C" w:rsidRDefault="00BF170C" w:rsidP="00BF170C">
            <w:pPr>
              <w:pStyle w:val="TableHeading1"/>
              <w:rPr>
                <w:lang w:val="en-GB"/>
              </w:rPr>
            </w:pPr>
            <w:r>
              <w:rPr>
                <w:lang w:val="en-GB"/>
              </w:rPr>
              <w:t>Retail</w:t>
            </w: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76.15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57.69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79.62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80.68</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- 0.02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- 1.31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- 2.33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- 4.73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Private costs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- 0.45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- 4.39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- 14.17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- 7.22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BF170C" w:rsidRDefault="00BF170C" w:rsidP="00BF170C">
            <w:pPr>
              <w:pStyle w:val="TableDataEntries"/>
              <w:jc w:val="left"/>
              <w:rPr>
                <w:lang w:val="en-GB"/>
              </w:rPr>
            </w:pPr>
            <w:r>
              <w:rPr>
                <w:lang w:val="en-GB"/>
              </w:rPr>
              <w:t>Net private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xml:space="preserve"> 75.69</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xml:space="preserve"> 52.00</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xml:space="preserve"> 63.12</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xml:space="preserve"> 68.73</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23.28</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17.63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24.34</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24.66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0.00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- 0.29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- 0.52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- 1.06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RPr="00BF170C"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BF170C" w:rsidRPr="00BF170C" w:rsidRDefault="00BF170C" w:rsidP="00BF170C">
            <w:pPr>
              <w:pStyle w:val="TableDataEntries"/>
              <w:jc w:val="left"/>
              <w:rPr>
                <w:rFonts w:ascii="Franklin Gothic Demi" w:hAnsi="Franklin Gothic Demi"/>
                <w:lang w:val="en-GB"/>
              </w:rPr>
            </w:pPr>
            <w:r w:rsidRPr="00BF170C">
              <w:rPr>
                <w:rFonts w:ascii="Franklin Gothic Demi" w:hAnsi="Franklin Gothic Demi"/>
                <w:lang w:val="en-GB"/>
              </w:rPr>
              <w:t>Net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98.96</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69.34</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86.93</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92.33</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BF170C" w:rsidRDefault="00BF170C" w:rsidP="00BF170C">
            <w:pPr>
              <w:pStyle w:val="TableHeading1"/>
              <w:rPr>
                <w:lang w:val="en-GB"/>
              </w:rPr>
            </w:pPr>
            <w:r>
              <w:rPr>
                <w:lang w:val="en-GB"/>
              </w:rPr>
              <w:t>Healthcare</w:t>
            </w: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61.52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34.62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45.49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24.29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- 0.01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- 0.23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0.83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- 0.15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Private costs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- 14.62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- 9.62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- 15.98</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- 16.23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BF170C" w:rsidRDefault="00BF170C" w:rsidP="00BF170C">
            <w:pPr>
              <w:pStyle w:val="TableDataEntries"/>
              <w:jc w:val="left"/>
              <w:rPr>
                <w:lang w:val="en-GB"/>
              </w:rPr>
            </w:pPr>
            <w:r>
              <w:rPr>
                <w:lang w:val="en-GB"/>
              </w:rPr>
              <w:t>Net private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xml:space="preserve"> 46.89</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xml:space="preserve"> 24.77</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xml:space="preserve"> 30.34</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xml:space="preserve"> 7.91</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18.80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10.58</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13.90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7.42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0.00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- 0.05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0.19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- 0.03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RPr="00BF170C"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BF170C" w:rsidRPr="00BF170C" w:rsidRDefault="00BF170C" w:rsidP="00BF170C">
            <w:pPr>
              <w:pStyle w:val="TableDataEntries"/>
              <w:jc w:val="left"/>
              <w:rPr>
                <w:rFonts w:ascii="Franklin Gothic Demi" w:hAnsi="Franklin Gothic Demi"/>
                <w:lang w:val="en-GB"/>
              </w:rPr>
            </w:pPr>
            <w:r w:rsidRPr="00BF170C">
              <w:rPr>
                <w:rFonts w:ascii="Franklin Gothic Demi" w:hAnsi="Franklin Gothic Demi"/>
                <w:lang w:val="en-GB"/>
              </w:rPr>
              <w:t>Net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65.69</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35.30</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44.43</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15.30</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BF170C" w:rsidRDefault="00BF170C" w:rsidP="00BF170C">
            <w:pPr>
              <w:pStyle w:val="TableHeading1"/>
              <w:rPr>
                <w:lang w:val="en-GB"/>
              </w:rPr>
            </w:pPr>
            <w:r>
              <w:rPr>
                <w:lang w:val="en-GB"/>
              </w:rPr>
              <w:t>School</w:t>
            </w: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138.44</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94.79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87.16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39.74</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0.08</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- 3.23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3.62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5.93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Private costs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- 5.61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- 19.48</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- 12.16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- 18.10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BF170C" w:rsidRDefault="00BF170C" w:rsidP="00BF170C">
            <w:pPr>
              <w:pStyle w:val="TableDataEntries"/>
              <w:jc w:val="left"/>
              <w:rPr>
                <w:lang w:val="en-GB"/>
              </w:rPr>
            </w:pPr>
            <w:r>
              <w:rPr>
                <w:lang w:val="en-GB"/>
              </w:rPr>
              <w:t>Net private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xml:space="preserve"> 132.90</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xml:space="preserve"> 72.08</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xml:space="preserve"> 78.62</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xml:space="preserve"> 27.57</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42.32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28.97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26.64</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12.15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0.02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- 0.73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0.82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1.33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RPr="00BF170C" w:rsidTr="00301B6D">
        <w:trPr>
          <w:trHeight w:val="230"/>
        </w:trPr>
        <w:tc>
          <w:tcPr>
            <w:tcW w:w="2456"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rsidR="00BF170C" w:rsidRPr="00BF170C" w:rsidRDefault="00BF170C" w:rsidP="00BF170C">
            <w:pPr>
              <w:pStyle w:val="TableDataEntries"/>
              <w:jc w:val="left"/>
              <w:rPr>
                <w:rFonts w:ascii="Franklin Gothic Demi" w:hAnsi="Franklin Gothic Demi"/>
                <w:lang w:val="en-GB"/>
              </w:rPr>
            </w:pPr>
            <w:r w:rsidRPr="00BF170C">
              <w:rPr>
                <w:rFonts w:ascii="Franklin Gothic Demi" w:hAnsi="Franklin Gothic Demi"/>
                <w:lang w:val="en-GB"/>
              </w:rPr>
              <w:t>Net benefit/cost</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175.24</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100.32</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106.08</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41.05</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r>
    </w:tbl>
    <w:p w:rsidR="00612FD3" w:rsidRDefault="00612FD3" w:rsidP="00612FD3">
      <w:pPr>
        <w:pStyle w:val="Note"/>
        <w:rPr>
          <w:lang w:bidi="fa-IR"/>
        </w:rPr>
      </w:pPr>
      <w:r w:rsidRPr="007D1B4F">
        <w:rPr>
          <w:i/>
        </w:rPr>
        <w:t>Note:</w:t>
      </w:r>
      <w:r w:rsidRPr="00E879B8">
        <w:t xml:space="preserve"> </w:t>
      </w:r>
      <w:r>
        <w:t>Costs and benefits are estimated over the assumed 40 year life of the building, using a discount rate of 7 per cent.</w:t>
      </w:r>
    </w:p>
    <w:p w:rsidR="00612FD3" w:rsidRDefault="00612FD3" w:rsidP="00612FD3">
      <w:pPr>
        <w:pStyle w:val="Source"/>
        <w:rPr>
          <w:lang w:bidi="fa-IR"/>
        </w:rPr>
      </w:pPr>
      <w:r w:rsidRPr="00C6138D">
        <w:rPr>
          <w:i/>
          <w:lang w:bidi="fa-IR"/>
        </w:rPr>
        <w:t>Source:</w:t>
      </w:r>
      <w:r>
        <w:rPr>
          <w:lang w:bidi="fa-IR"/>
        </w:rPr>
        <w:t xml:space="preserve"> CIE based on </w:t>
      </w:r>
      <w:r w:rsidR="00EB5964">
        <w:rPr>
          <w:lang w:bidi="fa-IR"/>
        </w:rPr>
        <w:t>EA</w:t>
      </w:r>
      <w:r>
        <w:rPr>
          <w:lang w:bidi="fa-IR"/>
        </w:rPr>
        <w:t xml:space="preserve"> modelling.</w:t>
      </w:r>
    </w:p>
    <w:p w:rsidR="00612FD3" w:rsidRDefault="00612FD3" w:rsidP="00612FD3">
      <w:pPr>
        <w:pStyle w:val="Heading7"/>
        <w:numPr>
          <w:ilvl w:val="6"/>
          <w:numId w:val="5"/>
        </w:numPr>
      </w:pPr>
      <w:r>
        <w:t>South Australia</w:t>
      </w:r>
    </w:p>
    <w:p w:rsidR="00612FD3" w:rsidRDefault="00612FD3" w:rsidP="00612FD3">
      <w:pPr>
        <w:pStyle w:val="Caption"/>
      </w:pPr>
      <w:r w:rsidRPr="00BF170C">
        <w:fldChar w:fldCharType="begin"/>
      </w:r>
      <w:r w:rsidRPr="00BF170C">
        <w:instrText xml:space="preserve"> IF 1 = 1 "</w:instrText>
      </w:r>
      <w:r w:rsidRPr="00BF170C">
        <w:fldChar w:fldCharType="begin"/>
      </w:r>
      <w:r w:rsidRPr="00BF170C">
        <w:instrText xml:space="preserve"> IF </w:instrText>
      </w:r>
      <w:r w:rsidRPr="00BF170C">
        <w:rPr>
          <w:noProof/>
        </w:rPr>
        <w:fldChar w:fldCharType="begin"/>
      </w:r>
      <w:r w:rsidRPr="00BF170C">
        <w:rPr>
          <w:noProof/>
        </w:rPr>
        <w:instrText xml:space="preserve"> STYLEREF "Heading 6" \l \n </w:instrText>
      </w:r>
      <w:r w:rsidRPr="00BF170C">
        <w:rPr>
          <w:noProof/>
        </w:rPr>
        <w:fldChar w:fldCharType="separate"/>
      </w:r>
      <w:r w:rsidR="00B833F1">
        <w:rPr>
          <w:noProof/>
        </w:rPr>
        <w:instrText>I</w:instrText>
      </w:r>
      <w:r w:rsidRPr="00BF170C">
        <w:rPr>
          <w:noProof/>
        </w:rPr>
        <w:fldChar w:fldCharType="end"/>
      </w:r>
      <w:r w:rsidRPr="00BF170C">
        <w:instrText xml:space="preserve"> = 0 "</w:instrText>
      </w:r>
      <w:r w:rsidRPr="00BF170C">
        <w:fldChar w:fldCharType="begin"/>
      </w:r>
      <w:r w:rsidRPr="00BF170C">
        <w:instrText xml:space="preserve"> IF </w:instrText>
      </w:r>
      <w:r w:rsidRPr="00BF170C">
        <w:rPr>
          <w:noProof/>
        </w:rPr>
        <w:fldChar w:fldCharType="begin"/>
      </w:r>
      <w:r w:rsidRPr="00BF170C">
        <w:rPr>
          <w:noProof/>
        </w:rPr>
        <w:instrText xml:space="preserve"> STYLEREF "Heading 1" \l \n </w:instrText>
      </w:r>
      <w:r w:rsidRPr="00BF170C">
        <w:rPr>
          <w:noProof/>
        </w:rPr>
        <w:fldChar w:fldCharType="separate"/>
      </w:r>
      <w:r w:rsidRPr="00BF170C">
        <w:rPr>
          <w:noProof/>
        </w:rPr>
        <w:instrText>1</w:instrText>
      </w:r>
      <w:r w:rsidRPr="00BF170C">
        <w:rPr>
          <w:noProof/>
        </w:rPr>
        <w:fldChar w:fldCharType="end"/>
      </w:r>
      <w:r w:rsidRPr="00BF170C">
        <w:instrText xml:space="preserve"> = 0 "" "</w:instrText>
      </w:r>
      <w:r w:rsidRPr="00BF170C">
        <w:rPr>
          <w:noProof/>
        </w:rPr>
        <w:fldChar w:fldCharType="begin"/>
      </w:r>
      <w:r w:rsidRPr="00BF170C">
        <w:rPr>
          <w:noProof/>
        </w:rPr>
        <w:instrText xml:space="preserve"> STYLEREF "Heading 1" \l \n </w:instrText>
      </w:r>
      <w:r w:rsidRPr="00BF170C">
        <w:rPr>
          <w:noProof/>
        </w:rPr>
        <w:fldChar w:fldCharType="separate"/>
      </w:r>
      <w:r w:rsidRPr="00BF170C">
        <w:rPr>
          <w:noProof/>
        </w:rPr>
        <w:instrText>1</w:instrText>
      </w:r>
      <w:r w:rsidRPr="00BF170C">
        <w:rPr>
          <w:noProof/>
        </w:rPr>
        <w:fldChar w:fldCharType="end"/>
      </w:r>
      <w:r w:rsidRPr="00BF170C">
        <w:instrText xml:space="preserve">." </w:instrText>
      </w:r>
      <w:r w:rsidRPr="00BF170C">
        <w:fldChar w:fldCharType="separate"/>
      </w:r>
      <w:r w:rsidRPr="00BF170C">
        <w:rPr>
          <w:noProof/>
        </w:rPr>
        <w:instrText>1.</w:instrText>
      </w:r>
      <w:r w:rsidRPr="00BF170C">
        <w:fldChar w:fldCharType="end"/>
      </w:r>
      <w:r w:rsidRPr="00BF170C">
        <w:instrText>" "</w:instrText>
      </w:r>
      <w:r w:rsidRPr="00BF170C">
        <w:rPr>
          <w:noProof/>
        </w:rPr>
        <w:fldChar w:fldCharType="begin"/>
      </w:r>
      <w:r w:rsidRPr="00BF170C">
        <w:rPr>
          <w:noProof/>
        </w:rPr>
        <w:instrText xml:space="preserve"> STYLEREF "Heading 6" \l \n </w:instrText>
      </w:r>
      <w:r w:rsidRPr="00BF170C">
        <w:rPr>
          <w:noProof/>
        </w:rPr>
        <w:fldChar w:fldCharType="separate"/>
      </w:r>
      <w:r w:rsidR="00B833F1">
        <w:rPr>
          <w:noProof/>
        </w:rPr>
        <w:instrText>I</w:instrText>
      </w:r>
      <w:r w:rsidRPr="00BF170C">
        <w:rPr>
          <w:noProof/>
        </w:rPr>
        <w:fldChar w:fldCharType="end"/>
      </w:r>
      <w:r w:rsidRPr="00BF170C">
        <w:instrText xml:space="preserve">." </w:instrText>
      </w:r>
      <w:r w:rsidRPr="00BF170C">
        <w:fldChar w:fldCharType="separate"/>
      </w:r>
      <w:r w:rsidR="00B833F1">
        <w:rPr>
          <w:noProof/>
        </w:rPr>
        <w:instrText>I</w:instrText>
      </w:r>
      <w:r w:rsidR="00B833F1" w:rsidRPr="00BF170C">
        <w:rPr>
          <w:noProof/>
        </w:rPr>
        <w:instrText>.</w:instrText>
      </w:r>
      <w:r w:rsidRPr="00BF170C">
        <w:fldChar w:fldCharType="end"/>
      </w:r>
      <w:r w:rsidRPr="00BF170C">
        <w:fldChar w:fldCharType="begin"/>
      </w:r>
      <w:r w:rsidRPr="00BF170C">
        <w:instrText xml:space="preserve"> SEQ Item \* ARABIC \s </w:instrText>
      </w:r>
      <w:r w:rsidRPr="00BF170C">
        <w:fldChar w:fldCharType="begin"/>
      </w:r>
      <w:r w:rsidRPr="00BF170C">
        <w:instrText xml:space="preserve"> IF </w:instrText>
      </w:r>
      <w:r w:rsidRPr="00BF170C">
        <w:rPr>
          <w:noProof/>
        </w:rPr>
        <w:fldChar w:fldCharType="begin"/>
      </w:r>
      <w:r w:rsidRPr="00BF170C">
        <w:rPr>
          <w:noProof/>
        </w:rPr>
        <w:instrText xml:space="preserve"> STYLEREF "Heading 6" \l \n </w:instrText>
      </w:r>
      <w:r w:rsidRPr="00BF170C">
        <w:rPr>
          <w:noProof/>
        </w:rPr>
        <w:fldChar w:fldCharType="separate"/>
      </w:r>
      <w:r w:rsidR="00B833F1">
        <w:rPr>
          <w:noProof/>
        </w:rPr>
        <w:instrText>I</w:instrText>
      </w:r>
      <w:r w:rsidRPr="00BF170C">
        <w:rPr>
          <w:noProof/>
        </w:rPr>
        <w:fldChar w:fldCharType="end"/>
      </w:r>
      <w:r w:rsidRPr="00BF170C">
        <w:instrText xml:space="preserve"> = 0 "</w:instrText>
      </w:r>
      <w:r w:rsidRPr="00BF170C">
        <w:fldChar w:fldCharType="begin"/>
      </w:r>
      <w:r w:rsidRPr="00BF170C">
        <w:instrText xml:space="preserve"> IF </w:instrText>
      </w:r>
      <w:r w:rsidRPr="00BF170C">
        <w:rPr>
          <w:noProof/>
        </w:rPr>
        <w:fldChar w:fldCharType="begin"/>
      </w:r>
      <w:r w:rsidRPr="00BF170C">
        <w:rPr>
          <w:noProof/>
        </w:rPr>
        <w:instrText xml:space="preserve"> STYLEREF "Heading 1" \l \n </w:instrText>
      </w:r>
      <w:r w:rsidRPr="00BF170C">
        <w:rPr>
          <w:noProof/>
        </w:rPr>
        <w:fldChar w:fldCharType="separate"/>
      </w:r>
      <w:r w:rsidRPr="00BF170C">
        <w:rPr>
          <w:noProof/>
        </w:rPr>
        <w:instrText>1</w:instrText>
      </w:r>
      <w:r w:rsidRPr="00BF170C">
        <w:rPr>
          <w:noProof/>
        </w:rPr>
        <w:fldChar w:fldCharType="end"/>
      </w:r>
      <w:r w:rsidRPr="00BF170C">
        <w:instrText xml:space="preserve"> = 0 "" "1" </w:instrText>
      </w:r>
      <w:r w:rsidRPr="00BF170C">
        <w:fldChar w:fldCharType="separate"/>
      </w:r>
      <w:r w:rsidRPr="00BF170C">
        <w:rPr>
          <w:noProof/>
        </w:rPr>
        <w:instrText>1</w:instrText>
      </w:r>
      <w:r w:rsidRPr="00BF170C">
        <w:fldChar w:fldCharType="end"/>
      </w:r>
      <w:r w:rsidRPr="00BF170C">
        <w:instrText xml:space="preserve">" "6" </w:instrText>
      </w:r>
      <w:r w:rsidRPr="00BF170C">
        <w:fldChar w:fldCharType="separate"/>
      </w:r>
      <w:r w:rsidR="00B833F1" w:rsidRPr="00BF170C">
        <w:rPr>
          <w:noProof/>
        </w:rPr>
        <w:instrText>6</w:instrText>
      </w:r>
      <w:r w:rsidRPr="00BF170C">
        <w:fldChar w:fldCharType="end"/>
      </w:r>
      <w:r w:rsidRPr="00BF170C">
        <w:instrText xml:space="preserve"> </w:instrText>
      </w:r>
      <w:r w:rsidRPr="00BF170C">
        <w:fldChar w:fldCharType="separate"/>
      </w:r>
      <w:r w:rsidR="00B833F1">
        <w:rPr>
          <w:noProof/>
        </w:rPr>
        <w:instrText>10</w:instrText>
      </w:r>
      <w:r w:rsidRPr="00BF170C">
        <w:fldChar w:fldCharType="end"/>
      </w:r>
      <w:r w:rsidRPr="00BF170C">
        <w:instrText xml:space="preserve">" "" </w:instrText>
      </w:r>
      <w:r w:rsidRPr="00BF170C">
        <w:fldChar w:fldCharType="separate"/>
      </w:r>
      <w:bookmarkStart w:id="9610" w:name="_Caption0262"/>
      <w:bookmarkStart w:id="9611" w:name="_Caption9642"/>
      <w:bookmarkStart w:id="9612" w:name="_Caption8999"/>
      <w:bookmarkStart w:id="9613" w:name="_Caption1567"/>
      <w:bookmarkStart w:id="9614" w:name="_Caption4141"/>
      <w:bookmarkStart w:id="9615" w:name="_Caption4650"/>
      <w:bookmarkStart w:id="9616" w:name="_Caption2344"/>
      <w:bookmarkStart w:id="9617" w:name="_Caption1370"/>
      <w:bookmarkStart w:id="9618" w:name="_Caption8236"/>
      <w:bookmarkStart w:id="9619" w:name="_Caption5758"/>
      <w:bookmarkStart w:id="9620" w:name="_Caption6449"/>
      <w:bookmarkStart w:id="9621" w:name="_Caption0265"/>
      <w:bookmarkStart w:id="9622" w:name="_Caption2165"/>
      <w:bookmarkStart w:id="9623" w:name="_Caption5908"/>
      <w:bookmarkStart w:id="9624" w:name="_Caption8276"/>
      <w:bookmarkStart w:id="9625" w:name="_Caption0949"/>
      <w:bookmarkStart w:id="9626" w:name="_Caption6144"/>
      <w:bookmarkStart w:id="9627" w:name="_Caption8439"/>
      <w:bookmarkStart w:id="9628" w:name="_Caption4550"/>
      <w:bookmarkStart w:id="9629" w:name="_Caption9331"/>
      <w:bookmarkStart w:id="9630" w:name="_Caption2128"/>
      <w:bookmarkStart w:id="9631" w:name="_Caption7722"/>
      <w:bookmarkStart w:id="9632" w:name="_Caption4833"/>
      <w:bookmarkStart w:id="9633" w:name="_Caption9124"/>
      <w:bookmarkStart w:id="9634" w:name="_Caption0154"/>
      <w:bookmarkStart w:id="9635" w:name="_Caption9167"/>
      <w:bookmarkStart w:id="9636" w:name="_Caption2240"/>
      <w:bookmarkStart w:id="9637" w:name="_Caption3597"/>
      <w:bookmarkStart w:id="9638" w:name="_Caption2934"/>
      <w:bookmarkStart w:id="9639" w:name="_Caption2646"/>
      <w:bookmarkStart w:id="9640" w:name="_Caption0821"/>
      <w:bookmarkStart w:id="9641" w:name="_Caption9549"/>
      <w:bookmarkStart w:id="9642" w:name="_Caption0663"/>
      <w:bookmarkStart w:id="9643" w:name="_Caption9197"/>
      <w:bookmarkStart w:id="9644" w:name="_Caption2973"/>
      <w:bookmarkStart w:id="9645" w:name="_Caption0719"/>
      <w:bookmarkStart w:id="9646" w:name="_Caption3505"/>
      <w:bookmarkStart w:id="9647" w:name="_Caption6690"/>
      <w:bookmarkStart w:id="9648" w:name="_Caption9531"/>
      <w:bookmarkStart w:id="9649" w:name="_Caption8081"/>
      <w:bookmarkStart w:id="9650" w:name="_Caption8232"/>
      <w:bookmarkStart w:id="9651" w:name="_Caption0909"/>
      <w:bookmarkStart w:id="9652" w:name="_Caption2316"/>
      <w:bookmarkStart w:id="9653" w:name="_Caption4424"/>
      <w:bookmarkStart w:id="9654" w:name="_Caption7982"/>
      <w:bookmarkStart w:id="9655" w:name="_Caption2013"/>
      <w:bookmarkStart w:id="9656" w:name="_Caption0406"/>
      <w:bookmarkStart w:id="9657" w:name="_Caption9288"/>
      <w:bookmarkStart w:id="9658" w:name="_Caption2698"/>
      <w:bookmarkStart w:id="9659" w:name="_Caption3282"/>
      <w:bookmarkStart w:id="9660" w:name="_Caption5080"/>
      <w:bookmarkStart w:id="9661" w:name="_Caption5827"/>
      <w:bookmarkStart w:id="9662" w:name="_Caption1940"/>
      <w:bookmarkStart w:id="9663" w:name="_Caption8731"/>
      <w:bookmarkStart w:id="9664" w:name="_Caption8452"/>
      <w:bookmarkStart w:id="9665" w:name="_Caption5964"/>
      <w:bookmarkStart w:id="9666" w:name="_Caption4285"/>
      <w:bookmarkStart w:id="9667" w:name="_Caption8064"/>
      <w:bookmarkStart w:id="9668" w:name="_Caption0319"/>
      <w:bookmarkStart w:id="9669" w:name="_Caption1138"/>
      <w:bookmarkStart w:id="9670" w:name="_Caption0628"/>
      <w:bookmarkStart w:id="9671" w:name="_Caption5334"/>
      <w:bookmarkStart w:id="9672" w:name="_Caption3352"/>
      <w:bookmarkStart w:id="9673" w:name="_Caption9980"/>
      <w:bookmarkStart w:id="9674" w:name="_Caption1098"/>
      <w:bookmarkStart w:id="9675" w:name="_Caption6090"/>
      <w:bookmarkStart w:id="9676" w:name="_Caption0783"/>
      <w:bookmarkStart w:id="9677" w:name="_Toc529870024"/>
      <w:bookmarkStart w:id="9678" w:name="_Toc530748520"/>
      <w:r w:rsidR="00EA42ED">
        <w:rPr>
          <w:noProof/>
        </w:rPr>
        <w:t>I</w:t>
      </w:r>
      <w:r w:rsidR="00EA42ED" w:rsidRPr="00BF170C">
        <w:rPr>
          <w:noProof/>
        </w:rPr>
        <w:t>.</w:t>
      </w:r>
      <w:r w:rsidR="00EA42ED">
        <w:rPr>
          <w:noProof/>
        </w:rPr>
        <w:t>10</w:t>
      </w:r>
      <w:bookmarkEnd w:id="9610"/>
      <w:bookmarkEnd w:id="9611"/>
      <w:bookmarkEnd w:id="9612"/>
      <w:bookmarkEnd w:id="9613"/>
      <w:bookmarkEnd w:id="9614"/>
      <w:bookmarkEnd w:id="9615"/>
      <w:bookmarkEnd w:id="9616"/>
      <w:bookmarkEnd w:id="9617"/>
      <w:bookmarkEnd w:id="9618"/>
      <w:bookmarkEnd w:id="9619"/>
      <w:bookmarkEnd w:id="9620"/>
      <w:bookmarkEnd w:id="9621"/>
      <w:bookmarkEnd w:id="9622"/>
      <w:bookmarkEnd w:id="9623"/>
      <w:bookmarkEnd w:id="9624"/>
      <w:bookmarkEnd w:id="9625"/>
      <w:bookmarkEnd w:id="9626"/>
      <w:bookmarkEnd w:id="9627"/>
      <w:bookmarkEnd w:id="9628"/>
      <w:bookmarkEnd w:id="9629"/>
      <w:bookmarkEnd w:id="9630"/>
      <w:bookmarkEnd w:id="9631"/>
      <w:bookmarkEnd w:id="9632"/>
      <w:bookmarkEnd w:id="9633"/>
      <w:bookmarkEnd w:id="9634"/>
      <w:bookmarkEnd w:id="9635"/>
      <w:bookmarkEnd w:id="9636"/>
      <w:bookmarkEnd w:id="9637"/>
      <w:bookmarkEnd w:id="9638"/>
      <w:bookmarkEnd w:id="9639"/>
      <w:bookmarkEnd w:id="9640"/>
      <w:bookmarkEnd w:id="9641"/>
      <w:bookmarkEnd w:id="9642"/>
      <w:bookmarkEnd w:id="9643"/>
      <w:bookmarkEnd w:id="9644"/>
      <w:bookmarkEnd w:id="9645"/>
      <w:bookmarkEnd w:id="9646"/>
      <w:bookmarkEnd w:id="9647"/>
      <w:bookmarkEnd w:id="9648"/>
      <w:bookmarkEnd w:id="9649"/>
      <w:bookmarkEnd w:id="9650"/>
      <w:bookmarkEnd w:id="9651"/>
      <w:bookmarkEnd w:id="9652"/>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66"/>
      <w:bookmarkEnd w:id="9667"/>
      <w:bookmarkEnd w:id="9668"/>
      <w:bookmarkEnd w:id="9669"/>
      <w:bookmarkEnd w:id="9670"/>
      <w:bookmarkEnd w:id="9671"/>
      <w:bookmarkEnd w:id="9672"/>
      <w:bookmarkEnd w:id="9673"/>
      <w:bookmarkEnd w:id="9674"/>
      <w:bookmarkEnd w:id="9675"/>
      <w:bookmarkEnd w:id="9676"/>
      <w:r w:rsidRPr="00BF170C">
        <w:fldChar w:fldCharType="end"/>
      </w:r>
      <w:r w:rsidRPr="00BF170C">
        <w:tab/>
        <w:t>Net benefits to South Australia — low realisation scenario</w:t>
      </w:r>
      <w:bookmarkEnd w:id="9677"/>
      <w:bookmarkEnd w:id="9678"/>
    </w:p>
    <w:tbl>
      <w:tblPr>
        <w:tblW w:w="7937" w:type="dxa"/>
        <w:tblLayout w:type="fixed"/>
        <w:tblLook w:val="0000" w:firstRow="0" w:lastRow="0" w:firstColumn="0" w:lastColumn="0" w:noHBand="0" w:noVBand="0"/>
        <w:tblCaption w:val="Table I.10: Net benefits to SOuth Australia - low realisation scenario"/>
        <w:tblDescription w:val="This table shows the net benefits under a low realisation scenario of the proposed changes to NCC 2019 in outh Australia. "/>
      </w:tblPr>
      <w:tblGrid>
        <w:gridCol w:w="2456"/>
        <w:gridCol w:w="783"/>
        <w:gridCol w:w="783"/>
        <w:gridCol w:w="783"/>
        <w:gridCol w:w="783"/>
        <w:gridCol w:w="783"/>
        <w:gridCol w:w="783"/>
        <w:gridCol w:w="783"/>
      </w:tblGrid>
      <w:tr w:rsidR="00612FD3" w:rsidTr="00301B6D">
        <w:trPr>
          <w:trHeight w:val="230"/>
          <w:tblHeader/>
        </w:trPr>
        <w:tc>
          <w:tcPr>
            <w:tcW w:w="2456" w:type="dxa"/>
            <w:shd w:val="clear" w:color="auto" w:fill="6F6652"/>
            <w:tcMar>
              <w:left w:w="57" w:type="dxa"/>
              <w:right w:w="57" w:type="dxa"/>
            </w:tcMar>
          </w:tcPr>
          <w:p w:rsidR="00612FD3" w:rsidRDefault="00612FD3" w:rsidP="00301B6D">
            <w:pPr>
              <w:pStyle w:val="TableDataColumnHeading"/>
              <w:jc w:val="left"/>
              <w:rPr>
                <w:lang w:val="en-GB"/>
              </w:rPr>
            </w:pP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CZ1</w:t>
            </w: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CZ2</w:t>
            </w: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CZ3</w:t>
            </w: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CZ4</w:t>
            </w: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CZ5</w:t>
            </w: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CZ6</w:t>
            </w: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CZ7</w:t>
            </w:r>
          </w:p>
        </w:tc>
      </w:tr>
      <w:tr w:rsidR="00612FD3" w:rsidTr="00301B6D">
        <w:trPr>
          <w:trHeight w:val="230"/>
          <w:tblHeader/>
        </w:trPr>
        <w:tc>
          <w:tcPr>
            <w:tcW w:w="2456"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jc w:val="left"/>
              <w:rPr>
                <w:lang w:val="en-GB"/>
              </w:rPr>
            </w:pP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r>
      <w:tr w:rsidR="00612FD3" w:rsidTr="00301B6D">
        <w:trPr>
          <w:trHeight w:val="230"/>
        </w:trPr>
        <w:tc>
          <w:tcPr>
            <w:tcW w:w="245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r>
              <w:rPr>
                <w:lang w:val="en-GB"/>
              </w:rPr>
              <w:t>Hotels</w:t>
            </w: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27.47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28.51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28.90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1.57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0.05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1.11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Private costs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1.10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- 4.98</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0.77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BF170C" w:rsidRDefault="00BF170C" w:rsidP="00BF170C">
            <w:pPr>
              <w:pStyle w:val="TableDataEntries"/>
              <w:jc w:val="left"/>
              <w:rPr>
                <w:lang w:val="en-GB"/>
              </w:rPr>
            </w:pPr>
            <w:r>
              <w:rPr>
                <w:lang w:val="en-GB"/>
              </w:rPr>
              <w:t>Net private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xml:space="preserve"> 30.13</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xml:space="preserve"> 23.57</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xml:space="preserve"> 30.78</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5.37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5.58</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5.65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0.42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0.01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0.30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RPr="00BF170C"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BF170C" w:rsidRPr="00BF170C" w:rsidRDefault="00BF170C" w:rsidP="00BF170C">
            <w:pPr>
              <w:pStyle w:val="TableDataEntries"/>
              <w:jc w:val="left"/>
              <w:rPr>
                <w:rFonts w:ascii="Franklin Gothic Demi" w:hAnsi="Franklin Gothic Demi"/>
                <w:lang w:val="en-GB"/>
              </w:rPr>
            </w:pPr>
            <w:r w:rsidRPr="00BF170C">
              <w:rPr>
                <w:rFonts w:ascii="Franklin Gothic Demi" w:hAnsi="Franklin Gothic Demi"/>
                <w:lang w:val="en-GB"/>
              </w:rPr>
              <w:t>Net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35.92</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29.16</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36.73</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BF170C" w:rsidRDefault="00BF170C" w:rsidP="00BF170C">
            <w:pPr>
              <w:pStyle w:val="TableHeading1"/>
              <w:rPr>
                <w:lang w:val="en-GB"/>
              </w:rPr>
            </w:pPr>
            <w:r>
              <w:rPr>
                <w:lang w:val="en-GB"/>
              </w:rPr>
              <w:t>Office building</w:t>
            </w: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8.87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1.16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Private costs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- 11.05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BF170C" w:rsidRDefault="00BF170C" w:rsidP="00BF170C">
            <w:pPr>
              <w:pStyle w:val="TableDataEntries"/>
              <w:jc w:val="left"/>
              <w:rPr>
                <w:lang w:val="en-GB"/>
              </w:rPr>
            </w:pPr>
            <w:r>
              <w:rPr>
                <w:lang w:val="en-GB"/>
              </w:rPr>
              <w:t>Net private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- 1.01</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1.74</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0.31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RPr="00BF170C"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BF170C" w:rsidRPr="00BF170C" w:rsidRDefault="00BF170C" w:rsidP="00BF170C">
            <w:pPr>
              <w:pStyle w:val="TableDataEntries"/>
              <w:jc w:val="left"/>
              <w:rPr>
                <w:rFonts w:ascii="Franklin Gothic Demi" w:hAnsi="Franklin Gothic Demi"/>
                <w:lang w:val="en-GB"/>
              </w:rPr>
            </w:pPr>
            <w:r w:rsidRPr="00BF170C">
              <w:rPr>
                <w:rFonts w:ascii="Franklin Gothic Demi" w:hAnsi="Franklin Gothic Demi"/>
                <w:lang w:val="en-GB"/>
              </w:rPr>
              <w:t>Net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1.03</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BF170C" w:rsidRDefault="00BF170C" w:rsidP="00BF170C">
            <w:pPr>
              <w:pStyle w:val="TableHeading1"/>
              <w:rPr>
                <w:lang w:val="en-GB"/>
              </w:rPr>
            </w:pPr>
            <w:r>
              <w:rPr>
                <w:lang w:val="en-GB"/>
              </w:rPr>
              <w:t>Retail</w:t>
            </w: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34.17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41.33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35.75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- 3.95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- 2.15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- 8.66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Private costs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- 18.60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- 7.22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- 10.36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BF170C" w:rsidRDefault="00BF170C" w:rsidP="00BF170C">
            <w:pPr>
              <w:pStyle w:val="TableDataEntries"/>
              <w:jc w:val="left"/>
              <w:rPr>
                <w:lang w:val="en-GB"/>
              </w:rPr>
            </w:pPr>
            <w:r>
              <w:rPr>
                <w:lang w:val="en-GB"/>
              </w:rPr>
              <w:t>Net private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xml:space="preserve"> 11.62</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xml:space="preserve"> 31.96</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xml:space="preserve"> 16.72</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6.69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8.09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6.99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- 1.06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- 0.58</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- 2.33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RPr="00BF170C"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BF170C" w:rsidRPr="00BF170C" w:rsidRDefault="00BF170C" w:rsidP="00BF170C">
            <w:pPr>
              <w:pStyle w:val="TableDataEntries"/>
              <w:jc w:val="left"/>
              <w:rPr>
                <w:rFonts w:ascii="Franklin Gothic Demi" w:hAnsi="Franklin Gothic Demi"/>
                <w:lang w:val="en-GB"/>
              </w:rPr>
            </w:pPr>
            <w:r w:rsidRPr="00BF170C">
              <w:rPr>
                <w:rFonts w:ascii="Franklin Gothic Demi" w:hAnsi="Franklin Gothic Demi"/>
                <w:lang w:val="en-GB"/>
              </w:rPr>
              <w:t>Net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17.24</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39.47</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21.39</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BF170C" w:rsidRDefault="00BF170C" w:rsidP="00BF170C">
            <w:pPr>
              <w:pStyle w:val="TableHeading1"/>
              <w:rPr>
                <w:lang w:val="en-GB"/>
              </w:rPr>
            </w:pPr>
            <w:r>
              <w:rPr>
                <w:lang w:val="en-GB"/>
              </w:rPr>
              <w:t>Healthcare</w:t>
            </w: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13.13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12.45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7.08</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- 0.21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- 0.07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- 4.29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Private costs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- 17.49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- 16.23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- 26.49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BF170C" w:rsidRDefault="00BF170C" w:rsidP="00BF170C">
            <w:pPr>
              <w:pStyle w:val="TableDataEntries"/>
              <w:jc w:val="left"/>
              <w:rPr>
                <w:lang w:val="en-GB"/>
              </w:rPr>
            </w:pPr>
            <w:r>
              <w:rPr>
                <w:lang w:val="en-GB"/>
              </w:rPr>
              <w:t>Net private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- 4.57</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- 3.85</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- 23.69</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2.57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2.44</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1.39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- 0.06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- 0.02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- 1.15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RPr="00BF170C"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BF170C" w:rsidRPr="00BF170C" w:rsidRDefault="00BF170C" w:rsidP="00BF170C">
            <w:pPr>
              <w:pStyle w:val="TableDataEntries"/>
              <w:jc w:val="left"/>
              <w:rPr>
                <w:rFonts w:ascii="Franklin Gothic Demi" w:hAnsi="Franklin Gothic Demi"/>
                <w:lang w:val="en-GB"/>
              </w:rPr>
            </w:pPr>
            <w:r w:rsidRPr="00BF170C">
              <w:rPr>
                <w:rFonts w:ascii="Franklin Gothic Demi" w:hAnsi="Franklin Gothic Demi"/>
                <w:lang w:val="en-GB"/>
              </w:rPr>
              <w:t>Net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- 2.06</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- 1.43</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- 23.46</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BF170C" w:rsidRDefault="00BF170C" w:rsidP="00BF170C">
            <w:pPr>
              <w:pStyle w:val="TableHeading1"/>
              <w:rPr>
                <w:lang w:val="en-GB"/>
              </w:rPr>
            </w:pPr>
            <w:r>
              <w:rPr>
                <w:lang w:val="en-GB"/>
              </w:rPr>
              <w:t>School</w:t>
            </w: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27.71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20.36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22.64</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4.79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2.70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5.66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Private costs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- 17.65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- 18.10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- 7.71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BF170C" w:rsidRDefault="00BF170C" w:rsidP="00BF170C">
            <w:pPr>
              <w:pStyle w:val="TableDataEntries"/>
              <w:jc w:val="left"/>
              <w:rPr>
                <w:lang w:val="en-GB"/>
              </w:rPr>
            </w:pPr>
            <w:r>
              <w:rPr>
                <w:lang w:val="en-GB"/>
              </w:rPr>
              <w:t>Net private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xml:space="preserve"> 14.85</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xml:space="preserve"> 4.96</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xml:space="preserve"> 20.59</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5.42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3.98</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4.43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1.29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0.72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1.52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RPr="00BF170C" w:rsidTr="00301B6D">
        <w:trPr>
          <w:trHeight w:val="230"/>
        </w:trPr>
        <w:tc>
          <w:tcPr>
            <w:tcW w:w="2456"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rsidR="00BF170C" w:rsidRPr="00BF170C" w:rsidRDefault="00BF170C" w:rsidP="00BF170C">
            <w:pPr>
              <w:pStyle w:val="TableDataEntries"/>
              <w:jc w:val="left"/>
              <w:rPr>
                <w:rFonts w:ascii="Franklin Gothic Demi" w:hAnsi="Franklin Gothic Demi"/>
                <w:lang w:val="en-GB"/>
              </w:rPr>
            </w:pPr>
            <w:r w:rsidRPr="00BF170C">
              <w:rPr>
                <w:rFonts w:ascii="Franklin Gothic Demi" w:hAnsi="Franklin Gothic Demi"/>
                <w:lang w:val="en-GB"/>
              </w:rPr>
              <w:t>Net benefit/cost</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21.55</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9.67</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26.54</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r>
    </w:tbl>
    <w:p w:rsidR="00612FD3" w:rsidRDefault="00612FD3" w:rsidP="00612FD3">
      <w:pPr>
        <w:pStyle w:val="Note"/>
        <w:rPr>
          <w:lang w:bidi="fa-IR"/>
        </w:rPr>
      </w:pPr>
      <w:r w:rsidRPr="007D1B4F">
        <w:rPr>
          <w:i/>
        </w:rPr>
        <w:t>Note:</w:t>
      </w:r>
      <w:r w:rsidRPr="00E879B8">
        <w:t xml:space="preserve"> </w:t>
      </w:r>
      <w:r>
        <w:t>Costs and benefits are estimated over the assumed 40 year life of the building, using a discount rate of 7 per cent.</w:t>
      </w:r>
    </w:p>
    <w:p w:rsidR="00612FD3" w:rsidRDefault="00612FD3" w:rsidP="00612FD3">
      <w:pPr>
        <w:pStyle w:val="Source"/>
        <w:rPr>
          <w:lang w:bidi="fa-IR"/>
        </w:rPr>
      </w:pPr>
      <w:r w:rsidRPr="00C6138D">
        <w:rPr>
          <w:i/>
          <w:lang w:bidi="fa-IR"/>
        </w:rPr>
        <w:t>Source:</w:t>
      </w:r>
      <w:r>
        <w:rPr>
          <w:lang w:bidi="fa-IR"/>
        </w:rPr>
        <w:t xml:space="preserve"> CIE based on </w:t>
      </w:r>
      <w:r w:rsidR="00EB5964">
        <w:rPr>
          <w:lang w:bidi="fa-IR"/>
        </w:rPr>
        <w:t>EA</w:t>
      </w:r>
      <w:r>
        <w:rPr>
          <w:lang w:bidi="fa-IR"/>
        </w:rPr>
        <w:t xml:space="preserve"> modelling.</w:t>
      </w:r>
    </w:p>
    <w:p w:rsidR="00612FD3" w:rsidRDefault="00612FD3" w:rsidP="00612FD3">
      <w:pPr>
        <w:pStyle w:val="Caption"/>
      </w:pPr>
      <w:r w:rsidRPr="00BF170C">
        <w:fldChar w:fldCharType="begin"/>
      </w:r>
      <w:r w:rsidRPr="00BF170C">
        <w:instrText xml:space="preserve"> IF 1 = 1 "</w:instrText>
      </w:r>
      <w:r w:rsidRPr="00BF170C">
        <w:fldChar w:fldCharType="begin"/>
      </w:r>
      <w:r w:rsidRPr="00BF170C">
        <w:instrText xml:space="preserve"> IF </w:instrText>
      </w:r>
      <w:r w:rsidRPr="00BF170C">
        <w:rPr>
          <w:noProof/>
        </w:rPr>
        <w:fldChar w:fldCharType="begin"/>
      </w:r>
      <w:r w:rsidRPr="00BF170C">
        <w:rPr>
          <w:noProof/>
        </w:rPr>
        <w:instrText xml:space="preserve"> STYLEREF "Heading 6" \l \n </w:instrText>
      </w:r>
      <w:r w:rsidRPr="00BF170C">
        <w:rPr>
          <w:noProof/>
        </w:rPr>
        <w:fldChar w:fldCharType="separate"/>
      </w:r>
      <w:r w:rsidR="00B833F1">
        <w:rPr>
          <w:noProof/>
        </w:rPr>
        <w:instrText>I</w:instrText>
      </w:r>
      <w:r w:rsidRPr="00BF170C">
        <w:rPr>
          <w:noProof/>
        </w:rPr>
        <w:fldChar w:fldCharType="end"/>
      </w:r>
      <w:r w:rsidRPr="00BF170C">
        <w:instrText xml:space="preserve"> = 0 "</w:instrText>
      </w:r>
      <w:r w:rsidRPr="00BF170C">
        <w:fldChar w:fldCharType="begin"/>
      </w:r>
      <w:r w:rsidRPr="00BF170C">
        <w:instrText xml:space="preserve"> IF </w:instrText>
      </w:r>
      <w:r w:rsidRPr="00BF170C">
        <w:rPr>
          <w:noProof/>
        </w:rPr>
        <w:fldChar w:fldCharType="begin"/>
      </w:r>
      <w:r w:rsidRPr="00BF170C">
        <w:rPr>
          <w:noProof/>
        </w:rPr>
        <w:instrText xml:space="preserve"> STYLEREF "Heading 1" \l \n </w:instrText>
      </w:r>
      <w:r w:rsidRPr="00BF170C">
        <w:rPr>
          <w:noProof/>
        </w:rPr>
        <w:fldChar w:fldCharType="separate"/>
      </w:r>
      <w:r w:rsidRPr="00BF170C">
        <w:rPr>
          <w:noProof/>
        </w:rPr>
        <w:instrText>1</w:instrText>
      </w:r>
      <w:r w:rsidRPr="00BF170C">
        <w:rPr>
          <w:noProof/>
        </w:rPr>
        <w:fldChar w:fldCharType="end"/>
      </w:r>
      <w:r w:rsidRPr="00BF170C">
        <w:instrText xml:space="preserve"> = 0 "" "</w:instrText>
      </w:r>
      <w:r w:rsidRPr="00BF170C">
        <w:rPr>
          <w:noProof/>
        </w:rPr>
        <w:fldChar w:fldCharType="begin"/>
      </w:r>
      <w:r w:rsidRPr="00BF170C">
        <w:rPr>
          <w:noProof/>
        </w:rPr>
        <w:instrText xml:space="preserve"> STYLEREF "Heading 1" \l \n </w:instrText>
      </w:r>
      <w:r w:rsidRPr="00BF170C">
        <w:rPr>
          <w:noProof/>
        </w:rPr>
        <w:fldChar w:fldCharType="separate"/>
      </w:r>
      <w:r w:rsidRPr="00BF170C">
        <w:rPr>
          <w:noProof/>
        </w:rPr>
        <w:instrText>1</w:instrText>
      </w:r>
      <w:r w:rsidRPr="00BF170C">
        <w:rPr>
          <w:noProof/>
        </w:rPr>
        <w:fldChar w:fldCharType="end"/>
      </w:r>
      <w:r w:rsidRPr="00BF170C">
        <w:instrText xml:space="preserve">." </w:instrText>
      </w:r>
      <w:r w:rsidRPr="00BF170C">
        <w:fldChar w:fldCharType="separate"/>
      </w:r>
      <w:r w:rsidRPr="00BF170C">
        <w:rPr>
          <w:noProof/>
        </w:rPr>
        <w:instrText>1.</w:instrText>
      </w:r>
      <w:r w:rsidRPr="00BF170C">
        <w:fldChar w:fldCharType="end"/>
      </w:r>
      <w:r w:rsidRPr="00BF170C">
        <w:instrText>" "</w:instrText>
      </w:r>
      <w:r w:rsidRPr="00BF170C">
        <w:rPr>
          <w:noProof/>
        </w:rPr>
        <w:fldChar w:fldCharType="begin"/>
      </w:r>
      <w:r w:rsidRPr="00BF170C">
        <w:rPr>
          <w:noProof/>
        </w:rPr>
        <w:instrText xml:space="preserve"> STYLEREF "Heading 6" \l \n </w:instrText>
      </w:r>
      <w:r w:rsidRPr="00BF170C">
        <w:rPr>
          <w:noProof/>
        </w:rPr>
        <w:fldChar w:fldCharType="separate"/>
      </w:r>
      <w:r w:rsidR="00B833F1">
        <w:rPr>
          <w:noProof/>
        </w:rPr>
        <w:instrText>I</w:instrText>
      </w:r>
      <w:r w:rsidRPr="00BF170C">
        <w:rPr>
          <w:noProof/>
        </w:rPr>
        <w:fldChar w:fldCharType="end"/>
      </w:r>
      <w:r w:rsidRPr="00BF170C">
        <w:instrText xml:space="preserve">." </w:instrText>
      </w:r>
      <w:r w:rsidRPr="00BF170C">
        <w:fldChar w:fldCharType="separate"/>
      </w:r>
      <w:r w:rsidR="00B833F1">
        <w:rPr>
          <w:noProof/>
        </w:rPr>
        <w:instrText>I</w:instrText>
      </w:r>
      <w:r w:rsidR="00B833F1" w:rsidRPr="00BF170C">
        <w:rPr>
          <w:noProof/>
        </w:rPr>
        <w:instrText>.</w:instrText>
      </w:r>
      <w:r w:rsidRPr="00BF170C">
        <w:fldChar w:fldCharType="end"/>
      </w:r>
      <w:r w:rsidRPr="00BF170C">
        <w:fldChar w:fldCharType="begin"/>
      </w:r>
      <w:r w:rsidRPr="00BF170C">
        <w:instrText xml:space="preserve"> SEQ Item \* ARABIC \s </w:instrText>
      </w:r>
      <w:r w:rsidRPr="00BF170C">
        <w:fldChar w:fldCharType="begin"/>
      </w:r>
      <w:r w:rsidRPr="00BF170C">
        <w:instrText xml:space="preserve"> IF </w:instrText>
      </w:r>
      <w:r w:rsidRPr="00BF170C">
        <w:rPr>
          <w:noProof/>
        </w:rPr>
        <w:fldChar w:fldCharType="begin"/>
      </w:r>
      <w:r w:rsidRPr="00BF170C">
        <w:rPr>
          <w:noProof/>
        </w:rPr>
        <w:instrText xml:space="preserve"> STYLEREF "Heading 6" \l \n </w:instrText>
      </w:r>
      <w:r w:rsidRPr="00BF170C">
        <w:rPr>
          <w:noProof/>
        </w:rPr>
        <w:fldChar w:fldCharType="separate"/>
      </w:r>
      <w:r w:rsidR="00B833F1">
        <w:rPr>
          <w:noProof/>
        </w:rPr>
        <w:instrText>I</w:instrText>
      </w:r>
      <w:r w:rsidRPr="00BF170C">
        <w:rPr>
          <w:noProof/>
        </w:rPr>
        <w:fldChar w:fldCharType="end"/>
      </w:r>
      <w:r w:rsidRPr="00BF170C">
        <w:instrText xml:space="preserve"> = 0 "</w:instrText>
      </w:r>
      <w:r w:rsidRPr="00BF170C">
        <w:fldChar w:fldCharType="begin"/>
      </w:r>
      <w:r w:rsidRPr="00BF170C">
        <w:instrText xml:space="preserve"> IF </w:instrText>
      </w:r>
      <w:r w:rsidRPr="00BF170C">
        <w:rPr>
          <w:noProof/>
        </w:rPr>
        <w:fldChar w:fldCharType="begin"/>
      </w:r>
      <w:r w:rsidRPr="00BF170C">
        <w:rPr>
          <w:noProof/>
        </w:rPr>
        <w:instrText xml:space="preserve"> STYLEREF "Heading 1" \l \n </w:instrText>
      </w:r>
      <w:r w:rsidRPr="00BF170C">
        <w:rPr>
          <w:noProof/>
        </w:rPr>
        <w:fldChar w:fldCharType="separate"/>
      </w:r>
      <w:r w:rsidRPr="00BF170C">
        <w:rPr>
          <w:noProof/>
        </w:rPr>
        <w:instrText>1</w:instrText>
      </w:r>
      <w:r w:rsidRPr="00BF170C">
        <w:rPr>
          <w:noProof/>
        </w:rPr>
        <w:fldChar w:fldCharType="end"/>
      </w:r>
      <w:r w:rsidRPr="00BF170C">
        <w:instrText xml:space="preserve"> = 0 "" "1" </w:instrText>
      </w:r>
      <w:r w:rsidRPr="00BF170C">
        <w:fldChar w:fldCharType="separate"/>
      </w:r>
      <w:r w:rsidRPr="00BF170C">
        <w:rPr>
          <w:noProof/>
        </w:rPr>
        <w:instrText>1</w:instrText>
      </w:r>
      <w:r w:rsidRPr="00BF170C">
        <w:fldChar w:fldCharType="end"/>
      </w:r>
      <w:r w:rsidRPr="00BF170C">
        <w:instrText xml:space="preserve">" "6" </w:instrText>
      </w:r>
      <w:r w:rsidRPr="00BF170C">
        <w:fldChar w:fldCharType="separate"/>
      </w:r>
      <w:r w:rsidR="00B833F1" w:rsidRPr="00BF170C">
        <w:rPr>
          <w:noProof/>
        </w:rPr>
        <w:instrText>6</w:instrText>
      </w:r>
      <w:r w:rsidRPr="00BF170C">
        <w:fldChar w:fldCharType="end"/>
      </w:r>
      <w:r w:rsidRPr="00BF170C">
        <w:instrText xml:space="preserve"> </w:instrText>
      </w:r>
      <w:r w:rsidRPr="00BF170C">
        <w:fldChar w:fldCharType="separate"/>
      </w:r>
      <w:r w:rsidR="00B833F1">
        <w:rPr>
          <w:noProof/>
        </w:rPr>
        <w:instrText>11</w:instrText>
      </w:r>
      <w:r w:rsidRPr="00BF170C">
        <w:fldChar w:fldCharType="end"/>
      </w:r>
      <w:r w:rsidRPr="00BF170C">
        <w:instrText xml:space="preserve">" "" </w:instrText>
      </w:r>
      <w:r w:rsidRPr="00BF170C">
        <w:fldChar w:fldCharType="separate"/>
      </w:r>
      <w:bookmarkStart w:id="9679" w:name="_Caption4721"/>
      <w:bookmarkStart w:id="9680" w:name="_Caption8365"/>
      <w:bookmarkStart w:id="9681" w:name="_Caption3980"/>
      <w:bookmarkStart w:id="9682" w:name="_Caption8489"/>
      <w:bookmarkStart w:id="9683" w:name="_Caption5819"/>
      <w:bookmarkStart w:id="9684" w:name="_Caption8629"/>
      <w:bookmarkStart w:id="9685" w:name="_Caption7126"/>
      <w:bookmarkStart w:id="9686" w:name="_Caption9020"/>
      <w:bookmarkStart w:id="9687" w:name="_Caption6230"/>
      <w:bookmarkStart w:id="9688" w:name="_Caption7879"/>
      <w:bookmarkStart w:id="9689" w:name="_Caption8565"/>
      <w:bookmarkStart w:id="9690" w:name="_Caption8995"/>
      <w:bookmarkStart w:id="9691" w:name="_Caption2782"/>
      <w:bookmarkStart w:id="9692" w:name="_Caption4865"/>
      <w:bookmarkStart w:id="9693" w:name="_Caption5295"/>
      <w:bookmarkStart w:id="9694" w:name="_Caption2006"/>
      <w:bookmarkStart w:id="9695" w:name="_Caption2105"/>
      <w:bookmarkStart w:id="9696" w:name="_Caption0947"/>
      <w:bookmarkStart w:id="9697" w:name="_Caption1219"/>
      <w:bookmarkStart w:id="9698" w:name="_Caption0546"/>
      <w:bookmarkStart w:id="9699" w:name="_Caption5931"/>
      <w:bookmarkStart w:id="9700" w:name="_Caption0115"/>
      <w:bookmarkStart w:id="9701" w:name="_Caption2794"/>
      <w:bookmarkStart w:id="9702" w:name="_Caption5124"/>
      <w:bookmarkStart w:id="9703" w:name="_Caption7169"/>
      <w:bookmarkStart w:id="9704" w:name="_Caption7230"/>
      <w:bookmarkStart w:id="9705" w:name="_Caption4290"/>
      <w:bookmarkStart w:id="9706" w:name="_Caption5912"/>
      <w:bookmarkStart w:id="9707" w:name="_Caption4080"/>
      <w:bookmarkStart w:id="9708" w:name="_Caption6529"/>
      <w:bookmarkStart w:id="9709" w:name="_Caption1759"/>
      <w:bookmarkStart w:id="9710" w:name="_Caption3491"/>
      <w:bookmarkStart w:id="9711" w:name="_Caption8695"/>
      <w:bookmarkStart w:id="9712" w:name="_Caption0248"/>
      <w:bookmarkStart w:id="9713" w:name="_Caption8288"/>
      <w:bookmarkStart w:id="9714" w:name="_Caption7864"/>
      <w:bookmarkStart w:id="9715" w:name="_Caption3101"/>
      <w:bookmarkStart w:id="9716" w:name="_Caption2486"/>
      <w:bookmarkStart w:id="9717" w:name="_Caption2305"/>
      <w:bookmarkStart w:id="9718" w:name="_Caption9115"/>
      <w:bookmarkStart w:id="9719" w:name="_Caption6015"/>
      <w:bookmarkStart w:id="9720" w:name="_Caption6682"/>
      <w:bookmarkStart w:id="9721" w:name="_Caption1961"/>
      <w:bookmarkStart w:id="9722" w:name="_Caption1876"/>
      <w:bookmarkStart w:id="9723" w:name="_Caption8085"/>
      <w:bookmarkStart w:id="9724" w:name="_Caption4297"/>
      <w:bookmarkStart w:id="9725" w:name="_Caption3399"/>
      <w:bookmarkStart w:id="9726" w:name="_Caption2453"/>
      <w:bookmarkStart w:id="9727" w:name="_Caption3049"/>
      <w:bookmarkStart w:id="9728" w:name="_Caption9576"/>
      <w:bookmarkStart w:id="9729" w:name="_Caption6971"/>
      <w:bookmarkStart w:id="9730" w:name="_Caption5837"/>
      <w:bookmarkStart w:id="9731" w:name="_Caption3581"/>
      <w:bookmarkStart w:id="9732" w:name="_Caption1384"/>
      <w:bookmarkStart w:id="9733" w:name="_Caption0159"/>
      <w:bookmarkStart w:id="9734" w:name="_Caption0442"/>
      <w:bookmarkStart w:id="9735" w:name="_Caption2210"/>
      <w:bookmarkStart w:id="9736" w:name="_Caption4366"/>
      <w:bookmarkStart w:id="9737" w:name="_Caption9750"/>
      <w:bookmarkStart w:id="9738" w:name="_Caption2562"/>
      <w:bookmarkStart w:id="9739" w:name="_Caption3730"/>
      <w:bookmarkStart w:id="9740" w:name="_Caption7328"/>
      <w:bookmarkStart w:id="9741" w:name="_Caption6654"/>
      <w:bookmarkStart w:id="9742" w:name="_Caption6523"/>
      <w:bookmarkStart w:id="9743" w:name="_Caption5468"/>
      <w:bookmarkStart w:id="9744" w:name="_Caption1105"/>
      <w:bookmarkStart w:id="9745" w:name="_Caption6375"/>
      <w:bookmarkStart w:id="9746" w:name="_Toc529870025"/>
      <w:bookmarkStart w:id="9747" w:name="_Toc530748521"/>
      <w:r w:rsidR="00EA42ED">
        <w:rPr>
          <w:noProof/>
        </w:rPr>
        <w:t>I</w:t>
      </w:r>
      <w:r w:rsidR="00EA42ED" w:rsidRPr="00BF170C">
        <w:rPr>
          <w:noProof/>
        </w:rPr>
        <w:t>.</w:t>
      </w:r>
      <w:r w:rsidR="00EA42ED">
        <w:rPr>
          <w:noProof/>
        </w:rPr>
        <w:t>11</w:t>
      </w:r>
      <w:bookmarkEnd w:id="9679"/>
      <w:bookmarkEnd w:id="9680"/>
      <w:bookmarkEnd w:id="9681"/>
      <w:bookmarkEnd w:id="9682"/>
      <w:bookmarkEnd w:id="9683"/>
      <w:bookmarkEnd w:id="9684"/>
      <w:bookmarkEnd w:id="9685"/>
      <w:bookmarkEnd w:id="9686"/>
      <w:bookmarkEnd w:id="9687"/>
      <w:bookmarkEnd w:id="9688"/>
      <w:bookmarkEnd w:id="9689"/>
      <w:bookmarkEnd w:id="9690"/>
      <w:bookmarkEnd w:id="9691"/>
      <w:bookmarkEnd w:id="9692"/>
      <w:bookmarkEnd w:id="9693"/>
      <w:bookmarkEnd w:id="9694"/>
      <w:bookmarkEnd w:id="9695"/>
      <w:bookmarkEnd w:id="9696"/>
      <w:bookmarkEnd w:id="9697"/>
      <w:bookmarkEnd w:id="9698"/>
      <w:bookmarkEnd w:id="9699"/>
      <w:bookmarkEnd w:id="9700"/>
      <w:bookmarkEnd w:id="9701"/>
      <w:bookmarkEnd w:id="9702"/>
      <w:bookmarkEnd w:id="9703"/>
      <w:bookmarkEnd w:id="9704"/>
      <w:bookmarkEnd w:id="9705"/>
      <w:bookmarkEnd w:id="9706"/>
      <w:bookmarkEnd w:id="9707"/>
      <w:bookmarkEnd w:id="9708"/>
      <w:bookmarkEnd w:id="9709"/>
      <w:bookmarkEnd w:id="9710"/>
      <w:bookmarkEnd w:id="9711"/>
      <w:bookmarkEnd w:id="9712"/>
      <w:bookmarkEnd w:id="9713"/>
      <w:bookmarkEnd w:id="9714"/>
      <w:bookmarkEnd w:id="9715"/>
      <w:bookmarkEnd w:id="9716"/>
      <w:bookmarkEnd w:id="9717"/>
      <w:bookmarkEnd w:id="9718"/>
      <w:bookmarkEnd w:id="9719"/>
      <w:bookmarkEnd w:id="9720"/>
      <w:bookmarkEnd w:id="9721"/>
      <w:bookmarkEnd w:id="9722"/>
      <w:bookmarkEnd w:id="9723"/>
      <w:bookmarkEnd w:id="9724"/>
      <w:bookmarkEnd w:id="9725"/>
      <w:bookmarkEnd w:id="9726"/>
      <w:bookmarkEnd w:id="9727"/>
      <w:bookmarkEnd w:id="9728"/>
      <w:bookmarkEnd w:id="9729"/>
      <w:bookmarkEnd w:id="9730"/>
      <w:bookmarkEnd w:id="9731"/>
      <w:bookmarkEnd w:id="9732"/>
      <w:bookmarkEnd w:id="9733"/>
      <w:bookmarkEnd w:id="9734"/>
      <w:bookmarkEnd w:id="9735"/>
      <w:bookmarkEnd w:id="9736"/>
      <w:bookmarkEnd w:id="9737"/>
      <w:bookmarkEnd w:id="9738"/>
      <w:bookmarkEnd w:id="9739"/>
      <w:bookmarkEnd w:id="9740"/>
      <w:bookmarkEnd w:id="9741"/>
      <w:bookmarkEnd w:id="9742"/>
      <w:bookmarkEnd w:id="9743"/>
      <w:bookmarkEnd w:id="9744"/>
      <w:bookmarkEnd w:id="9745"/>
      <w:r w:rsidRPr="00BF170C">
        <w:fldChar w:fldCharType="end"/>
      </w:r>
      <w:r w:rsidRPr="00BF170C">
        <w:tab/>
        <w:t>Net benefits to South Australia — medium realisation scenario</w:t>
      </w:r>
      <w:bookmarkEnd w:id="9746"/>
      <w:bookmarkEnd w:id="9747"/>
    </w:p>
    <w:tbl>
      <w:tblPr>
        <w:tblW w:w="7937" w:type="dxa"/>
        <w:tblLayout w:type="fixed"/>
        <w:tblLook w:val="0000" w:firstRow="0" w:lastRow="0" w:firstColumn="0" w:lastColumn="0" w:noHBand="0" w:noVBand="0"/>
        <w:tblCaption w:val="Table I.11: Net benefits to South Australia - medium realisation scenario"/>
        <w:tblDescription w:val="This table shows the net benefits under a medium realisation scenario of the proposed changes to NCC 2019 in South Australia. "/>
      </w:tblPr>
      <w:tblGrid>
        <w:gridCol w:w="2456"/>
        <w:gridCol w:w="783"/>
        <w:gridCol w:w="783"/>
        <w:gridCol w:w="783"/>
        <w:gridCol w:w="783"/>
        <w:gridCol w:w="783"/>
        <w:gridCol w:w="783"/>
        <w:gridCol w:w="783"/>
      </w:tblGrid>
      <w:tr w:rsidR="00612FD3" w:rsidTr="00301B6D">
        <w:trPr>
          <w:trHeight w:val="230"/>
          <w:tblHeader/>
        </w:trPr>
        <w:tc>
          <w:tcPr>
            <w:tcW w:w="2456" w:type="dxa"/>
            <w:shd w:val="clear" w:color="auto" w:fill="6F6652"/>
            <w:tcMar>
              <w:left w:w="57" w:type="dxa"/>
              <w:right w:w="57" w:type="dxa"/>
            </w:tcMar>
          </w:tcPr>
          <w:p w:rsidR="00612FD3" w:rsidRDefault="00612FD3" w:rsidP="00301B6D">
            <w:pPr>
              <w:pStyle w:val="TableDataColumnHeading"/>
              <w:jc w:val="left"/>
              <w:rPr>
                <w:lang w:val="en-GB"/>
              </w:rPr>
            </w:pP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CZ1</w:t>
            </w: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CZ2</w:t>
            </w: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CZ3</w:t>
            </w: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CZ4</w:t>
            </w: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CZ5</w:t>
            </w: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CZ6</w:t>
            </w: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CZ7</w:t>
            </w:r>
          </w:p>
        </w:tc>
      </w:tr>
      <w:tr w:rsidR="00612FD3" w:rsidTr="00301B6D">
        <w:trPr>
          <w:trHeight w:val="230"/>
          <w:tblHeader/>
        </w:trPr>
        <w:tc>
          <w:tcPr>
            <w:tcW w:w="2456"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jc w:val="left"/>
              <w:rPr>
                <w:lang w:val="en-GB"/>
              </w:rPr>
            </w:pP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r>
      <w:tr w:rsidR="00612FD3" w:rsidTr="00301B6D">
        <w:trPr>
          <w:trHeight w:val="230"/>
        </w:trPr>
        <w:tc>
          <w:tcPr>
            <w:tcW w:w="245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r>
              <w:rPr>
                <w:lang w:val="en-GB"/>
              </w:rPr>
              <w:t>Hotels</w:t>
            </w: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41.20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42.76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43.35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2.35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0.07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1.67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Private costs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1.10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- 4.98</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0.77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BF170C" w:rsidRDefault="00BF170C" w:rsidP="00BF170C">
            <w:pPr>
              <w:pStyle w:val="TableDataEntries"/>
              <w:jc w:val="left"/>
              <w:rPr>
                <w:lang w:val="en-GB"/>
              </w:rPr>
            </w:pPr>
            <w:r>
              <w:rPr>
                <w:lang w:val="en-GB"/>
              </w:rPr>
              <w:t>Net private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xml:space="preserve"> 44.65</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xml:space="preserve"> 37.85</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xml:space="preserve"> 45.78</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8.06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8.37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8.48</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0.63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0.02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0.45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RPr="00BF170C"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BF170C" w:rsidRPr="00BF170C" w:rsidRDefault="00BF170C" w:rsidP="00BF170C">
            <w:pPr>
              <w:pStyle w:val="TableDataEntries"/>
              <w:jc w:val="left"/>
              <w:rPr>
                <w:rFonts w:ascii="Franklin Gothic Demi" w:hAnsi="Franklin Gothic Demi"/>
                <w:lang w:val="en-GB"/>
              </w:rPr>
            </w:pPr>
            <w:r w:rsidRPr="00BF170C">
              <w:rPr>
                <w:rFonts w:ascii="Franklin Gothic Demi" w:hAnsi="Franklin Gothic Demi"/>
                <w:lang w:val="en-GB"/>
              </w:rPr>
              <w:t>Net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53.34</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46.24</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54.71</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BF170C" w:rsidRDefault="00BF170C" w:rsidP="00BF170C">
            <w:pPr>
              <w:pStyle w:val="TableHeading1"/>
              <w:rPr>
                <w:lang w:val="en-GB"/>
              </w:rPr>
            </w:pPr>
            <w:r>
              <w:rPr>
                <w:lang w:val="en-GB"/>
              </w:rPr>
              <w:t>Office building</w:t>
            </w: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13.31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1.74</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Private costs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- 11.05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BF170C" w:rsidRDefault="00BF170C" w:rsidP="00BF170C">
            <w:pPr>
              <w:pStyle w:val="TableDataEntries"/>
              <w:jc w:val="left"/>
              <w:rPr>
                <w:lang w:val="en-GB"/>
              </w:rPr>
            </w:pPr>
            <w:r>
              <w:rPr>
                <w:lang w:val="en-GB"/>
              </w:rPr>
              <w:t>Net private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xml:space="preserve"> 4.00</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2.60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0.47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RPr="00BF170C"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BF170C" w:rsidRPr="00BF170C" w:rsidRDefault="00BF170C" w:rsidP="00BF170C">
            <w:pPr>
              <w:pStyle w:val="TableDataEntries"/>
              <w:jc w:val="left"/>
              <w:rPr>
                <w:rFonts w:ascii="Franklin Gothic Demi" w:hAnsi="Franklin Gothic Demi"/>
                <w:lang w:val="en-GB"/>
              </w:rPr>
            </w:pPr>
            <w:r w:rsidRPr="00BF170C">
              <w:rPr>
                <w:rFonts w:ascii="Franklin Gothic Demi" w:hAnsi="Franklin Gothic Demi"/>
                <w:lang w:val="en-GB"/>
              </w:rPr>
              <w:t>Net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7.07</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BF170C" w:rsidRDefault="00BF170C" w:rsidP="00BF170C">
            <w:pPr>
              <w:pStyle w:val="TableHeading1"/>
              <w:rPr>
                <w:lang w:val="en-GB"/>
              </w:rPr>
            </w:pPr>
            <w:r>
              <w:rPr>
                <w:lang w:val="en-GB"/>
              </w:rPr>
              <w:t>Retail</w:t>
            </w: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51.25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62.00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53.62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- 5.93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- 3.23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- 12.99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Private costs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- 18.60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- 7.22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- 10.36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BF170C" w:rsidRDefault="00BF170C" w:rsidP="00BF170C">
            <w:pPr>
              <w:pStyle w:val="TableDataEntries"/>
              <w:jc w:val="left"/>
              <w:rPr>
                <w:lang w:val="en-GB"/>
              </w:rPr>
            </w:pPr>
            <w:r>
              <w:rPr>
                <w:lang w:val="en-GB"/>
              </w:rPr>
              <w:t>Net private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xml:space="preserve"> 26.73</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xml:space="preserve"> 51.55</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xml:space="preserve"> 30.26</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10.03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12.13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10.49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- 1.59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- 0.87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- 3.49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RPr="00BF170C"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BF170C" w:rsidRPr="00BF170C" w:rsidRDefault="00BF170C" w:rsidP="00BF170C">
            <w:pPr>
              <w:pStyle w:val="TableDataEntries"/>
              <w:jc w:val="left"/>
              <w:rPr>
                <w:rFonts w:ascii="Franklin Gothic Demi" w:hAnsi="Franklin Gothic Demi"/>
                <w:lang w:val="en-GB"/>
              </w:rPr>
            </w:pPr>
            <w:r w:rsidRPr="00BF170C">
              <w:rPr>
                <w:rFonts w:ascii="Franklin Gothic Demi" w:hAnsi="Franklin Gothic Demi"/>
                <w:lang w:val="en-GB"/>
              </w:rPr>
              <w:t>Net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35.16</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62.82</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37.27</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BF170C" w:rsidRDefault="00BF170C" w:rsidP="00BF170C">
            <w:pPr>
              <w:pStyle w:val="TableHeading1"/>
              <w:rPr>
                <w:lang w:val="en-GB"/>
              </w:rPr>
            </w:pPr>
            <w:r>
              <w:rPr>
                <w:lang w:val="en-GB"/>
              </w:rPr>
              <w:t>Healthcare</w:t>
            </w: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19.69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18.67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10.62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- 0.32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- 0.10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- 6.43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Private costs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- 17.49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- 16.23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- 26.49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BF170C" w:rsidRDefault="00BF170C" w:rsidP="00BF170C">
            <w:pPr>
              <w:pStyle w:val="TableDataEntries"/>
              <w:jc w:val="left"/>
              <w:rPr>
                <w:lang w:val="en-GB"/>
              </w:rPr>
            </w:pPr>
            <w:r>
              <w:rPr>
                <w:lang w:val="en-GB"/>
              </w:rPr>
              <w:t>Net private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xml:space="preserve"> 1.89</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xml:space="preserve"> 2.34</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- 22.30</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3.85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3.65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2.08</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- 0.09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- 0.03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- 1.73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RPr="00BF170C"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BF170C" w:rsidRPr="00BF170C" w:rsidRDefault="00BF170C" w:rsidP="00BF170C">
            <w:pPr>
              <w:pStyle w:val="TableDataEntries"/>
              <w:jc w:val="left"/>
              <w:rPr>
                <w:rFonts w:ascii="Franklin Gothic Demi" w:hAnsi="Franklin Gothic Demi"/>
                <w:lang w:val="en-GB"/>
              </w:rPr>
            </w:pPr>
            <w:r w:rsidRPr="00BF170C">
              <w:rPr>
                <w:rFonts w:ascii="Franklin Gothic Demi" w:hAnsi="Franklin Gothic Demi"/>
                <w:lang w:val="en-GB"/>
              </w:rPr>
              <w:t>Net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5.65</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5.96</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- 21.95</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BF170C" w:rsidRDefault="00BF170C" w:rsidP="00BF170C">
            <w:pPr>
              <w:pStyle w:val="TableHeading1"/>
              <w:rPr>
                <w:lang w:val="en-GB"/>
              </w:rPr>
            </w:pPr>
            <w:r>
              <w:rPr>
                <w:lang w:val="en-GB"/>
              </w:rPr>
              <w:t>School</w:t>
            </w: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41.57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30.54</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33.96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7.18</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4.05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8.49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Private costs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- 17.65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- 18.10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- 7.71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BF170C" w:rsidRDefault="00BF170C" w:rsidP="00BF170C">
            <w:pPr>
              <w:pStyle w:val="TableDataEntries"/>
              <w:jc w:val="left"/>
              <w:rPr>
                <w:lang w:val="en-GB"/>
              </w:rPr>
            </w:pPr>
            <w:r>
              <w:rPr>
                <w:lang w:val="en-GB"/>
              </w:rPr>
              <w:t>Net private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xml:space="preserve"> 31.10</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xml:space="preserve"> 16.49</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xml:space="preserve"> 34.73</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8.13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5.98</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6.64</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1.93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1.09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2.28</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RPr="00BF170C" w:rsidTr="00301B6D">
        <w:trPr>
          <w:trHeight w:val="230"/>
        </w:trPr>
        <w:tc>
          <w:tcPr>
            <w:tcW w:w="2456"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rsidR="00BF170C" w:rsidRPr="00BF170C" w:rsidRDefault="00BF170C" w:rsidP="00BF170C">
            <w:pPr>
              <w:pStyle w:val="TableDataEntries"/>
              <w:jc w:val="left"/>
              <w:rPr>
                <w:rFonts w:ascii="Franklin Gothic Demi" w:hAnsi="Franklin Gothic Demi"/>
                <w:lang w:val="en-GB"/>
              </w:rPr>
            </w:pPr>
            <w:r w:rsidRPr="00BF170C">
              <w:rPr>
                <w:rFonts w:ascii="Franklin Gothic Demi" w:hAnsi="Franklin Gothic Demi"/>
                <w:lang w:val="en-GB"/>
              </w:rPr>
              <w:t>Net benefit/cost</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41.16</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23.55</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43.66</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r>
    </w:tbl>
    <w:p w:rsidR="00612FD3" w:rsidRDefault="00612FD3" w:rsidP="00612FD3">
      <w:pPr>
        <w:pStyle w:val="Note"/>
        <w:rPr>
          <w:lang w:bidi="fa-IR"/>
        </w:rPr>
      </w:pPr>
      <w:r w:rsidRPr="007D1B4F">
        <w:rPr>
          <w:i/>
        </w:rPr>
        <w:t>Note:</w:t>
      </w:r>
      <w:r w:rsidRPr="00E879B8">
        <w:t xml:space="preserve"> </w:t>
      </w:r>
      <w:r>
        <w:t>Costs and benefits are estimated over the assumed 40 year life of the building, using a discount rate of 7 per cent.</w:t>
      </w:r>
    </w:p>
    <w:p w:rsidR="00612FD3" w:rsidRDefault="00612FD3" w:rsidP="00612FD3">
      <w:pPr>
        <w:pStyle w:val="Source"/>
        <w:rPr>
          <w:lang w:bidi="fa-IR"/>
        </w:rPr>
      </w:pPr>
      <w:r w:rsidRPr="00C6138D">
        <w:rPr>
          <w:i/>
          <w:lang w:bidi="fa-IR"/>
        </w:rPr>
        <w:t>Source:</w:t>
      </w:r>
      <w:r>
        <w:rPr>
          <w:lang w:bidi="fa-IR"/>
        </w:rPr>
        <w:t xml:space="preserve"> CIE based on </w:t>
      </w:r>
      <w:r w:rsidR="00EB5964">
        <w:rPr>
          <w:lang w:bidi="fa-IR"/>
        </w:rPr>
        <w:t>EA</w:t>
      </w:r>
      <w:r>
        <w:rPr>
          <w:lang w:bidi="fa-IR"/>
        </w:rPr>
        <w:t xml:space="preserve"> modelling.</w:t>
      </w:r>
    </w:p>
    <w:p w:rsidR="00D364DA" w:rsidRDefault="00D364DA" w:rsidP="00612FD3">
      <w:pPr>
        <w:pStyle w:val="Caption"/>
      </w:pPr>
      <w:r>
        <w:br w:type="page"/>
      </w:r>
    </w:p>
    <w:p w:rsidR="00612FD3" w:rsidRDefault="00612FD3" w:rsidP="00612FD3">
      <w:pPr>
        <w:pStyle w:val="Caption"/>
      </w:pPr>
      <w:r w:rsidRPr="00BF170C">
        <w:fldChar w:fldCharType="begin"/>
      </w:r>
      <w:r w:rsidRPr="00BF170C">
        <w:instrText xml:space="preserve"> IF 1 = 1 "</w:instrText>
      </w:r>
      <w:r w:rsidRPr="00BF170C">
        <w:fldChar w:fldCharType="begin"/>
      </w:r>
      <w:r w:rsidRPr="00BF170C">
        <w:instrText xml:space="preserve"> IF </w:instrText>
      </w:r>
      <w:r w:rsidRPr="00BF170C">
        <w:rPr>
          <w:noProof/>
        </w:rPr>
        <w:fldChar w:fldCharType="begin"/>
      </w:r>
      <w:r w:rsidRPr="00BF170C">
        <w:rPr>
          <w:noProof/>
        </w:rPr>
        <w:instrText xml:space="preserve"> STYLEREF "Heading 6" \l \n </w:instrText>
      </w:r>
      <w:r w:rsidRPr="00BF170C">
        <w:rPr>
          <w:noProof/>
        </w:rPr>
        <w:fldChar w:fldCharType="separate"/>
      </w:r>
      <w:r w:rsidR="00B833F1">
        <w:rPr>
          <w:noProof/>
        </w:rPr>
        <w:instrText>I</w:instrText>
      </w:r>
      <w:r w:rsidRPr="00BF170C">
        <w:rPr>
          <w:noProof/>
        </w:rPr>
        <w:fldChar w:fldCharType="end"/>
      </w:r>
      <w:r w:rsidRPr="00BF170C">
        <w:instrText xml:space="preserve"> = 0 "</w:instrText>
      </w:r>
      <w:r w:rsidRPr="00BF170C">
        <w:fldChar w:fldCharType="begin"/>
      </w:r>
      <w:r w:rsidRPr="00BF170C">
        <w:instrText xml:space="preserve"> IF </w:instrText>
      </w:r>
      <w:r w:rsidRPr="00BF170C">
        <w:rPr>
          <w:noProof/>
        </w:rPr>
        <w:fldChar w:fldCharType="begin"/>
      </w:r>
      <w:r w:rsidRPr="00BF170C">
        <w:rPr>
          <w:noProof/>
        </w:rPr>
        <w:instrText xml:space="preserve"> STYLEREF "Heading 1" \l \n </w:instrText>
      </w:r>
      <w:r w:rsidRPr="00BF170C">
        <w:rPr>
          <w:noProof/>
        </w:rPr>
        <w:fldChar w:fldCharType="separate"/>
      </w:r>
      <w:r w:rsidRPr="00BF170C">
        <w:rPr>
          <w:noProof/>
        </w:rPr>
        <w:instrText>1</w:instrText>
      </w:r>
      <w:r w:rsidRPr="00BF170C">
        <w:rPr>
          <w:noProof/>
        </w:rPr>
        <w:fldChar w:fldCharType="end"/>
      </w:r>
      <w:r w:rsidRPr="00BF170C">
        <w:instrText xml:space="preserve"> = 0 "" "</w:instrText>
      </w:r>
      <w:r w:rsidRPr="00BF170C">
        <w:rPr>
          <w:noProof/>
        </w:rPr>
        <w:fldChar w:fldCharType="begin"/>
      </w:r>
      <w:r w:rsidRPr="00BF170C">
        <w:rPr>
          <w:noProof/>
        </w:rPr>
        <w:instrText xml:space="preserve"> STYLEREF "Heading 1" \l \n </w:instrText>
      </w:r>
      <w:r w:rsidRPr="00BF170C">
        <w:rPr>
          <w:noProof/>
        </w:rPr>
        <w:fldChar w:fldCharType="separate"/>
      </w:r>
      <w:r w:rsidRPr="00BF170C">
        <w:rPr>
          <w:noProof/>
        </w:rPr>
        <w:instrText>1</w:instrText>
      </w:r>
      <w:r w:rsidRPr="00BF170C">
        <w:rPr>
          <w:noProof/>
        </w:rPr>
        <w:fldChar w:fldCharType="end"/>
      </w:r>
      <w:r w:rsidRPr="00BF170C">
        <w:instrText xml:space="preserve">." </w:instrText>
      </w:r>
      <w:r w:rsidRPr="00BF170C">
        <w:fldChar w:fldCharType="separate"/>
      </w:r>
      <w:r w:rsidRPr="00BF170C">
        <w:rPr>
          <w:noProof/>
        </w:rPr>
        <w:instrText>1.</w:instrText>
      </w:r>
      <w:r w:rsidRPr="00BF170C">
        <w:fldChar w:fldCharType="end"/>
      </w:r>
      <w:r w:rsidRPr="00BF170C">
        <w:instrText>" "</w:instrText>
      </w:r>
      <w:r w:rsidRPr="00BF170C">
        <w:rPr>
          <w:noProof/>
        </w:rPr>
        <w:fldChar w:fldCharType="begin"/>
      </w:r>
      <w:r w:rsidRPr="00BF170C">
        <w:rPr>
          <w:noProof/>
        </w:rPr>
        <w:instrText xml:space="preserve"> STYLEREF "Heading 6" \l \n </w:instrText>
      </w:r>
      <w:r w:rsidRPr="00BF170C">
        <w:rPr>
          <w:noProof/>
        </w:rPr>
        <w:fldChar w:fldCharType="separate"/>
      </w:r>
      <w:r w:rsidR="00B833F1">
        <w:rPr>
          <w:noProof/>
        </w:rPr>
        <w:instrText>I</w:instrText>
      </w:r>
      <w:r w:rsidRPr="00BF170C">
        <w:rPr>
          <w:noProof/>
        </w:rPr>
        <w:fldChar w:fldCharType="end"/>
      </w:r>
      <w:r w:rsidRPr="00BF170C">
        <w:instrText xml:space="preserve">." </w:instrText>
      </w:r>
      <w:r w:rsidRPr="00BF170C">
        <w:fldChar w:fldCharType="separate"/>
      </w:r>
      <w:r w:rsidR="00B833F1">
        <w:rPr>
          <w:noProof/>
        </w:rPr>
        <w:instrText>I</w:instrText>
      </w:r>
      <w:r w:rsidR="00B833F1" w:rsidRPr="00BF170C">
        <w:rPr>
          <w:noProof/>
        </w:rPr>
        <w:instrText>.</w:instrText>
      </w:r>
      <w:r w:rsidRPr="00BF170C">
        <w:fldChar w:fldCharType="end"/>
      </w:r>
      <w:r w:rsidRPr="00BF170C">
        <w:fldChar w:fldCharType="begin"/>
      </w:r>
      <w:r w:rsidRPr="00BF170C">
        <w:instrText xml:space="preserve"> SEQ Item \* ARABIC \s </w:instrText>
      </w:r>
      <w:r w:rsidRPr="00BF170C">
        <w:fldChar w:fldCharType="begin"/>
      </w:r>
      <w:r w:rsidRPr="00BF170C">
        <w:instrText xml:space="preserve"> IF </w:instrText>
      </w:r>
      <w:r w:rsidRPr="00BF170C">
        <w:rPr>
          <w:noProof/>
        </w:rPr>
        <w:fldChar w:fldCharType="begin"/>
      </w:r>
      <w:r w:rsidRPr="00BF170C">
        <w:rPr>
          <w:noProof/>
        </w:rPr>
        <w:instrText xml:space="preserve"> STYLEREF "Heading 6" \l \n </w:instrText>
      </w:r>
      <w:r w:rsidRPr="00BF170C">
        <w:rPr>
          <w:noProof/>
        </w:rPr>
        <w:fldChar w:fldCharType="separate"/>
      </w:r>
      <w:r w:rsidR="00B833F1">
        <w:rPr>
          <w:noProof/>
        </w:rPr>
        <w:instrText>I</w:instrText>
      </w:r>
      <w:r w:rsidRPr="00BF170C">
        <w:rPr>
          <w:noProof/>
        </w:rPr>
        <w:fldChar w:fldCharType="end"/>
      </w:r>
      <w:r w:rsidRPr="00BF170C">
        <w:instrText xml:space="preserve"> = 0 "</w:instrText>
      </w:r>
      <w:r w:rsidRPr="00BF170C">
        <w:fldChar w:fldCharType="begin"/>
      </w:r>
      <w:r w:rsidRPr="00BF170C">
        <w:instrText xml:space="preserve"> IF </w:instrText>
      </w:r>
      <w:r w:rsidRPr="00BF170C">
        <w:rPr>
          <w:noProof/>
        </w:rPr>
        <w:fldChar w:fldCharType="begin"/>
      </w:r>
      <w:r w:rsidRPr="00BF170C">
        <w:rPr>
          <w:noProof/>
        </w:rPr>
        <w:instrText xml:space="preserve"> STYLEREF "Heading 1" \l \n </w:instrText>
      </w:r>
      <w:r w:rsidRPr="00BF170C">
        <w:rPr>
          <w:noProof/>
        </w:rPr>
        <w:fldChar w:fldCharType="separate"/>
      </w:r>
      <w:r w:rsidRPr="00BF170C">
        <w:rPr>
          <w:noProof/>
        </w:rPr>
        <w:instrText>1</w:instrText>
      </w:r>
      <w:r w:rsidRPr="00BF170C">
        <w:rPr>
          <w:noProof/>
        </w:rPr>
        <w:fldChar w:fldCharType="end"/>
      </w:r>
      <w:r w:rsidRPr="00BF170C">
        <w:instrText xml:space="preserve"> = 0 "" "1" </w:instrText>
      </w:r>
      <w:r w:rsidRPr="00BF170C">
        <w:fldChar w:fldCharType="separate"/>
      </w:r>
      <w:r w:rsidRPr="00BF170C">
        <w:rPr>
          <w:noProof/>
        </w:rPr>
        <w:instrText>1</w:instrText>
      </w:r>
      <w:r w:rsidRPr="00BF170C">
        <w:fldChar w:fldCharType="end"/>
      </w:r>
      <w:r w:rsidRPr="00BF170C">
        <w:instrText xml:space="preserve">" "6" </w:instrText>
      </w:r>
      <w:r w:rsidRPr="00BF170C">
        <w:fldChar w:fldCharType="separate"/>
      </w:r>
      <w:r w:rsidR="00B833F1" w:rsidRPr="00BF170C">
        <w:rPr>
          <w:noProof/>
        </w:rPr>
        <w:instrText>6</w:instrText>
      </w:r>
      <w:r w:rsidRPr="00BF170C">
        <w:fldChar w:fldCharType="end"/>
      </w:r>
      <w:r w:rsidRPr="00BF170C">
        <w:instrText xml:space="preserve"> </w:instrText>
      </w:r>
      <w:r w:rsidRPr="00BF170C">
        <w:fldChar w:fldCharType="separate"/>
      </w:r>
      <w:r w:rsidR="00B833F1">
        <w:rPr>
          <w:noProof/>
        </w:rPr>
        <w:instrText>12</w:instrText>
      </w:r>
      <w:r w:rsidRPr="00BF170C">
        <w:fldChar w:fldCharType="end"/>
      </w:r>
      <w:r w:rsidRPr="00BF170C">
        <w:instrText xml:space="preserve">" "" </w:instrText>
      </w:r>
      <w:r w:rsidRPr="00BF170C">
        <w:fldChar w:fldCharType="separate"/>
      </w:r>
      <w:bookmarkStart w:id="9748" w:name="_Caption2031"/>
      <w:bookmarkStart w:id="9749" w:name="_Caption5201"/>
      <w:bookmarkStart w:id="9750" w:name="_Caption8593"/>
      <w:bookmarkStart w:id="9751" w:name="_Caption9669"/>
      <w:bookmarkStart w:id="9752" w:name="_Caption5277"/>
      <w:bookmarkStart w:id="9753" w:name="_Caption3644"/>
      <w:bookmarkStart w:id="9754" w:name="_Caption4049"/>
      <w:bookmarkStart w:id="9755" w:name="_Caption4809"/>
      <w:bookmarkStart w:id="9756" w:name="_Caption3627"/>
      <w:bookmarkStart w:id="9757" w:name="_Caption0410"/>
      <w:bookmarkStart w:id="9758" w:name="_Caption3319"/>
      <w:bookmarkStart w:id="9759" w:name="_Caption5543"/>
      <w:bookmarkStart w:id="9760" w:name="_Caption4950"/>
      <w:bookmarkStart w:id="9761" w:name="_Caption9754"/>
      <w:bookmarkStart w:id="9762" w:name="_Caption0457"/>
      <w:bookmarkStart w:id="9763" w:name="_Caption6939"/>
      <w:bookmarkStart w:id="9764" w:name="_Caption5958"/>
      <w:bookmarkStart w:id="9765" w:name="_Caption8817"/>
      <w:bookmarkStart w:id="9766" w:name="_Caption1891"/>
      <w:bookmarkStart w:id="9767" w:name="_Caption0342"/>
      <w:bookmarkStart w:id="9768" w:name="_Caption8290"/>
      <w:bookmarkStart w:id="9769" w:name="_Caption5186"/>
      <w:bookmarkStart w:id="9770" w:name="_Caption6209"/>
      <w:bookmarkStart w:id="9771" w:name="_Caption7453"/>
      <w:bookmarkStart w:id="9772" w:name="_Caption1005"/>
      <w:bookmarkStart w:id="9773" w:name="_Caption0863"/>
      <w:bookmarkStart w:id="9774" w:name="_Caption5864"/>
      <w:bookmarkStart w:id="9775" w:name="_Caption9159"/>
      <w:bookmarkStart w:id="9776" w:name="_Caption0341"/>
      <w:bookmarkStart w:id="9777" w:name="_Caption6545"/>
      <w:bookmarkStart w:id="9778" w:name="_Caption3932"/>
      <w:bookmarkStart w:id="9779" w:name="_Caption0898"/>
      <w:bookmarkStart w:id="9780" w:name="_Caption5237"/>
      <w:bookmarkStart w:id="9781" w:name="_Caption9722"/>
      <w:bookmarkStart w:id="9782" w:name="_Caption1231"/>
      <w:bookmarkStart w:id="9783" w:name="_Caption6667"/>
      <w:bookmarkStart w:id="9784" w:name="_Caption6940"/>
      <w:bookmarkStart w:id="9785" w:name="_Caption4993"/>
      <w:bookmarkStart w:id="9786" w:name="_Caption3520"/>
      <w:bookmarkStart w:id="9787" w:name="_Caption3623"/>
      <w:bookmarkStart w:id="9788" w:name="_Caption2585"/>
      <w:bookmarkStart w:id="9789" w:name="_Caption6913"/>
      <w:bookmarkStart w:id="9790" w:name="_Caption9116"/>
      <w:bookmarkStart w:id="9791" w:name="_Caption2500"/>
      <w:bookmarkStart w:id="9792" w:name="_Caption0455"/>
      <w:bookmarkStart w:id="9793" w:name="_Caption7913"/>
      <w:bookmarkStart w:id="9794" w:name="_Caption3494"/>
      <w:bookmarkStart w:id="9795" w:name="_Caption7173"/>
      <w:bookmarkStart w:id="9796" w:name="_Caption9046"/>
      <w:bookmarkStart w:id="9797" w:name="_Caption7120"/>
      <w:bookmarkStart w:id="9798" w:name="_Caption3629"/>
      <w:bookmarkStart w:id="9799" w:name="_Caption8618"/>
      <w:bookmarkStart w:id="9800" w:name="_Caption7949"/>
      <w:bookmarkStart w:id="9801" w:name="_Caption0288"/>
      <w:bookmarkStart w:id="9802" w:name="_Caption6270"/>
      <w:bookmarkStart w:id="9803" w:name="_Caption5070"/>
      <w:bookmarkStart w:id="9804" w:name="_Caption8761"/>
      <w:bookmarkStart w:id="9805" w:name="_Caption8741"/>
      <w:bookmarkStart w:id="9806" w:name="_Caption0320"/>
      <w:bookmarkStart w:id="9807" w:name="_Caption6763"/>
      <w:bookmarkStart w:id="9808" w:name="_Caption7061"/>
      <w:bookmarkStart w:id="9809" w:name="_Caption0965"/>
      <w:bookmarkStart w:id="9810" w:name="_Caption7233"/>
      <w:bookmarkStart w:id="9811" w:name="_Caption6162"/>
      <w:bookmarkStart w:id="9812" w:name="_Caption7243"/>
      <w:bookmarkStart w:id="9813" w:name="_Caption7298"/>
      <w:bookmarkStart w:id="9814" w:name="_Caption1430"/>
      <w:bookmarkStart w:id="9815" w:name="_Toc529870026"/>
      <w:bookmarkStart w:id="9816" w:name="_Toc530748522"/>
      <w:r w:rsidR="00EA42ED">
        <w:rPr>
          <w:noProof/>
        </w:rPr>
        <w:t>I</w:t>
      </w:r>
      <w:r w:rsidR="00EA42ED" w:rsidRPr="00BF170C">
        <w:rPr>
          <w:noProof/>
        </w:rPr>
        <w:t>.</w:t>
      </w:r>
      <w:r w:rsidR="00EA42ED">
        <w:rPr>
          <w:noProof/>
        </w:rPr>
        <w:t>12</w:t>
      </w:r>
      <w:bookmarkEnd w:id="9748"/>
      <w:bookmarkEnd w:id="9749"/>
      <w:bookmarkEnd w:id="9750"/>
      <w:bookmarkEnd w:id="9751"/>
      <w:bookmarkEnd w:id="9752"/>
      <w:bookmarkEnd w:id="9753"/>
      <w:bookmarkEnd w:id="9754"/>
      <w:bookmarkEnd w:id="9755"/>
      <w:bookmarkEnd w:id="9756"/>
      <w:bookmarkEnd w:id="9757"/>
      <w:bookmarkEnd w:id="9758"/>
      <w:bookmarkEnd w:id="9759"/>
      <w:bookmarkEnd w:id="9760"/>
      <w:bookmarkEnd w:id="9761"/>
      <w:bookmarkEnd w:id="9762"/>
      <w:bookmarkEnd w:id="9763"/>
      <w:bookmarkEnd w:id="9764"/>
      <w:bookmarkEnd w:id="9765"/>
      <w:bookmarkEnd w:id="9766"/>
      <w:bookmarkEnd w:id="9767"/>
      <w:bookmarkEnd w:id="9768"/>
      <w:bookmarkEnd w:id="9769"/>
      <w:bookmarkEnd w:id="9770"/>
      <w:bookmarkEnd w:id="9771"/>
      <w:bookmarkEnd w:id="9772"/>
      <w:bookmarkEnd w:id="9773"/>
      <w:bookmarkEnd w:id="9774"/>
      <w:bookmarkEnd w:id="9775"/>
      <w:bookmarkEnd w:id="9776"/>
      <w:bookmarkEnd w:id="9777"/>
      <w:bookmarkEnd w:id="9778"/>
      <w:bookmarkEnd w:id="9779"/>
      <w:bookmarkEnd w:id="9780"/>
      <w:bookmarkEnd w:id="9781"/>
      <w:bookmarkEnd w:id="9782"/>
      <w:bookmarkEnd w:id="9783"/>
      <w:bookmarkEnd w:id="9784"/>
      <w:bookmarkEnd w:id="9785"/>
      <w:bookmarkEnd w:id="9786"/>
      <w:bookmarkEnd w:id="9787"/>
      <w:bookmarkEnd w:id="9788"/>
      <w:bookmarkEnd w:id="9789"/>
      <w:bookmarkEnd w:id="9790"/>
      <w:bookmarkEnd w:id="9791"/>
      <w:bookmarkEnd w:id="9792"/>
      <w:bookmarkEnd w:id="9793"/>
      <w:bookmarkEnd w:id="9794"/>
      <w:bookmarkEnd w:id="9795"/>
      <w:bookmarkEnd w:id="9796"/>
      <w:bookmarkEnd w:id="9797"/>
      <w:bookmarkEnd w:id="9798"/>
      <w:bookmarkEnd w:id="9799"/>
      <w:bookmarkEnd w:id="9800"/>
      <w:bookmarkEnd w:id="9801"/>
      <w:bookmarkEnd w:id="9802"/>
      <w:bookmarkEnd w:id="9803"/>
      <w:bookmarkEnd w:id="9804"/>
      <w:bookmarkEnd w:id="9805"/>
      <w:bookmarkEnd w:id="9806"/>
      <w:bookmarkEnd w:id="9807"/>
      <w:bookmarkEnd w:id="9808"/>
      <w:bookmarkEnd w:id="9809"/>
      <w:bookmarkEnd w:id="9810"/>
      <w:bookmarkEnd w:id="9811"/>
      <w:bookmarkEnd w:id="9812"/>
      <w:bookmarkEnd w:id="9813"/>
      <w:bookmarkEnd w:id="9814"/>
      <w:r w:rsidRPr="00BF170C">
        <w:fldChar w:fldCharType="end"/>
      </w:r>
      <w:r w:rsidRPr="00BF170C">
        <w:tab/>
        <w:t>Net benefits to South Australia — high realisation scenario</w:t>
      </w:r>
      <w:bookmarkEnd w:id="9815"/>
      <w:bookmarkEnd w:id="9816"/>
    </w:p>
    <w:tbl>
      <w:tblPr>
        <w:tblW w:w="7937" w:type="dxa"/>
        <w:tblLayout w:type="fixed"/>
        <w:tblLook w:val="0000" w:firstRow="0" w:lastRow="0" w:firstColumn="0" w:lastColumn="0" w:noHBand="0" w:noVBand="0"/>
        <w:tblCaption w:val="Table I.12: Net benefits to South Australia - high realisation scenario"/>
        <w:tblDescription w:val="This table shows the net benefits under a high realisation scenario of the proposed changes to NCC 2019 in South Australia. "/>
      </w:tblPr>
      <w:tblGrid>
        <w:gridCol w:w="2456"/>
        <w:gridCol w:w="783"/>
        <w:gridCol w:w="783"/>
        <w:gridCol w:w="783"/>
        <w:gridCol w:w="783"/>
        <w:gridCol w:w="783"/>
        <w:gridCol w:w="783"/>
        <w:gridCol w:w="783"/>
      </w:tblGrid>
      <w:tr w:rsidR="00612FD3" w:rsidTr="00301B6D">
        <w:trPr>
          <w:trHeight w:val="230"/>
          <w:tblHeader/>
        </w:trPr>
        <w:tc>
          <w:tcPr>
            <w:tcW w:w="2456" w:type="dxa"/>
            <w:shd w:val="clear" w:color="auto" w:fill="6F6652"/>
            <w:tcMar>
              <w:left w:w="57" w:type="dxa"/>
              <w:right w:w="57" w:type="dxa"/>
            </w:tcMar>
          </w:tcPr>
          <w:p w:rsidR="00612FD3" w:rsidRDefault="00612FD3" w:rsidP="00301B6D">
            <w:pPr>
              <w:pStyle w:val="TableDataColumnHeading"/>
              <w:jc w:val="left"/>
              <w:rPr>
                <w:lang w:val="en-GB"/>
              </w:rPr>
            </w:pP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CZ1</w:t>
            </w: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CZ2</w:t>
            </w: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CZ3</w:t>
            </w: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CZ4</w:t>
            </w: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CZ5</w:t>
            </w: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CZ6</w:t>
            </w: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CZ7</w:t>
            </w:r>
          </w:p>
        </w:tc>
      </w:tr>
      <w:tr w:rsidR="00612FD3" w:rsidTr="00301B6D">
        <w:trPr>
          <w:trHeight w:val="230"/>
          <w:tblHeader/>
        </w:trPr>
        <w:tc>
          <w:tcPr>
            <w:tcW w:w="2456"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jc w:val="left"/>
              <w:rPr>
                <w:lang w:val="en-GB"/>
              </w:rPr>
            </w:pP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r>
      <w:tr w:rsidR="00612FD3" w:rsidTr="00301B6D">
        <w:trPr>
          <w:trHeight w:val="230"/>
        </w:trPr>
        <w:tc>
          <w:tcPr>
            <w:tcW w:w="245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r>
              <w:rPr>
                <w:lang w:val="en-GB"/>
              </w:rPr>
              <w:t>Hotels</w:t>
            </w: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54.93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57.02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57.80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3.13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0.09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2.22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Private costs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1.10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- 4.98</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0.77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BF170C" w:rsidRDefault="00BF170C" w:rsidP="00BF170C">
            <w:pPr>
              <w:pStyle w:val="TableDataEntries"/>
              <w:jc w:val="left"/>
              <w:rPr>
                <w:lang w:val="en-GB"/>
              </w:rPr>
            </w:pPr>
            <w:r>
              <w:rPr>
                <w:lang w:val="en-GB"/>
              </w:rPr>
              <w:t>Net private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xml:space="preserve"> 59.16</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xml:space="preserve"> 52.13</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xml:space="preserve"> 60.79</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10.75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11.16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11.31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0.84</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0.02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0.60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RPr="00BF170C"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BF170C" w:rsidRPr="00BF170C" w:rsidRDefault="00BF170C" w:rsidP="00BF170C">
            <w:pPr>
              <w:pStyle w:val="TableDataEntries"/>
              <w:jc w:val="left"/>
              <w:rPr>
                <w:rFonts w:ascii="Franklin Gothic Demi" w:hAnsi="Franklin Gothic Demi"/>
                <w:lang w:val="en-GB"/>
              </w:rPr>
            </w:pPr>
            <w:r w:rsidRPr="00BF170C">
              <w:rPr>
                <w:rFonts w:ascii="Franklin Gothic Demi" w:hAnsi="Franklin Gothic Demi"/>
                <w:lang w:val="en-GB"/>
              </w:rPr>
              <w:t>Net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70.75</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63.31</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72.69</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BF170C" w:rsidRDefault="00BF170C" w:rsidP="00BF170C">
            <w:pPr>
              <w:pStyle w:val="TableHeading1"/>
              <w:rPr>
                <w:lang w:val="en-GB"/>
              </w:rPr>
            </w:pPr>
            <w:r>
              <w:rPr>
                <w:lang w:val="en-GB"/>
              </w:rPr>
              <w:t>Office building</w:t>
            </w: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17.75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2.32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Private costs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- 11.05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BF170C" w:rsidRDefault="00BF170C" w:rsidP="00BF170C">
            <w:pPr>
              <w:pStyle w:val="TableDataEntries"/>
              <w:jc w:val="left"/>
              <w:rPr>
                <w:lang w:val="en-GB"/>
              </w:rPr>
            </w:pPr>
            <w:r>
              <w:rPr>
                <w:lang w:val="en-GB"/>
              </w:rPr>
              <w:t>Net private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xml:space="preserve"> 9.02</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3.47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0.62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RPr="00BF170C"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BF170C" w:rsidRPr="00BF170C" w:rsidRDefault="00BF170C" w:rsidP="00BF170C">
            <w:pPr>
              <w:pStyle w:val="TableDataEntries"/>
              <w:jc w:val="left"/>
              <w:rPr>
                <w:rFonts w:ascii="Franklin Gothic Demi" w:hAnsi="Franklin Gothic Demi"/>
                <w:lang w:val="en-GB"/>
              </w:rPr>
            </w:pPr>
            <w:r w:rsidRPr="00BF170C">
              <w:rPr>
                <w:rFonts w:ascii="Franklin Gothic Demi" w:hAnsi="Franklin Gothic Demi"/>
                <w:lang w:val="en-GB"/>
              </w:rPr>
              <w:t>Net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13.11</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BF170C" w:rsidRDefault="00BF170C" w:rsidP="00BF170C">
            <w:pPr>
              <w:pStyle w:val="TableHeading1"/>
              <w:rPr>
                <w:lang w:val="en-GB"/>
              </w:rPr>
            </w:pPr>
            <w:r>
              <w:rPr>
                <w:lang w:val="en-GB"/>
              </w:rPr>
              <w:t>Retail</w:t>
            </w: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68.34</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82.67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71.49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- 7.90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- 4.31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- 17.32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Private costs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- 18.60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- 7.22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- 10.36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BF170C" w:rsidRDefault="00BF170C" w:rsidP="00BF170C">
            <w:pPr>
              <w:pStyle w:val="TableDataEntries"/>
              <w:jc w:val="left"/>
              <w:rPr>
                <w:lang w:val="en-GB"/>
              </w:rPr>
            </w:pPr>
            <w:r>
              <w:rPr>
                <w:lang w:val="en-GB"/>
              </w:rPr>
              <w:t>Net private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xml:space="preserve"> 41.83</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xml:space="preserve"> 71.14</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xml:space="preserve"> 43.81</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13.37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16.18</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13.99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- 2.12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- 1.16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- 4.65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RPr="00BF170C"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BF170C" w:rsidRPr="00BF170C" w:rsidRDefault="00BF170C" w:rsidP="00BF170C">
            <w:pPr>
              <w:pStyle w:val="TableDataEntries"/>
              <w:jc w:val="left"/>
              <w:rPr>
                <w:rFonts w:ascii="Franklin Gothic Demi" w:hAnsi="Franklin Gothic Demi"/>
                <w:lang w:val="en-GB"/>
              </w:rPr>
            </w:pPr>
            <w:r w:rsidRPr="00BF170C">
              <w:rPr>
                <w:rFonts w:ascii="Franklin Gothic Demi" w:hAnsi="Franklin Gothic Demi"/>
                <w:lang w:val="en-GB"/>
              </w:rPr>
              <w:t>Net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53.08</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86.16</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53.14</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BF170C" w:rsidRDefault="00BF170C" w:rsidP="00BF170C">
            <w:pPr>
              <w:pStyle w:val="TableHeading1"/>
              <w:rPr>
                <w:lang w:val="en-GB"/>
              </w:rPr>
            </w:pPr>
            <w:r>
              <w:rPr>
                <w:lang w:val="en-GB"/>
              </w:rPr>
              <w:t>Healthcare</w:t>
            </w: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26.26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24.89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14.16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- 0.43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- 0.14</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- 8.57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Private costs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- 17.49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- 16.23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- 26.49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BF170C" w:rsidRDefault="00BF170C" w:rsidP="00BF170C">
            <w:pPr>
              <w:pStyle w:val="TableDataEntries"/>
              <w:jc w:val="left"/>
              <w:rPr>
                <w:lang w:val="en-GB"/>
              </w:rPr>
            </w:pPr>
            <w:r>
              <w:rPr>
                <w:lang w:val="en-GB"/>
              </w:rPr>
              <w:t>Net private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xml:space="preserve"> 8.34</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xml:space="preserve"> 8.53</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- 20.90</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5.14</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4.87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2.77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- 0.11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- 0.04</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- 2.30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RPr="00BF170C"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BF170C" w:rsidRPr="00BF170C" w:rsidRDefault="00BF170C" w:rsidP="00BF170C">
            <w:pPr>
              <w:pStyle w:val="TableDataEntries"/>
              <w:jc w:val="left"/>
              <w:rPr>
                <w:rFonts w:ascii="Franklin Gothic Demi" w:hAnsi="Franklin Gothic Demi"/>
                <w:lang w:val="en-GB"/>
              </w:rPr>
            </w:pPr>
            <w:r w:rsidRPr="00BF170C">
              <w:rPr>
                <w:rFonts w:ascii="Franklin Gothic Demi" w:hAnsi="Franklin Gothic Demi"/>
                <w:lang w:val="en-GB"/>
              </w:rPr>
              <w:t>Net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13.37</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13.36</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- 20.43</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BF170C" w:rsidRDefault="00BF170C" w:rsidP="00BF170C">
            <w:pPr>
              <w:pStyle w:val="TableHeading1"/>
              <w:rPr>
                <w:lang w:val="en-GB"/>
              </w:rPr>
            </w:pPr>
            <w:r>
              <w:rPr>
                <w:lang w:val="en-GB"/>
              </w:rPr>
              <w:t>School</w:t>
            </w: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55.43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40.72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45.28</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9.57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5.40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11.32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Private costs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- 17.65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- 18.10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- 7.71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BF170C" w:rsidRDefault="00BF170C" w:rsidP="00BF170C">
            <w:pPr>
              <w:pStyle w:val="TableDataEntries"/>
              <w:jc w:val="left"/>
              <w:rPr>
                <w:lang w:val="en-GB"/>
              </w:rPr>
            </w:pPr>
            <w:r>
              <w:rPr>
                <w:lang w:val="en-GB"/>
              </w:rPr>
              <w:t>Net private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xml:space="preserve"> 47.35</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xml:space="preserve"> 28.02</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xml:space="preserve"> 48.88</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10.84</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7.97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8.86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2.57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1.45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3.04</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RPr="00BF170C" w:rsidTr="00301B6D">
        <w:trPr>
          <w:trHeight w:val="230"/>
        </w:trPr>
        <w:tc>
          <w:tcPr>
            <w:tcW w:w="2456"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rsidR="00BF170C" w:rsidRPr="00BF170C" w:rsidRDefault="00BF170C" w:rsidP="00BF170C">
            <w:pPr>
              <w:pStyle w:val="TableDataEntries"/>
              <w:jc w:val="left"/>
              <w:rPr>
                <w:rFonts w:ascii="Franklin Gothic Demi" w:hAnsi="Franklin Gothic Demi"/>
                <w:lang w:val="en-GB"/>
              </w:rPr>
            </w:pPr>
            <w:r w:rsidRPr="00BF170C">
              <w:rPr>
                <w:rFonts w:ascii="Franklin Gothic Demi" w:hAnsi="Franklin Gothic Demi"/>
                <w:lang w:val="en-GB"/>
              </w:rPr>
              <w:t>Net benefit/cost</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60.76</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37.43</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60.78</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r>
    </w:tbl>
    <w:p w:rsidR="00612FD3" w:rsidRDefault="00612FD3" w:rsidP="00612FD3">
      <w:pPr>
        <w:pStyle w:val="Note"/>
        <w:rPr>
          <w:lang w:bidi="fa-IR"/>
        </w:rPr>
      </w:pPr>
      <w:r w:rsidRPr="007D1B4F">
        <w:rPr>
          <w:i/>
        </w:rPr>
        <w:t>Note:</w:t>
      </w:r>
      <w:r w:rsidRPr="00E879B8">
        <w:t xml:space="preserve"> </w:t>
      </w:r>
      <w:r>
        <w:t>Costs and benefits are estimated over the assumed 40 year life of the building, using a discount rate of 7 per cent.</w:t>
      </w:r>
    </w:p>
    <w:p w:rsidR="00612FD3" w:rsidRDefault="00612FD3" w:rsidP="00612FD3">
      <w:pPr>
        <w:pStyle w:val="Source"/>
        <w:rPr>
          <w:lang w:bidi="fa-IR"/>
        </w:rPr>
      </w:pPr>
      <w:r w:rsidRPr="00C6138D">
        <w:rPr>
          <w:i/>
          <w:lang w:bidi="fa-IR"/>
        </w:rPr>
        <w:t>Source:</w:t>
      </w:r>
      <w:r>
        <w:rPr>
          <w:lang w:bidi="fa-IR"/>
        </w:rPr>
        <w:t xml:space="preserve"> CIE based on </w:t>
      </w:r>
      <w:r w:rsidR="00EB5964">
        <w:rPr>
          <w:lang w:bidi="fa-IR"/>
        </w:rPr>
        <w:t>EA</w:t>
      </w:r>
      <w:r>
        <w:rPr>
          <w:lang w:bidi="fa-IR"/>
        </w:rPr>
        <w:t xml:space="preserve"> modelling.</w:t>
      </w:r>
    </w:p>
    <w:p w:rsidR="00612FD3" w:rsidRDefault="00612FD3" w:rsidP="00612FD3">
      <w:pPr>
        <w:pStyle w:val="Heading7"/>
        <w:numPr>
          <w:ilvl w:val="6"/>
          <w:numId w:val="5"/>
        </w:numPr>
      </w:pPr>
      <w:r>
        <w:t>Western Australia</w:t>
      </w:r>
    </w:p>
    <w:p w:rsidR="00612FD3" w:rsidRDefault="00612FD3" w:rsidP="00612FD3">
      <w:pPr>
        <w:pStyle w:val="Caption"/>
      </w:pPr>
      <w:r w:rsidRPr="00BF170C">
        <w:fldChar w:fldCharType="begin"/>
      </w:r>
      <w:r w:rsidRPr="00BF170C">
        <w:instrText xml:space="preserve"> IF 1 = 1 "</w:instrText>
      </w:r>
      <w:r w:rsidRPr="00BF170C">
        <w:fldChar w:fldCharType="begin"/>
      </w:r>
      <w:r w:rsidRPr="00BF170C">
        <w:instrText xml:space="preserve"> IF </w:instrText>
      </w:r>
      <w:r w:rsidRPr="00BF170C">
        <w:rPr>
          <w:noProof/>
        </w:rPr>
        <w:fldChar w:fldCharType="begin"/>
      </w:r>
      <w:r w:rsidRPr="00BF170C">
        <w:rPr>
          <w:noProof/>
        </w:rPr>
        <w:instrText xml:space="preserve"> STYLEREF "Heading 6" \l \n </w:instrText>
      </w:r>
      <w:r w:rsidRPr="00BF170C">
        <w:rPr>
          <w:noProof/>
        </w:rPr>
        <w:fldChar w:fldCharType="separate"/>
      </w:r>
      <w:r w:rsidR="00B833F1">
        <w:rPr>
          <w:noProof/>
        </w:rPr>
        <w:instrText>I</w:instrText>
      </w:r>
      <w:r w:rsidRPr="00BF170C">
        <w:rPr>
          <w:noProof/>
        </w:rPr>
        <w:fldChar w:fldCharType="end"/>
      </w:r>
      <w:r w:rsidRPr="00BF170C">
        <w:instrText xml:space="preserve"> = 0 "</w:instrText>
      </w:r>
      <w:r w:rsidRPr="00BF170C">
        <w:fldChar w:fldCharType="begin"/>
      </w:r>
      <w:r w:rsidRPr="00BF170C">
        <w:instrText xml:space="preserve"> IF </w:instrText>
      </w:r>
      <w:r w:rsidRPr="00BF170C">
        <w:rPr>
          <w:noProof/>
        </w:rPr>
        <w:fldChar w:fldCharType="begin"/>
      </w:r>
      <w:r w:rsidRPr="00BF170C">
        <w:rPr>
          <w:noProof/>
        </w:rPr>
        <w:instrText xml:space="preserve"> STYLEREF "Heading 1" \l \n </w:instrText>
      </w:r>
      <w:r w:rsidRPr="00BF170C">
        <w:rPr>
          <w:noProof/>
        </w:rPr>
        <w:fldChar w:fldCharType="separate"/>
      </w:r>
      <w:r w:rsidRPr="00BF170C">
        <w:rPr>
          <w:noProof/>
        </w:rPr>
        <w:instrText>1</w:instrText>
      </w:r>
      <w:r w:rsidRPr="00BF170C">
        <w:rPr>
          <w:noProof/>
        </w:rPr>
        <w:fldChar w:fldCharType="end"/>
      </w:r>
      <w:r w:rsidRPr="00BF170C">
        <w:instrText xml:space="preserve"> = 0 "" "</w:instrText>
      </w:r>
      <w:r w:rsidRPr="00BF170C">
        <w:rPr>
          <w:noProof/>
        </w:rPr>
        <w:fldChar w:fldCharType="begin"/>
      </w:r>
      <w:r w:rsidRPr="00BF170C">
        <w:rPr>
          <w:noProof/>
        </w:rPr>
        <w:instrText xml:space="preserve"> STYLEREF "Heading 1" \l \n </w:instrText>
      </w:r>
      <w:r w:rsidRPr="00BF170C">
        <w:rPr>
          <w:noProof/>
        </w:rPr>
        <w:fldChar w:fldCharType="separate"/>
      </w:r>
      <w:r w:rsidRPr="00BF170C">
        <w:rPr>
          <w:noProof/>
        </w:rPr>
        <w:instrText>1</w:instrText>
      </w:r>
      <w:r w:rsidRPr="00BF170C">
        <w:rPr>
          <w:noProof/>
        </w:rPr>
        <w:fldChar w:fldCharType="end"/>
      </w:r>
      <w:r w:rsidRPr="00BF170C">
        <w:instrText xml:space="preserve">." </w:instrText>
      </w:r>
      <w:r w:rsidRPr="00BF170C">
        <w:fldChar w:fldCharType="separate"/>
      </w:r>
      <w:r w:rsidRPr="00BF170C">
        <w:rPr>
          <w:noProof/>
        </w:rPr>
        <w:instrText>1.</w:instrText>
      </w:r>
      <w:r w:rsidRPr="00BF170C">
        <w:fldChar w:fldCharType="end"/>
      </w:r>
      <w:r w:rsidRPr="00BF170C">
        <w:instrText>" "</w:instrText>
      </w:r>
      <w:r w:rsidRPr="00BF170C">
        <w:rPr>
          <w:noProof/>
        </w:rPr>
        <w:fldChar w:fldCharType="begin"/>
      </w:r>
      <w:r w:rsidRPr="00BF170C">
        <w:rPr>
          <w:noProof/>
        </w:rPr>
        <w:instrText xml:space="preserve"> STYLEREF "Heading 6" \l \n </w:instrText>
      </w:r>
      <w:r w:rsidRPr="00BF170C">
        <w:rPr>
          <w:noProof/>
        </w:rPr>
        <w:fldChar w:fldCharType="separate"/>
      </w:r>
      <w:r w:rsidR="00B833F1">
        <w:rPr>
          <w:noProof/>
        </w:rPr>
        <w:instrText>I</w:instrText>
      </w:r>
      <w:r w:rsidRPr="00BF170C">
        <w:rPr>
          <w:noProof/>
        </w:rPr>
        <w:fldChar w:fldCharType="end"/>
      </w:r>
      <w:r w:rsidRPr="00BF170C">
        <w:instrText xml:space="preserve">." </w:instrText>
      </w:r>
      <w:r w:rsidRPr="00BF170C">
        <w:fldChar w:fldCharType="separate"/>
      </w:r>
      <w:r w:rsidR="00B833F1">
        <w:rPr>
          <w:noProof/>
        </w:rPr>
        <w:instrText>I</w:instrText>
      </w:r>
      <w:r w:rsidR="00B833F1" w:rsidRPr="00BF170C">
        <w:rPr>
          <w:noProof/>
        </w:rPr>
        <w:instrText>.</w:instrText>
      </w:r>
      <w:r w:rsidRPr="00BF170C">
        <w:fldChar w:fldCharType="end"/>
      </w:r>
      <w:r w:rsidRPr="00BF170C">
        <w:fldChar w:fldCharType="begin"/>
      </w:r>
      <w:r w:rsidRPr="00BF170C">
        <w:instrText xml:space="preserve"> SEQ Item \* ARABIC \s </w:instrText>
      </w:r>
      <w:r w:rsidRPr="00BF170C">
        <w:fldChar w:fldCharType="begin"/>
      </w:r>
      <w:r w:rsidRPr="00BF170C">
        <w:instrText xml:space="preserve"> IF </w:instrText>
      </w:r>
      <w:r w:rsidRPr="00BF170C">
        <w:rPr>
          <w:noProof/>
        </w:rPr>
        <w:fldChar w:fldCharType="begin"/>
      </w:r>
      <w:r w:rsidRPr="00BF170C">
        <w:rPr>
          <w:noProof/>
        </w:rPr>
        <w:instrText xml:space="preserve"> STYLEREF "Heading 6" \l \n </w:instrText>
      </w:r>
      <w:r w:rsidRPr="00BF170C">
        <w:rPr>
          <w:noProof/>
        </w:rPr>
        <w:fldChar w:fldCharType="separate"/>
      </w:r>
      <w:r w:rsidR="00B833F1">
        <w:rPr>
          <w:noProof/>
        </w:rPr>
        <w:instrText>I</w:instrText>
      </w:r>
      <w:r w:rsidRPr="00BF170C">
        <w:rPr>
          <w:noProof/>
        </w:rPr>
        <w:fldChar w:fldCharType="end"/>
      </w:r>
      <w:r w:rsidRPr="00BF170C">
        <w:instrText xml:space="preserve"> = 0 "</w:instrText>
      </w:r>
      <w:r w:rsidRPr="00BF170C">
        <w:fldChar w:fldCharType="begin"/>
      </w:r>
      <w:r w:rsidRPr="00BF170C">
        <w:instrText xml:space="preserve"> IF </w:instrText>
      </w:r>
      <w:r w:rsidRPr="00BF170C">
        <w:rPr>
          <w:noProof/>
        </w:rPr>
        <w:fldChar w:fldCharType="begin"/>
      </w:r>
      <w:r w:rsidRPr="00BF170C">
        <w:rPr>
          <w:noProof/>
        </w:rPr>
        <w:instrText xml:space="preserve"> STYLEREF "Heading 1" \l \n </w:instrText>
      </w:r>
      <w:r w:rsidRPr="00BF170C">
        <w:rPr>
          <w:noProof/>
        </w:rPr>
        <w:fldChar w:fldCharType="separate"/>
      </w:r>
      <w:r w:rsidRPr="00BF170C">
        <w:rPr>
          <w:noProof/>
        </w:rPr>
        <w:instrText>1</w:instrText>
      </w:r>
      <w:r w:rsidRPr="00BF170C">
        <w:rPr>
          <w:noProof/>
        </w:rPr>
        <w:fldChar w:fldCharType="end"/>
      </w:r>
      <w:r w:rsidRPr="00BF170C">
        <w:instrText xml:space="preserve"> = 0 "" "1" </w:instrText>
      </w:r>
      <w:r w:rsidRPr="00BF170C">
        <w:fldChar w:fldCharType="separate"/>
      </w:r>
      <w:r w:rsidRPr="00BF170C">
        <w:rPr>
          <w:noProof/>
        </w:rPr>
        <w:instrText>1</w:instrText>
      </w:r>
      <w:r w:rsidRPr="00BF170C">
        <w:fldChar w:fldCharType="end"/>
      </w:r>
      <w:r w:rsidRPr="00BF170C">
        <w:instrText xml:space="preserve">" "6" </w:instrText>
      </w:r>
      <w:r w:rsidRPr="00BF170C">
        <w:fldChar w:fldCharType="separate"/>
      </w:r>
      <w:r w:rsidR="00B833F1" w:rsidRPr="00BF170C">
        <w:rPr>
          <w:noProof/>
        </w:rPr>
        <w:instrText>6</w:instrText>
      </w:r>
      <w:r w:rsidRPr="00BF170C">
        <w:fldChar w:fldCharType="end"/>
      </w:r>
      <w:r w:rsidRPr="00BF170C">
        <w:instrText xml:space="preserve"> </w:instrText>
      </w:r>
      <w:r w:rsidRPr="00BF170C">
        <w:fldChar w:fldCharType="separate"/>
      </w:r>
      <w:r w:rsidR="00B833F1">
        <w:rPr>
          <w:noProof/>
        </w:rPr>
        <w:instrText>13</w:instrText>
      </w:r>
      <w:r w:rsidRPr="00BF170C">
        <w:fldChar w:fldCharType="end"/>
      </w:r>
      <w:r w:rsidRPr="00BF170C">
        <w:instrText xml:space="preserve">" "" </w:instrText>
      </w:r>
      <w:r w:rsidRPr="00BF170C">
        <w:fldChar w:fldCharType="separate"/>
      </w:r>
      <w:bookmarkStart w:id="9817" w:name="_Caption5567"/>
      <w:bookmarkStart w:id="9818" w:name="_Caption4831"/>
      <w:bookmarkStart w:id="9819" w:name="_Caption7942"/>
      <w:bookmarkStart w:id="9820" w:name="_Caption1129"/>
      <w:bookmarkStart w:id="9821" w:name="_Caption0012"/>
      <w:bookmarkStart w:id="9822" w:name="_Caption6269"/>
      <w:bookmarkStart w:id="9823" w:name="_Caption4757"/>
      <w:bookmarkStart w:id="9824" w:name="_Caption0110"/>
      <w:bookmarkStart w:id="9825" w:name="_Caption5223"/>
      <w:bookmarkStart w:id="9826" w:name="_Caption8588"/>
      <w:bookmarkStart w:id="9827" w:name="_Caption0842"/>
      <w:bookmarkStart w:id="9828" w:name="_Caption1704"/>
      <w:bookmarkStart w:id="9829" w:name="_Caption0281"/>
      <w:bookmarkStart w:id="9830" w:name="_Caption5868"/>
      <w:bookmarkStart w:id="9831" w:name="_Caption7435"/>
      <w:bookmarkStart w:id="9832" w:name="_Caption6403"/>
      <w:bookmarkStart w:id="9833" w:name="_Caption7198"/>
      <w:bookmarkStart w:id="9834" w:name="_Caption0568"/>
      <w:bookmarkStart w:id="9835" w:name="_Caption3780"/>
      <w:bookmarkStart w:id="9836" w:name="_Caption4723"/>
      <w:bookmarkStart w:id="9837" w:name="_Caption9138"/>
      <w:bookmarkStart w:id="9838" w:name="_Caption5482"/>
      <w:bookmarkStart w:id="9839" w:name="_Caption9790"/>
      <w:bookmarkStart w:id="9840" w:name="_Caption5066"/>
      <w:bookmarkStart w:id="9841" w:name="_Caption7465"/>
      <w:bookmarkStart w:id="9842" w:name="_Caption0451"/>
      <w:bookmarkStart w:id="9843" w:name="_Caption1256"/>
      <w:bookmarkStart w:id="9844" w:name="_Caption1973"/>
      <w:bookmarkStart w:id="9845" w:name="_Caption0718"/>
      <w:bookmarkStart w:id="9846" w:name="_Caption6235"/>
      <w:bookmarkStart w:id="9847" w:name="_Caption7575"/>
      <w:bookmarkStart w:id="9848" w:name="_Caption8707"/>
      <w:bookmarkStart w:id="9849" w:name="_Caption5634"/>
      <w:bookmarkStart w:id="9850" w:name="_Caption3957"/>
      <w:bookmarkStart w:id="9851" w:name="_Caption5420"/>
      <w:bookmarkStart w:id="9852" w:name="_Caption9173"/>
      <w:bookmarkStart w:id="9853" w:name="_Caption3392"/>
      <w:bookmarkStart w:id="9854" w:name="_Caption2446"/>
      <w:bookmarkStart w:id="9855" w:name="_Caption9285"/>
      <w:bookmarkStart w:id="9856" w:name="_Caption6712"/>
      <w:bookmarkStart w:id="9857" w:name="_Caption9528"/>
      <w:bookmarkStart w:id="9858" w:name="_Caption2283"/>
      <w:bookmarkStart w:id="9859" w:name="_Caption8824"/>
      <w:bookmarkStart w:id="9860" w:name="_Caption0782"/>
      <w:bookmarkStart w:id="9861" w:name="_Caption7210"/>
      <w:bookmarkStart w:id="9862" w:name="_Caption7892"/>
      <w:bookmarkStart w:id="9863" w:name="_Caption4107"/>
      <w:bookmarkStart w:id="9864" w:name="_Caption1453"/>
      <w:bookmarkStart w:id="9865" w:name="_Caption0760"/>
      <w:bookmarkStart w:id="9866" w:name="_Caption8440"/>
      <w:bookmarkStart w:id="9867" w:name="_Caption0538"/>
      <w:bookmarkStart w:id="9868" w:name="_Caption3353"/>
      <w:bookmarkStart w:id="9869" w:name="_Caption3510"/>
      <w:bookmarkStart w:id="9870" w:name="_Caption5570"/>
      <w:bookmarkStart w:id="9871" w:name="_Caption1476"/>
      <w:bookmarkStart w:id="9872" w:name="_Caption9979"/>
      <w:bookmarkStart w:id="9873" w:name="_Caption9316"/>
      <w:bookmarkStart w:id="9874" w:name="_Caption1455"/>
      <w:bookmarkStart w:id="9875" w:name="_Caption8145"/>
      <w:bookmarkStart w:id="9876" w:name="_Caption7852"/>
      <w:bookmarkStart w:id="9877" w:name="_Caption9457"/>
      <w:bookmarkStart w:id="9878" w:name="_Caption9434"/>
      <w:bookmarkStart w:id="9879" w:name="_Caption6664"/>
      <w:bookmarkStart w:id="9880" w:name="_Caption2870"/>
      <w:bookmarkStart w:id="9881" w:name="_Caption7609"/>
      <w:bookmarkStart w:id="9882" w:name="_Caption3381"/>
      <w:bookmarkStart w:id="9883" w:name="_Caption3972"/>
      <w:bookmarkStart w:id="9884" w:name="_Toc529870027"/>
      <w:bookmarkStart w:id="9885" w:name="_Toc530748523"/>
      <w:r w:rsidR="00EA42ED">
        <w:rPr>
          <w:noProof/>
        </w:rPr>
        <w:t>I</w:t>
      </w:r>
      <w:r w:rsidR="00EA42ED" w:rsidRPr="00BF170C">
        <w:rPr>
          <w:noProof/>
        </w:rPr>
        <w:t>.</w:t>
      </w:r>
      <w:r w:rsidR="00EA42ED">
        <w:rPr>
          <w:noProof/>
        </w:rPr>
        <w:t>13</w:t>
      </w:r>
      <w:bookmarkEnd w:id="9817"/>
      <w:bookmarkEnd w:id="9818"/>
      <w:bookmarkEnd w:id="9819"/>
      <w:bookmarkEnd w:id="9820"/>
      <w:bookmarkEnd w:id="9821"/>
      <w:bookmarkEnd w:id="9822"/>
      <w:bookmarkEnd w:id="9823"/>
      <w:bookmarkEnd w:id="9824"/>
      <w:bookmarkEnd w:id="9825"/>
      <w:bookmarkEnd w:id="9826"/>
      <w:bookmarkEnd w:id="9827"/>
      <w:bookmarkEnd w:id="9828"/>
      <w:bookmarkEnd w:id="9829"/>
      <w:bookmarkEnd w:id="9830"/>
      <w:bookmarkEnd w:id="9831"/>
      <w:bookmarkEnd w:id="9832"/>
      <w:bookmarkEnd w:id="9833"/>
      <w:bookmarkEnd w:id="9834"/>
      <w:bookmarkEnd w:id="9835"/>
      <w:bookmarkEnd w:id="9836"/>
      <w:bookmarkEnd w:id="9837"/>
      <w:bookmarkEnd w:id="9838"/>
      <w:bookmarkEnd w:id="9839"/>
      <w:bookmarkEnd w:id="9840"/>
      <w:bookmarkEnd w:id="9841"/>
      <w:bookmarkEnd w:id="9842"/>
      <w:bookmarkEnd w:id="9843"/>
      <w:bookmarkEnd w:id="9844"/>
      <w:bookmarkEnd w:id="9845"/>
      <w:bookmarkEnd w:id="9846"/>
      <w:bookmarkEnd w:id="9847"/>
      <w:bookmarkEnd w:id="9848"/>
      <w:bookmarkEnd w:id="9849"/>
      <w:bookmarkEnd w:id="9850"/>
      <w:bookmarkEnd w:id="9851"/>
      <w:bookmarkEnd w:id="9852"/>
      <w:bookmarkEnd w:id="9853"/>
      <w:bookmarkEnd w:id="9854"/>
      <w:bookmarkEnd w:id="9855"/>
      <w:bookmarkEnd w:id="9856"/>
      <w:bookmarkEnd w:id="9857"/>
      <w:bookmarkEnd w:id="9858"/>
      <w:bookmarkEnd w:id="9859"/>
      <w:bookmarkEnd w:id="9860"/>
      <w:bookmarkEnd w:id="9861"/>
      <w:bookmarkEnd w:id="9862"/>
      <w:bookmarkEnd w:id="9863"/>
      <w:bookmarkEnd w:id="9864"/>
      <w:bookmarkEnd w:id="9865"/>
      <w:bookmarkEnd w:id="9866"/>
      <w:bookmarkEnd w:id="9867"/>
      <w:bookmarkEnd w:id="9868"/>
      <w:bookmarkEnd w:id="9869"/>
      <w:bookmarkEnd w:id="9870"/>
      <w:bookmarkEnd w:id="9871"/>
      <w:bookmarkEnd w:id="9872"/>
      <w:bookmarkEnd w:id="9873"/>
      <w:bookmarkEnd w:id="9874"/>
      <w:bookmarkEnd w:id="9875"/>
      <w:bookmarkEnd w:id="9876"/>
      <w:bookmarkEnd w:id="9877"/>
      <w:bookmarkEnd w:id="9878"/>
      <w:bookmarkEnd w:id="9879"/>
      <w:bookmarkEnd w:id="9880"/>
      <w:bookmarkEnd w:id="9881"/>
      <w:bookmarkEnd w:id="9882"/>
      <w:bookmarkEnd w:id="9883"/>
      <w:r w:rsidRPr="00BF170C">
        <w:fldChar w:fldCharType="end"/>
      </w:r>
      <w:r w:rsidRPr="00BF170C">
        <w:tab/>
        <w:t>Net benefits to Western Australia — low realisation scenario</w:t>
      </w:r>
      <w:bookmarkEnd w:id="9884"/>
      <w:bookmarkEnd w:id="9885"/>
    </w:p>
    <w:tbl>
      <w:tblPr>
        <w:tblW w:w="7937" w:type="dxa"/>
        <w:tblLayout w:type="fixed"/>
        <w:tblLook w:val="0000" w:firstRow="0" w:lastRow="0" w:firstColumn="0" w:lastColumn="0" w:noHBand="0" w:noVBand="0"/>
        <w:tblCaption w:val="Table I.13: Net benefits to Western Australia - low realisation scenario"/>
        <w:tblDescription w:val="This table shows the net benefits under a low realisation scenario of the proposed changes to NCC 2019 in Western Australia. "/>
      </w:tblPr>
      <w:tblGrid>
        <w:gridCol w:w="2456"/>
        <w:gridCol w:w="783"/>
        <w:gridCol w:w="783"/>
        <w:gridCol w:w="783"/>
        <w:gridCol w:w="783"/>
        <w:gridCol w:w="783"/>
        <w:gridCol w:w="783"/>
        <w:gridCol w:w="783"/>
      </w:tblGrid>
      <w:tr w:rsidR="00612FD3" w:rsidTr="00301B6D">
        <w:trPr>
          <w:trHeight w:val="230"/>
          <w:tblHeader/>
        </w:trPr>
        <w:tc>
          <w:tcPr>
            <w:tcW w:w="2456" w:type="dxa"/>
            <w:shd w:val="clear" w:color="auto" w:fill="6F6652"/>
            <w:tcMar>
              <w:left w:w="57" w:type="dxa"/>
              <w:right w:w="57" w:type="dxa"/>
            </w:tcMar>
          </w:tcPr>
          <w:p w:rsidR="00612FD3" w:rsidRDefault="00612FD3" w:rsidP="00301B6D">
            <w:pPr>
              <w:pStyle w:val="TableDataColumnHeading"/>
              <w:jc w:val="left"/>
              <w:rPr>
                <w:lang w:val="en-GB"/>
              </w:rPr>
            </w:pP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CZ1</w:t>
            </w: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CZ2</w:t>
            </w: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CZ3</w:t>
            </w: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CZ4</w:t>
            </w: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CZ5</w:t>
            </w: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CZ6</w:t>
            </w: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CZ7</w:t>
            </w:r>
          </w:p>
        </w:tc>
      </w:tr>
      <w:tr w:rsidR="00612FD3" w:rsidTr="00301B6D">
        <w:trPr>
          <w:trHeight w:val="230"/>
          <w:tblHeader/>
        </w:trPr>
        <w:tc>
          <w:tcPr>
            <w:tcW w:w="2456"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jc w:val="left"/>
              <w:rPr>
                <w:lang w:val="en-GB"/>
              </w:rPr>
            </w:pP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r>
      <w:tr w:rsidR="00612FD3" w:rsidTr="00301B6D">
        <w:trPr>
          <w:trHeight w:val="230"/>
        </w:trPr>
        <w:tc>
          <w:tcPr>
            <w:tcW w:w="245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r>
              <w:rPr>
                <w:lang w:val="en-GB"/>
              </w:rPr>
              <w:t>Hotels</w:t>
            </w: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16.39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26.67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27.56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28.61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29.00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0.00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0.03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0.95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0.03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0.67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Private costs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10.26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0.97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1.10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- 4.98</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0.77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BF170C" w:rsidRDefault="00BF170C" w:rsidP="00BF170C">
            <w:pPr>
              <w:pStyle w:val="TableDataEntries"/>
              <w:jc w:val="left"/>
              <w:rPr>
                <w:lang w:val="en-GB"/>
              </w:rPr>
            </w:pPr>
            <w:r>
              <w:rPr>
                <w:lang w:val="en-GB"/>
              </w:rPr>
              <w:t>Net private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xml:space="preserve"> 26.65</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xml:space="preserve"> 27.67</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xml:space="preserve"> 29.61</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xml:space="preserve"> 23.65</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xml:space="preserve"> 30.44</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3.93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6.39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6.61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6.86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6.95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0.00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0.01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0.43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0.01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0.31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RPr="00BF170C"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BF170C" w:rsidRPr="00BF170C" w:rsidRDefault="00BF170C" w:rsidP="00BF170C">
            <w:pPr>
              <w:pStyle w:val="TableDataEntries"/>
              <w:jc w:val="left"/>
              <w:rPr>
                <w:rFonts w:ascii="Franklin Gothic Demi" w:hAnsi="Franklin Gothic Demi"/>
                <w:lang w:val="en-GB"/>
              </w:rPr>
            </w:pPr>
            <w:r w:rsidRPr="00BF170C">
              <w:rPr>
                <w:rFonts w:ascii="Franklin Gothic Demi" w:hAnsi="Franklin Gothic Demi"/>
                <w:lang w:val="en-GB"/>
              </w:rPr>
              <w:t>Net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30.57</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34.07</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36.65</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30.53</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37.70</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BF170C" w:rsidRDefault="00BF170C" w:rsidP="00BF170C">
            <w:pPr>
              <w:pStyle w:val="TableHeading1"/>
              <w:rPr>
                <w:lang w:val="en-GB"/>
              </w:rPr>
            </w:pPr>
            <w:r>
              <w:rPr>
                <w:lang w:val="en-GB"/>
              </w:rPr>
              <w:t>Office building</w:t>
            </w: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8.90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0.70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Private costs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- 11.05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BF170C" w:rsidRDefault="00BF170C" w:rsidP="00BF170C">
            <w:pPr>
              <w:pStyle w:val="TableDataEntries"/>
              <w:jc w:val="left"/>
              <w:rPr>
                <w:lang w:val="en-GB"/>
              </w:rPr>
            </w:pPr>
            <w:r>
              <w:rPr>
                <w:lang w:val="en-GB"/>
              </w:rPr>
              <w:t>Net private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- 1.44</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2.13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0.32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RPr="00BF170C"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BF170C" w:rsidRPr="00BF170C" w:rsidRDefault="00BF170C" w:rsidP="00BF170C">
            <w:pPr>
              <w:pStyle w:val="TableDataEntries"/>
              <w:jc w:val="left"/>
              <w:rPr>
                <w:rFonts w:ascii="Franklin Gothic Demi" w:hAnsi="Franklin Gothic Demi"/>
                <w:lang w:val="en-GB"/>
              </w:rPr>
            </w:pPr>
            <w:r w:rsidRPr="00BF170C">
              <w:rPr>
                <w:rFonts w:ascii="Franklin Gothic Demi" w:hAnsi="Franklin Gothic Demi"/>
                <w:lang w:val="en-GB"/>
              </w:rPr>
              <w:t>Net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1.01</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BF170C" w:rsidRDefault="00BF170C" w:rsidP="00BF170C">
            <w:pPr>
              <w:pStyle w:val="TableHeading1"/>
              <w:rPr>
                <w:lang w:val="en-GB"/>
              </w:rPr>
            </w:pPr>
            <w:r>
              <w:rPr>
                <w:lang w:val="en-GB"/>
              </w:rPr>
              <w:t>Retail</w:t>
            </w: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39.15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40.93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34.29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41.48</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35.87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- 0.01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- 0.64</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- 2.39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- 1.30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- 5.24</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Private costs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- 0.45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- 14.17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- 18.60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- 7.22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- 10.36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BF170C" w:rsidRDefault="00BF170C" w:rsidP="00BF170C">
            <w:pPr>
              <w:pStyle w:val="TableDataEntries"/>
              <w:jc w:val="left"/>
              <w:rPr>
                <w:lang w:val="en-GB"/>
              </w:rPr>
            </w:pPr>
            <w:r>
              <w:rPr>
                <w:lang w:val="en-GB"/>
              </w:rPr>
              <w:t>Net private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xml:space="preserve"> 38.70</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xml:space="preserve"> 26.12</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xml:space="preserve"> 13.30</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xml:space="preserve"> 32.96</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xml:space="preserve"> 20.27</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9.39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9.81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8.22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9.94</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8.60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0.00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- 0.29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- 1.09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- 0.59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- 2.39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RPr="00BF170C"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BF170C" w:rsidRPr="00BF170C" w:rsidRDefault="00BF170C" w:rsidP="00BF170C">
            <w:pPr>
              <w:pStyle w:val="TableDataEntries"/>
              <w:jc w:val="left"/>
              <w:rPr>
                <w:rFonts w:ascii="Franklin Gothic Demi" w:hAnsi="Franklin Gothic Demi"/>
                <w:lang w:val="en-GB"/>
              </w:rPr>
            </w:pPr>
            <w:r w:rsidRPr="00BF170C">
              <w:rPr>
                <w:rFonts w:ascii="Franklin Gothic Demi" w:hAnsi="Franklin Gothic Demi"/>
                <w:lang w:val="en-GB"/>
              </w:rPr>
              <w:t>Net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48.08</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35.64</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20.43</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42.31</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26.48</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BF170C" w:rsidRDefault="00BF170C" w:rsidP="00BF170C">
            <w:pPr>
              <w:pStyle w:val="TableHeading1"/>
              <w:rPr>
                <w:lang w:val="en-GB"/>
              </w:rPr>
            </w:pPr>
            <w:r>
              <w:rPr>
                <w:lang w:val="en-GB"/>
              </w:rPr>
              <w:t>Healthcare</w:t>
            </w: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31.63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23.38</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13.17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12.49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7.11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0.00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0.23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- 0.13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- 0.04</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- 2.59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Private costs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- 14.62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- 15.98</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- 17.49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- 16.23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- 26.49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BF170C" w:rsidRDefault="00BF170C" w:rsidP="00BF170C">
            <w:pPr>
              <w:pStyle w:val="TableDataEntries"/>
              <w:jc w:val="left"/>
              <w:rPr>
                <w:lang w:val="en-GB"/>
              </w:rPr>
            </w:pPr>
            <w:r>
              <w:rPr>
                <w:lang w:val="en-GB"/>
              </w:rPr>
              <w:t>Net private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xml:space="preserve"> 17.00</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xml:space="preserve"> 7.64</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- 4.44</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- 3.78</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- 21.98</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7.58</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5.61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3.16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2.99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1.70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0.00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0.10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- 0.06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- 0.02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- 1.18</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RPr="00BF170C"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BF170C" w:rsidRPr="00BF170C" w:rsidRDefault="00BF170C" w:rsidP="00BF170C">
            <w:pPr>
              <w:pStyle w:val="TableDataEntries"/>
              <w:jc w:val="left"/>
              <w:rPr>
                <w:rFonts w:ascii="Franklin Gothic Demi" w:hAnsi="Franklin Gothic Demi"/>
                <w:lang w:val="en-GB"/>
              </w:rPr>
            </w:pPr>
            <w:r w:rsidRPr="00BF170C">
              <w:rPr>
                <w:rFonts w:ascii="Franklin Gothic Demi" w:hAnsi="Franklin Gothic Demi"/>
                <w:lang w:val="en-GB"/>
              </w:rPr>
              <w:t>Net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24.59</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13.35</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- 1.34</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- 0.81</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- 21.46</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BF170C" w:rsidRDefault="00BF170C" w:rsidP="00BF170C">
            <w:pPr>
              <w:pStyle w:val="TableHeading1"/>
              <w:rPr>
                <w:lang w:val="en-GB"/>
              </w:rPr>
            </w:pPr>
            <w:r>
              <w:rPr>
                <w:lang w:val="en-GB"/>
              </w:rPr>
              <w:t>School</w:t>
            </w: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71.17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44.81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27.81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20.43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22.72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0.02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1.00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2.89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1.63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3.42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Private costs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- 5.61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- 12.16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- 17.65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- 18.10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- 7.71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BF170C" w:rsidRDefault="00BF170C" w:rsidP="00BF170C">
            <w:pPr>
              <w:pStyle w:val="TableDataEntries"/>
              <w:jc w:val="left"/>
              <w:rPr>
                <w:lang w:val="en-GB"/>
              </w:rPr>
            </w:pPr>
            <w:r>
              <w:rPr>
                <w:lang w:val="en-GB"/>
              </w:rPr>
              <w:t>Net private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xml:space="preserve"> 65.58</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xml:space="preserve"> 33.64</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xml:space="preserve"> 13.05</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xml:space="preserve"> 3.96</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xml:space="preserve"> 18.43</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17.06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10.74</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6.67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4.90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5.45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0.01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0.46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1.32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0.74</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1.56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RPr="00BF170C" w:rsidTr="00301B6D">
        <w:trPr>
          <w:trHeight w:val="230"/>
        </w:trPr>
        <w:tc>
          <w:tcPr>
            <w:tcW w:w="2456"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rsidR="00BF170C" w:rsidRPr="00BF170C" w:rsidRDefault="00BF170C" w:rsidP="00BF170C">
            <w:pPr>
              <w:pStyle w:val="TableDataEntries"/>
              <w:jc w:val="left"/>
              <w:rPr>
                <w:rFonts w:ascii="Franklin Gothic Demi" w:hAnsi="Franklin Gothic Demi"/>
                <w:lang w:val="en-GB"/>
              </w:rPr>
            </w:pPr>
            <w:r w:rsidRPr="00BF170C">
              <w:rPr>
                <w:rFonts w:ascii="Franklin Gothic Demi" w:hAnsi="Franklin Gothic Demi"/>
                <w:lang w:val="en-GB"/>
              </w:rPr>
              <w:t>Net benefit/cost</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82.65</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44.84</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21.04</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9.60</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25.44</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r>
    </w:tbl>
    <w:p w:rsidR="00612FD3" w:rsidRDefault="00612FD3" w:rsidP="00612FD3">
      <w:pPr>
        <w:pStyle w:val="Note"/>
        <w:rPr>
          <w:lang w:bidi="fa-IR"/>
        </w:rPr>
      </w:pPr>
      <w:r w:rsidRPr="007D1B4F">
        <w:rPr>
          <w:i/>
        </w:rPr>
        <w:t>Note:</w:t>
      </w:r>
      <w:r w:rsidRPr="00E879B8">
        <w:t xml:space="preserve"> </w:t>
      </w:r>
      <w:r>
        <w:t>Costs and benefits are estimated over the assumed 40 year life of the building, using a discount rate of 7 per cent.</w:t>
      </w:r>
    </w:p>
    <w:p w:rsidR="00612FD3" w:rsidRDefault="00612FD3" w:rsidP="00612FD3">
      <w:pPr>
        <w:pStyle w:val="Source"/>
        <w:rPr>
          <w:lang w:bidi="fa-IR"/>
        </w:rPr>
      </w:pPr>
      <w:r w:rsidRPr="00C6138D">
        <w:rPr>
          <w:i/>
          <w:lang w:bidi="fa-IR"/>
        </w:rPr>
        <w:t>Source:</w:t>
      </w:r>
      <w:r>
        <w:rPr>
          <w:lang w:bidi="fa-IR"/>
        </w:rPr>
        <w:t xml:space="preserve"> CIE based on </w:t>
      </w:r>
      <w:r w:rsidR="00EB5964">
        <w:rPr>
          <w:lang w:bidi="fa-IR"/>
        </w:rPr>
        <w:t>EA</w:t>
      </w:r>
      <w:r>
        <w:rPr>
          <w:lang w:bidi="fa-IR"/>
        </w:rPr>
        <w:t xml:space="preserve"> modelling.</w:t>
      </w:r>
    </w:p>
    <w:p w:rsidR="00612FD3" w:rsidRDefault="00612FD3" w:rsidP="00612FD3">
      <w:pPr>
        <w:pStyle w:val="Caption"/>
      </w:pPr>
      <w:r w:rsidRPr="00BF170C">
        <w:fldChar w:fldCharType="begin"/>
      </w:r>
      <w:r w:rsidRPr="00BF170C">
        <w:instrText xml:space="preserve"> IF 1 = 1 "</w:instrText>
      </w:r>
      <w:r w:rsidRPr="00BF170C">
        <w:fldChar w:fldCharType="begin"/>
      </w:r>
      <w:r w:rsidRPr="00BF170C">
        <w:instrText xml:space="preserve"> IF </w:instrText>
      </w:r>
      <w:r w:rsidRPr="00BF170C">
        <w:rPr>
          <w:noProof/>
        </w:rPr>
        <w:fldChar w:fldCharType="begin"/>
      </w:r>
      <w:r w:rsidRPr="00BF170C">
        <w:rPr>
          <w:noProof/>
        </w:rPr>
        <w:instrText xml:space="preserve"> STYLEREF "Heading 6" \l \n </w:instrText>
      </w:r>
      <w:r w:rsidRPr="00BF170C">
        <w:rPr>
          <w:noProof/>
        </w:rPr>
        <w:fldChar w:fldCharType="separate"/>
      </w:r>
      <w:r w:rsidR="00B833F1">
        <w:rPr>
          <w:noProof/>
        </w:rPr>
        <w:instrText>I</w:instrText>
      </w:r>
      <w:r w:rsidRPr="00BF170C">
        <w:rPr>
          <w:noProof/>
        </w:rPr>
        <w:fldChar w:fldCharType="end"/>
      </w:r>
      <w:r w:rsidRPr="00BF170C">
        <w:instrText xml:space="preserve"> = 0 "</w:instrText>
      </w:r>
      <w:r w:rsidRPr="00BF170C">
        <w:fldChar w:fldCharType="begin"/>
      </w:r>
      <w:r w:rsidRPr="00BF170C">
        <w:instrText xml:space="preserve"> IF </w:instrText>
      </w:r>
      <w:r w:rsidRPr="00BF170C">
        <w:rPr>
          <w:noProof/>
        </w:rPr>
        <w:fldChar w:fldCharType="begin"/>
      </w:r>
      <w:r w:rsidRPr="00BF170C">
        <w:rPr>
          <w:noProof/>
        </w:rPr>
        <w:instrText xml:space="preserve"> STYLEREF "Heading 1" \l \n </w:instrText>
      </w:r>
      <w:r w:rsidRPr="00BF170C">
        <w:rPr>
          <w:noProof/>
        </w:rPr>
        <w:fldChar w:fldCharType="separate"/>
      </w:r>
      <w:r w:rsidRPr="00BF170C">
        <w:rPr>
          <w:noProof/>
        </w:rPr>
        <w:instrText>1</w:instrText>
      </w:r>
      <w:r w:rsidRPr="00BF170C">
        <w:rPr>
          <w:noProof/>
        </w:rPr>
        <w:fldChar w:fldCharType="end"/>
      </w:r>
      <w:r w:rsidRPr="00BF170C">
        <w:instrText xml:space="preserve"> = 0 "" "</w:instrText>
      </w:r>
      <w:r w:rsidRPr="00BF170C">
        <w:rPr>
          <w:noProof/>
        </w:rPr>
        <w:fldChar w:fldCharType="begin"/>
      </w:r>
      <w:r w:rsidRPr="00BF170C">
        <w:rPr>
          <w:noProof/>
        </w:rPr>
        <w:instrText xml:space="preserve"> STYLEREF "Heading 1" \l \n </w:instrText>
      </w:r>
      <w:r w:rsidRPr="00BF170C">
        <w:rPr>
          <w:noProof/>
        </w:rPr>
        <w:fldChar w:fldCharType="separate"/>
      </w:r>
      <w:r w:rsidRPr="00BF170C">
        <w:rPr>
          <w:noProof/>
        </w:rPr>
        <w:instrText>1</w:instrText>
      </w:r>
      <w:r w:rsidRPr="00BF170C">
        <w:rPr>
          <w:noProof/>
        </w:rPr>
        <w:fldChar w:fldCharType="end"/>
      </w:r>
      <w:r w:rsidRPr="00BF170C">
        <w:instrText xml:space="preserve">." </w:instrText>
      </w:r>
      <w:r w:rsidRPr="00BF170C">
        <w:fldChar w:fldCharType="separate"/>
      </w:r>
      <w:r w:rsidRPr="00BF170C">
        <w:rPr>
          <w:noProof/>
        </w:rPr>
        <w:instrText>1.</w:instrText>
      </w:r>
      <w:r w:rsidRPr="00BF170C">
        <w:fldChar w:fldCharType="end"/>
      </w:r>
      <w:r w:rsidRPr="00BF170C">
        <w:instrText>" "</w:instrText>
      </w:r>
      <w:r w:rsidRPr="00BF170C">
        <w:rPr>
          <w:noProof/>
        </w:rPr>
        <w:fldChar w:fldCharType="begin"/>
      </w:r>
      <w:r w:rsidRPr="00BF170C">
        <w:rPr>
          <w:noProof/>
        </w:rPr>
        <w:instrText xml:space="preserve"> STYLEREF "Heading 6" \l \n </w:instrText>
      </w:r>
      <w:r w:rsidRPr="00BF170C">
        <w:rPr>
          <w:noProof/>
        </w:rPr>
        <w:fldChar w:fldCharType="separate"/>
      </w:r>
      <w:r w:rsidR="00B833F1">
        <w:rPr>
          <w:noProof/>
        </w:rPr>
        <w:instrText>I</w:instrText>
      </w:r>
      <w:r w:rsidRPr="00BF170C">
        <w:rPr>
          <w:noProof/>
        </w:rPr>
        <w:fldChar w:fldCharType="end"/>
      </w:r>
      <w:r w:rsidRPr="00BF170C">
        <w:instrText xml:space="preserve">." </w:instrText>
      </w:r>
      <w:r w:rsidRPr="00BF170C">
        <w:fldChar w:fldCharType="separate"/>
      </w:r>
      <w:r w:rsidR="00B833F1">
        <w:rPr>
          <w:noProof/>
        </w:rPr>
        <w:instrText>I</w:instrText>
      </w:r>
      <w:r w:rsidR="00B833F1" w:rsidRPr="00BF170C">
        <w:rPr>
          <w:noProof/>
        </w:rPr>
        <w:instrText>.</w:instrText>
      </w:r>
      <w:r w:rsidRPr="00BF170C">
        <w:fldChar w:fldCharType="end"/>
      </w:r>
      <w:r w:rsidRPr="00BF170C">
        <w:fldChar w:fldCharType="begin"/>
      </w:r>
      <w:r w:rsidRPr="00BF170C">
        <w:instrText xml:space="preserve"> SEQ Item \* ARABIC \s </w:instrText>
      </w:r>
      <w:r w:rsidRPr="00BF170C">
        <w:fldChar w:fldCharType="begin"/>
      </w:r>
      <w:r w:rsidRPr="00BF170C">
        <w:instrText xml:space="preserve"> IF </w:instrText>
      </w:r>
      <w:r w:rsidRPr="00BF170C">
        <w:rPr>
          <w:noProof/>
        </w:rPr>
        <w:fldChar w:fldCharType="begin"/>
      </w:r>
      <w:r w:rsidRPr="00BF170C">
        <w:rPr>
          <w:noProof/>
        </w:rPr>
        <w:instrText xml:space="preserve"> STYLEREF "Heading 6" \l \n </w:instrText>
      </w:r>
      <w:r w:rsidRPr="00BF170C">
        <w:rPr>
          <w:noProof/>
        </w:rPr>
        <w:fldChar w:fldCharType="separate"/>
      </w:r>
      <w:r w:rsidR="00B833F1">
        <w:rPr>
          <w:noProof/>
        </w:rPr>
        <w:instrText>I</w:instrText>
      </w:r>
      <w:r w:rsidRPr="00BF170C">
        <w:rPr>
          <w:noProof/>
        </w:rPr>
        <w:fldChar w:fldCharType="end"/>
      </w:r>
      <w:r w:rsidRPr="00BF170C">
        <w:instrText xml:space="preserve"> = 0 "</w:instrText>
      </w:r>
      <w:r w:rsidRPr="00BF170C">
        <w:fldChar w:fldCharType="begin"/>
      </w:r>
      <w:r w:rsidRPr="00BF170C">
        <w:instrText xml:space="preserve"> IF </w:instrText>
      </w:r>
      <w:r w:rsidRPr="00BF170C">
        <w:rPr>
          <w:noProof/>
        </w:rPr>
        <w:fldChar w:fldCharType="begin"/>
      </w:r>
      <w:r w:rsidRPr="00BF170C">
        <w:rPr>
          <w:noProof/>
        </w:rPr>
        <w:instrText xml:space="preserve"> STYLEREF "Heading 1" \l \n </w:instrText>
      </w:r>
      <w:r w:rsidRPr="00BF170C">
        <w:rPr>
          <w:noProof/>
        </w:rPr>
        <w:fldChar w:fldCharType="separate"/>
      </w:r>
      <w:r w:rsidRPr="00BF170C">
        <w:rPr>
          <w:noProof/>
        </w:rPr>
        <w:instrText>1</w:instrText>
      </w:r>
      <w:r w:rsidRPr="00BF170C">
        <w:rPr>
          <w:noProof/>
        </w:rPr>
        <w:fldChar w:fldCharType="end"/>
      </w:r>
      <w:r w:rsidRPr="00BF170C">
        <w:instrText xml:space="preserve"> = 0 "" "1" </w:instrText>
      </w:r>
      <w:r w:rsidRPr="00BF170C">
        <w:fldChar w:fldCharType="separate"/>
      </w:r>
      <w:r w:rsidRPr="00BF170C">
        <w:rPr>
          <w:noProof/>
        </w:rPr>
        <w:instrText>1</w:instrText>
      </w:r>
      <w:r w:rsidRPr="00BF170C">
        <w:fldChar w:fldCharType="end"/>
      </w:r>
      <w:r w:rsidRPr="00BF170C">
        <w:instrText xml:space="preserve">" "6" </w:instrText>
      </w:r>
      <w:r w:rsidRPr="00BF170C">
        <w:fldChar w:fldCharType="separate"/>
      </w:r>
      <w:r w:rsidR="00B833F1" w:rsidRPr="00BF170C">
        <w:rPr>
          <w:noProof/>
        </w:rPr>
        <w:instrText>6</w:instrText>
      </w:r>
      <w:r w:rsidRPr="00BF170C">
        <w:fldChar w:fldCharType="end"/>
      </w:r>
      <w:r w:rsidRPr="00BF170C">
        <w:instrText xml:space="preserve"> </w:instrText>
      </w:r>
      <w:r w:rsidRPr="00BF170C">
        <w:fldChar w:fldCharType="separate"/>
      </w:r>
      <w:r w:rsidR="00B833F1">
        <w:rPr>
          <w:noProof/>
        </w:rPr>
        <w:instrText>14</w:instrText>
      </w:r>
      <w:r w:rsidRPr="00BF170C">
        <w:fldChar w:fldCharType="end"/>
      </w:r>
      <w:r w:rsidRPr="00BF170C">
        <w:instrText xml:space="preserve">" "" </w:instrText>
      </w:r>
      <w:r w:rsidRPr="00BF170C">
        <w:fldChar w:fldCharType="separate"/>
      </w:r>
      <w:bookmarkStart w:id="9886" w:name="_Caption8851"/>
      <w:bookmarkStart w:id="9887" w:name="_Caption2373"/>
      <w:bookmarkStart w:id="9888" w:name="_Caption8555"/>
      <w:bookmarkStart w:id="9889" w:name="_Caption8171"/>
      <w:bookmarkStart w:id="9890" w:name="_Caption6488"/>
      <w:bookmarkStart w:id="9891" w:name="_Caption4032"/>
      <w:bookmarkStart w:id="9892" w:name="_Caption2656"/>
      <w:bookmarkStart w:id="9893" w:name="_Caption2134"/>
      <w:bookmarkStart w:id="9894" w:name="_Caption1681"/>
      <w:bookmarkStart w:id="9895" w:name="_Caption0934"/>
      <w:bookmarkStart w:id="9896" w:name="_Caption5036"/>
      <w:bookmarkStart w:id="9897" w:name="_Caption0322"/>
      <w:bookmarkStart w:id="9898" w:name="_Caption4680"/>
      <w:bookmarkStart w:id="9899" w:name="_Caption6933"/>
      <w:bookmarkStart w:id="9900" w:name="_Caption3405"/>
      <w:bookmarkStart w:id="9901" w:name="_Caption5424"/>
      <w:bookmarkStart w:id="9902" w:name="_Caption8540"/>
      <w:bookmarkStart w:id="9903" w:name="_Caption2247"/>
      <w:bookmarkStart w:id="9904" w:name="_Caption9198"/>
      <w:bookmarkStart w:id="9905" w:name="_Caption1447"/>
      <w:bookmarkStart w:id="9906" w:name="_Caption4142"/>
      <w:bookmarkStart w:id="9907" w:name="_Caption5128"/>
      <w:bookmarkStart w:id="9908" w:name="_Caption2324"/>
      <w:bookmarkStart w:id="9909" w:name="_Caption4185"/>
      <w:bookmarkStart w:id="9910" w:name="_Caption2802"/>
      <w:bookmarkStart w:id="9911" w:name="_Caption0742"/>
      <w:bookmarkStart w:id="9912" w:name="_Caption4538"/>
      <w:bookmarkStart w:id="9913" w:name="_Caption6124"/>
      <w:bookmarkStart w:id="9914" w:name="_Caption0261"/>
      <w:bookmarkStart w:id="9915" w:name="_Caption4217"/>
      <w:bookmarkStart w:id="9916" w:name="_Caption1863"/>
      <w:bookmarkStart w:id="9917" w:name="_Caption3230"/>
      <w:bookmarkStart w:id="9918" w:name="_Caption9044"/>
      <w:bookmarkStart w:id="9919" w:name="_Caption0867"/>
      <w:bookmarkStart w:id="9920" w:name="_Caption8072"/>
      <w:bookmarkStart w:id="9921" w:name="_Caption4253"/>
      <w:bookmarkStart w:id="9922" w:name="_Caption5683"/>
      <w:bookmarkStart w:id="9923" w:name="_Caption5100"/>
      <w:bookmarkStart w:id="9924" w:name="_Caption2004"/>
      <w:bookmarkStart w:id="9925" w:name="_Caption3678"/>
      <w:bookmarkStart w:id="9926" w:name="_Caption3943"/>
      <w:bookmarkStart w:id="9927" w:name="_Caption5191"/>
      <w:bookmarkStart w:id="9928" w:name="_Caption4758"/>
      <w:bookmarkStart w:id="9929" w:name="_Caption1781"/>
      <w:bookmarkStart w:id="9930" w:name="_Caption5007"/>
      <w:bookmarkStart w:id="9931" w:name="_Caption9053"/>
      <w:bookmarkStart w:id="9932" w:name="_Caption1421"/>
      <w:bookmarkStart w:id="9933" w:name="_Caption1702"/>
      <w:bookmarkStart w:id="9934" w:name="_Caption4346"/>
      <w:bookmarkStart w:id="9935" w:name="_Caption5383"/>
      <w:bookmarkStart w:id="9936" w:name="_Caption5071"/>
      <w:bookmarkStart w:id="9937" w:name="_Caption6156"/>
      <w:bookmarkStart w:id="9938" w:name="_Caption8748"/>
      <w:bookmarkStart w:id="9939" w:name="_Caption4530"/>
      <w:bookmarkStart w:id="9940" w:name="_Caption6866"/>
      <w:bookmarkStart w:id="9941" w:name="_Caption2471"/>
      <w:bookmarkStart w:id="9942" w:name="_Caption9031"/>
      <w:bookmarkStart w:id="9943" w:name="_Caption8861"/>
      <w:bookmarkStart w:id="9944" w:name="_Caption9386"/>
      <w:bookmarkStart w:id="9945" w:name="_Caption4735"/>
      <w:bookmarkStart w:id="9946" w:name="_Caption8376"/>
      <w:bookmarkStart w:id="9947" w:name="_Caption1743"/>
      <w:bookmarkStart w:id="9948" w:name="_Caption1958"/>
      <w:bookmarkStart w:id="9949" w:name="_Caption0917"/>
      <w:bookmarkStart w:id="9950" w:name="_Caption8953"/>
      <w:bookmarkStart w:id="9951" w:name="_Caption0131"/>
      <w:bookmarkStart w:id="9952" w:name="_Caption2125"/>
      <w:bookmarkStart w:id="9953" w:name="_Toc529870028"/>
      <w:bookmarkStart w:id="9954" w:name="_Toc530748524"/>
      <w:r w:rsidR="00EA42ED">
        <w:rPr>
          <w:noProof/>
        </w:rPr>
        <w:t>I</w:t>
      </w:r>
      <w:r w:rsidR="00EA42ED" w:rsidRPr="00BF170C">
        <w:rPr>
          <w:noProof/>
        </w:rPr>
        <w:t>.</w:t>
      </w:r>
      <w:r w:rsidR="00EA42ED">
        <w:rPr>
          <w:noProof/>
        </w:rPr>
        <w:t>14</w:t>
      </w:r>
      <w:bookmarkEnd w:id="9886"/>
      <w:bookmarkEnd w:id="9887"/>
      <w:bookmarkEnd w:id="9888"/>
      <w:bookmarkEnd w:id="9889"/>
      <w:bookmarkEnd w:id="9890"/>
      <w:bookmarkEnd w:id="9891"/>
      <w:bookmarkEnd w:id="9892"/>
      <w:bookmarkEnd w:id="9893"/>
      <w:bookmarkEnd w:id="9894"/>
      <w:bookmarkEnd w:id="9895"/>
      <w:bookmarkEnd w:id="9896"/>
      <w:bookmarkEnd w:id="9897"/>
      <w:bookmarkEnd w:id="9898"/>
      <w:bookmarkEnd w:id="9899"/>
      <w:bookmarkEnd w:id="9900"/>
      <w:bookmarkEnd w:id="9901"/>
      <w:bookmarkEnd w:id="9902"/>
      <w:bookmarkEnd w:id="9903"/>
      <w:bookmarkEnd w:id="9904"/>
      <w:bookmarkEnd w:id="9905"/>
      <w:bookmarkEnd w:id="9906"/>
      <w:bookmarkEnd w:id="9907"/>
      <w:bookmarkEnd w:id="9908"/>
      <w:bookmarkEnd w:id="9909"/>
      <w:bookmarkEnd w:id="9910"/>
      <w:bookmarkEnd w:id="9911"/>
      <w:bookmarkEnd w:id="9912"/>
      <w:bookmarkEnd w:id="9913"/>
      <w:bookmarkEnd w:id="9914"/>
      <w:bookmarkEnd w:id="9915"/>
      <w:bookmarkEnd w:id="9916"/>
      <w:bookmarkEnd w:id="9917"/>
      <w:bookmarkEnd w:id="9918"/>
      <w:bookmarkEnd w:id="9919"/>
      <w:bookmarkEnd w:id="9920"/>
      <w:bookmarkEnd w:id="9921"/>
      <w:bookmarkEnd w:id="9922"/>
      <w:bookmarkEnd w:id="9923"/>
      <w:bookmarkEnd w:id="9924"/>
      <w:bookmarkEnd w:id="9925"/>
      <w:bookmarkEnd w:id="9926"/>
      <w:bookmarkEnd w:id="9927"/>
      <w:bookmarkEnd w:id="9928"/>
      <w:bookmarkEnd w:id="9929"/>
      <w:bookmarkEnd w:id="9930"/>
      <w:bookmarkEnd w:id="9931"/>
      <w:bookmarkEnd w:id="9932"/>
      <w:bookmarkEnd w:id="9933"/>
      <w:bookmarkEnd w:id="9934"/>
      <w:bookmarkEnd w:id="9935"/>
      <w:bookmarkEnd w:id="9936"/>
      <w:bookmarkEnd w:id="9937"/>
      <w:bookmarkEnd w:id="9938"/>
      <w:bookmarkEnd w:id="9939"/>
      <w:bookmarkEnd w:id="9940"/>
      <w:bookmarkEnd w:id="9941"/>
      <w:bookmarkEnd w:id="9942"/>
      <w:bookmarkEnd w:id="9943"/>
      <w:bookmarkEnd w:id="9944"/>
      <w:bookmarkEnd w:id="9945"/>
      <w:bookmarkEnd w:id="9946"/>
      <w:bookmarkEnd w:id="9947"/>
      <w:bookmarkEnd w:id="9948"/>
      <w:bookmarkEnd w:id="9949"/>
      <w:bookmarkEnd w:id="9950"/>
      <w:bookmarkEnd w:id="9951"/>
      <w:bookmarkEnd w:id="9952"/>
      <w:r w:rsidRPr="00BF170C">
        <w:fldChar w:fldCharType="end"/>
      </w:r>
      <w:r w:rsidRPr="00BF170C">
        <w:tab/>
        <w:t>Net benefits to Western Australia — medium realisation scenario</w:t>
      </w:r>
      <w:bookmarkEnd w:id="9953"/>
      <w:bookmarkEnd w:id="9954"/>
    </w:p>
    <w:tbl>
      <w:tblPr>
        <w:tblW w:w="7937" w:type="dxa"/>
        <w:tblLayout w:type="fixed"/>
        <w:tblLook w:val="0000" w:firstRow="0" w:lastRow="0" w:firstColumn="0" w:lastColumn="0" w:noHBand="0" w:noVBand="0"/>
        <w:tblCaption w:val="Table I.14 Net benefits to Western Australia - medium realisation"/>
        <w:tblDescription w:val="This table shows the net benefits under a medium realisation scenario of the proposed changes to NCC 2019 in Western Australia. "/>
      </w:tblPr>
      <w:tblGrid>
        <w:gridCol w:w="2456"/>
        <w:gridCol w:w="783"/>
        <w:gridCol w:w="783"/>
        <w:gridCol w:w="783"/>
        <w:gridCol w:w="783"/>
        <w:gridCol w:w="783"/>
        <w:gridCol w:w="783"/>
        <w:gridCol w:w="783"/>
      </w:tblGrid>
      <w:tr w:rsidR="00612FD3" w:rsidTr="00301B6D">
        <w:trPr>
          <w:trHeight w:val="230"/>
          <w:tblHeader/>
        </w:trPr>
        <w:tc>
          <w:tcPr>
            <w:tcW w:w="2456" w:type="dxa"/>
            <w:shd w:val="clear" w:color="auto" w:fill="6F6652"/>
            <w:tcMar>
              <w:left w:w="57" w:type="dxa"/>
              <w:right w:w="57" w:type="dxa"/>
            </w:tcMar>
          </w:tcPr>
          <w:p w:rsidR="00612FD3" w:rsidRDefault="00612FD3" w:rsidP="00301B6D">
            <w:pPr>
              <w:pStyle w:val="TableDataColumnHeading"/>
              <w:jc w:val="left"/>
              <w:rPr>
                <w:lang w:val="en-GB"/>
              </w:rPr>
            </w:pP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CZ1</w:t>
            </w: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CZ2</w:t>
            </w: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CZ3</w:t>
            </w: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CZ4</w:t>
            </w: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CZ5</w:t>
            </w: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CZ6</w:t>
            </w: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CZ7</w:t>
            </w:r>
          </w:p>
        </w:tc>
      </w:tr>
      <w:tr w:rsidR="00612FD3" w:rsidTr="00301B6D">
        <w:trPr>
          <w:trHeight w:val="230"/>
          <w:tblHeader/>
        </w:trPr>
        <w:tc>
          <w:tcPr>
            <w:tcW w:w="2456"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jc w:val="left"/>
              <w:rPr>
                <w:lang w:val="en-GB"/>
              </w:rPr>
            </w:pP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r>
      <w:tr w:rsidR="00612FD3" w:rsidTr="00301B6D">
        <w:trPr>
          <w:trHeight w:val="230"/>
        </w:trPr>
        <w:tc>
          <w:tcPr>
            <w:tcW w:w="245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r>
              <w:rPr>
                <w:lang w:val="en-GB"/>
              </w:rPr>
              <w:t>Hotels</w:t>
            </w: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24.58</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40.00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41.34</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42.91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43.50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0.00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0.04</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1.42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0.04</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1.01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Private costs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10.26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0.97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1.10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- 4.98</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0.77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BF170C" w:rsidRDefault="00BF170C" w:rsidP="00BF170C">
            <w:pPr>
              <w:pStyle w:val="TableDataEntries"/>
              <w:jc w:val="left"/>
              <w:rPr>
                <w:lang w:val="en-GB"/>
              </w:rPr>
            </w:pPr>
            <w:r>
              <w:rPr>
                <w:lang w:val="en-GB"/>
              </w:rPr>
              <w:t>Net private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xml:space="preserve"> 34.84</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xml:space="preserve"> 41.01</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xml:space="preserve"> 43.86</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xml:space="preserve"> 37.97</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xml:space="preserve"> 45.27</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5.89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9.59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9.91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10.29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10.43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0.00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0.02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0.65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0.02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0.46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RPr="00BF170C"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BF170C" w:rsidRPr="00BF170C" w:rsidRDefault="00BF170C" w:rsidP="00BF170C">
            <w:pPr>
              <w:pStyle w:val="TableDataEntries"/>
              <w:jc w:val="left"/>
              <w:rPr>
                <w:rFonts w:ascii="Franklin Gothic Demi" w:hAnsi="Franklin Gothic Demi"/>
                <w:lang w:val="en-GB"/>
              </w:rPr>
            </w:pPr>
            <w:r w:rsidRPr="00BF170C">
              <w:rPr>
                <w:rFonts w:ascii="Franklin Gothic Demi" w:hAnsi="Franklin Gothic Demi"/>
                <w:lang w:val="en-GB"/>
              </w:rPr>
              <w:t>Net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40.73</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50.62</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54.42</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48.28</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56.16</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BF170C" w:rsidRDefault="00BF170C" w:rsidP="00BF170C">
            <w:pPr>
              <w:pStyle w:val="TableHeading1"/>
              <w:rPr>
                <w:lang w:val="en-GB"/>
              </w:rPr>
            </w:pPr>
            <w:r>
              <w:rPr>
                <w:lang w:val="en-GB"/>
              </w:rPr>
              <w:t>Office building</w:t>
            </w: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13.36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1.05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Private costs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- 11.05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BF170C" w:rsidRDefault="00BF170C" w:rsidP="00BF170C">
            <w:pPr>
              <w:pStyle w:val="TableDataEntries"/>
              <w:jc w:val="left"/>
              <w:rPr>
                <w:lang w:val="en-GB"/>
              </w:rPr>
            </w:pPr>
            <w:r>
              <w:rPr>
                <w:lang w:val="en-GB"/>
              </w:rPr>
              <w:t>Net private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xml:space="preserve"> 3.36</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3.20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0.48</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RPr="00BF170C"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BF170C" w:rsidRPr="00BF170C" w:rsidRDefault="00BF170C" w:rsidP="00BF170C">
            <w:pPr>
              <w:pStyle w:val="TableDataEntries"/>
              <w:jc w:val="left"/>
              <w:rPr>
                <w:rFonts w:ascii="Franklin Gothic Demi" w:hAnsi="Franklin Gothic Demi"/>
                <w:lang w:val="en-GB"/>
              </w:rPr>
            </w:pPr>
            <w:r w:rsidRPr="00BF170C">
              <w:rPr>
                <w:rFonts w:ascii="Franklin Gothic Demi" w:hAnsi="Franklin Gothic Demi"/>
                <w:lang w:val="en-GB"/>
              </w:rPr>
              <w:t>Net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7.04</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BF170C" w:rsidRDefault="00BF170C" w:rsidP="00BF170C">
            <w:pPr>
              <w:pStyle w:val="TableHeading1"/>
              <w:rPr>
                <w:lang w:val="en-GB"/>
              </w:rPr>
            </w:pPr>
            <w:r>
              <w:rPr>
                <w:lang w:val="en-GB"/>
              </w:rPr>
              <w:t>Retail</w:t>
            </w: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58.73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61.40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51.43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62.22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53.80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- 0.01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- 0.96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- 3.58</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- 1.95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- 7.86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Private costs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- 0.45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- 14.17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- 18.60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- 7.22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- 10.36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BF170C" w:rsidRDefault="00BF170C" w:rsidP="00BF170C">
            <w:pPr>
              <w:pStyle w:val="TableDataEntries"/>
              <w:jc w:val="left"/>
              <w:rPr>
                <w:lang w:val="en-GB"/>
              </w:rPr>
            </w:pPr>
            <w:r>
              <w:rPr>
                <w:lang w:val="en-GB"/>
              </w:rPr>
              <w:t>Net private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xml:space="preserve"> 58.27</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xml:space="preserve"> 46.27</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xml:space="preserve"> 29.25</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xml:space="preserve"> 53.04</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xml:space="preserve"> 35.59</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14.08</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14.72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12.33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14.92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12.90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0.00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- 0.44</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- 1.64</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- 0.89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- 3.59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RPr="00BF170C"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BF170C" w:rsidRPr="00BF170C" w:rsidRDefault="00BF170C" w:rsidP="00BF170C">
            <w:pPr>
              <w:pStyle w:val="TableDataEntries"/>
              <w:jc w:val="left"/>
              <w:rPr>
                <w:rFonts w:ascii="Franklin Gothic Demi" w:hAnsi="Franklin Gothic Demi"/>
                <w:lang w:val="en-GB"/>
              </w:rPr>
            </w:pPr>
            <w:r w:rsidRPr="00BF170C">
              <w:rPr>
                <w:rFonts w:ascii="Franklin Gothic Demi" w:hAnsi="Franklin Gothic Demi"/>
                <w:lang w:val="en-GB"/>
              </w:rPr>
              <w:t>Net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72.34</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60.55</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39.94</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67.07</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44.90</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BF170C" w:rsidRDefault="00BF170C" w:rsidP="00BF170C">
            <w:pPr>
              <w:pStyle w:val="TableHeading1"/>
              <w:rPr>
                <w:lang w:val="en-GB"/>
              </w:rPr>
            </w:pPr>
            <w:r>
              <w:rPr>
                <w:lang w:val="en-GB"/>
              </w:rPr>
              <w:t>Healthcare</w:t>
            </w: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47.44</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35.08</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19.76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18.73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10.66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0.00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0.34</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- 0.19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- 0.06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- 3.89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Private costs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- 14.62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- 15.98</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- 17.49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- 16.23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- 26.49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BF170C" w:rsidRDefault="00BF170C" w:rsidP="00BF170C">
            <w:pPr>
              <w:pStyle w:val="TableDataEntries"/>
              <w:jc w:val="left"/>
              <w:rPr>
                <w:lang w:val="en-GB"/>
              </w:rPr>
            </w:pPr>
            <w:r>
              <w:rPr>
                <w:lang w:val="en-GB"/>
              </w:rPr>
              <w:t>Net private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xml:space="preserve"> 32.82</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xml:space="preserve"> 19.44</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xml:space="preserve"> 2.08</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xml:space="preserve"> 2.44</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- 19.72</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11.37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8.41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4.74</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4.49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2.56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0.00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0.16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- 0.09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- 0.03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- 1.78</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RPr="00BF170C"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BF170C" w:rsidRPr="00BF170C" w:rsidRDefault="00BF170C" w:rsidP="00BF170C">
            <w:pPr>
              <w:pStyle w:val="TableDataEntries"/>
              <w:jc w:val="left"/>
              <w:rPr>
                <w:rFonts w:ascii="Franklin Gothic Demi" w:hAnsi="Franklin Gothic Demi"/>
                <w:lang w:val="en-GB"/>
              </w:rPr>
            </w:pPr>
            <w:r w:rsidRPr="00BF170C">
              <w:rPr>
                <w:rFonts w:ascii="Franklin Gothic Demi" w:hAnsi="Franklin Gothic Demi"/>
                <w:lang w:val="en-GB"/>
              </w:rPr>
              <w:t>Net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44.19</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28.01</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6.73</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6.91</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- 18.94</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BF170C" w:rsidRDefault="00BF170C" w:rsidP="00BF170C">
            <w:pPr>
              <w:pStyle w:val="TableHeading1"/>
              <w:rPr>
                <w:lang w:val="en-GB"/>
              </w:rPr>
            </w:pPr>
            <w:r>
              <w:rPr>
                <w:lang w:val="en-GB"/>
              </w:rPr>
              <w:t>School</w:t>
            </w: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106.76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67.21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41.71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30.65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34.08</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0.03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1.50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4.34</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2.45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5.13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Private costs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- 5.61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- 12.16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- 17.65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- 18.10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- 7.71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BF170C" w:rsidRDefault="00BF170C" w:rsidP="00BF170C">
            <w:pPr>
              <w:pStyle w:val="TableDataEntries"/>
              <w:jc w:val="left"/>
              <w:rPr>
                <w:lang w:val="en-GB"/>
              </w:rPr>
            </w:pPr>
            <w:r>
              <w:rPr>
                <w:lang w:val="en-GB"/>
              </w:rPr>
              <w:t>Net private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xml:space="preserve"> 101.18</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xml:space="preserve"> 56.55</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xml:space="preserve"> 28.40</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xml:space="preserve"> 14.99</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xml:space="preserve"> 31.50</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25.59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16.11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10.00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7.35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8.17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0.01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0.68</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1.98</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1.12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2.34</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RPr="00BF170C" w:rsidTr="00301B6D">
        <w:trPr>
          <w:trHeight w:val="230"/>
        </w:trPr>
        <w:tc>
          <w:tcPr>
            <w:tcW w:w="2456"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rsidR="00BF170C" w:rsidRPr="00BF170C" w:rsidRDefault="00BF170C" w:rsidP="00BF170C">
            <w:pPr>
              <w:pStyle w:val="TableDataEntries"/>
              <w:jc w:val="left"/>
              <w:rPr>
                <w:rFonts w:ascii="Franklin Gothic Demi" w:hAnsi="Franklin Gothic Demi"/>
                <w:lang w:val="en-GB"/>
              </w:rPr>
            </w:pPr>
            <w:r w:rsidRPr="00BF170C">
              <w:rPr>
                <w:rFonts w:ascii="Franklin Gothic Demi" w:hAnsi="Franklin Gothic Demi"/>
                <w:lang w:val="en-GB"/>
              </w:rPr>
              <w:t>Net benefit/cost</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126.79</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73.34</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40.38</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23.46</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42.01</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r>
    </w:tbl>
    <w:p w:rsidR="00612FD3" w:rsidRDefault="00612FD3" w:rsidP="00612FD3">
      <w:pPr>
        <w:pStyle w:val="Note"/>
        <w:rPr>
          <w:lang w:bidi="fa-IR"/>
        </w:rPr>
      </w:pPr>
      <w:r w:rsidRPr="007D1B4F">
        <w:rPr>
          <w:i/>
        </w:rPr>
        <w:t>Note:</w:t>
      </w:r>
      <w:r w:rsidRPr="00E879B8">
        <w:t xml:space="preserve"> </w:t>
      </w:r>
      <w:r>
        <w:t>Costs and benefits are estimated over the assumed 40 year life of the building, using a discount rate of 7 per cent.</w:t>
      </w:r>
    </w:p>
    <w:p w:rsidR="00612FD3" w:rsidRDefault="00612FD3" w:rsidP="00612FD3">
      <w:pPr>
        <w:pStyle w:val="Source"/>
        <w:rPr>
          <w:lang w:bidi="fa-IR"/>
        </w:rPr>
      </w:pPr>
      <w:r w:rsidRPr="00C6138D">
        <w:rPr>
          <w:i/>
          <w:lang w:bidi="fa-IR"/>
        </w:rPr>
        <w:t>Source:</w:t>
      </w:r>
      <w:r>
        <w:rPr>
          <w:lang w:bidi="fa-IR"/>
        </w:rPr>
        <w:t xml:space="preserve"> CIE based on </w:t>
      </w:r>
      <w:r w:rsidR="00EB5964">
        <w:rPr>
          <w:lang w:bidi="fa-IR"/>
        </w:rPr>
        <w:t>EA</w:t>
      </w:r>
      <w:r>
        <w:rPr>
          <w:lang w:bidi="fa-IR"/>
        </w:rPr>
        <w:t xml:space="preserve"> modelling.</w:t>
      </w:r>
    </w:p>
    <w:p w:rsidR="00D364DA" w:rsidRDefault="00D364DA" w:rsidP="00612FD3">
      <w:pPr>
        <w:pStyle w:val="Caption"/>
      </w:pPr>
      <w:r>
        <w:br w:type="page"/>
      </w:r>
    </w:p>
    <w:p w:rsidR="00612FD3" w:rsidRDefault="00612FD3" w:rsidP="00612FD3">
      <w:pPr>
        <w:pStyle w:val="Caption"/>
      </w:pPr>
      <w:r w:rsidRPr="00BF170C">
        <w:fldChar w:fldCharType="begin"/>
      </w:r>
      <w:r w:rsidRPr="00BF170C">
        <w:instrText xml:space="preserve"> IF 1 = 1 "</w:instrText>
      </w:r>
      <w:r w:rsidRPr="00BF170C">
        <w:fldChar w:fldCharType="begin"/>
      </w:r>
      <w:r w:rsidRPr="00BF170C">
        <w:instrText xml:space="preserve"> IF </w:instrText>
      </w:r>
      <w:r w:rsidRPr="00BF170C">
        <w:rPr>
          <w:noProof/>
        </w:rPr>
        <w:fldChar w:fldCharType="begin"/>
      </w:r>
      <w:r w:rsidRPr="00BF170C">
        <w:rPr>
          <w:noProof/>
        </w:rPr>
        <w:instrText xml:space="preserve"> STYLEREF "Heading 6" \l \n </w:instrText>
      </w:r>
      <w:r w:rsidRPr="00BF170C">
        <w:rPr>
          <w:noProof/>
        </w:rPr>
        <w:fldChar w:fldCharType="separate"/>
      </w:r>
      <w:r w:rsidR="00B833F1">
        <w:rPr>
          <w:noProof/>
        </w:rPr>
        <w:instrText>I</w:instrText>
      </w:r>
      <w:r w:rsidRPr="00BF170C">
        <w:rPr>
          <w:noProof/>
        </w:rPr>
        <w:fldChar w:fldCharType="end"/>
      </w:r>
      <w:r w:rsidRPr="00BF170C">
        <w:instrText xml:space="preserve"> = 0 "</w:instrText>
      </w:r>
      <w:r w:rsidRPr="00BF170C">
        <w:fldChar w:fldCharType="begin"/>
      </w:r>
      <w:r w:rsidRPr="00BF170C">
        <w:instrText xml:space="preserve"> IF </w:instrText>
      </w:r>
      <w:r w:rsidRPr="00BF170C">
        <w:rPr>
          <w:noProof/>
        </w:rPr>
        <w:fldChar w:fldCharType="begin"/>
      </w:r>
      <w:r w:rsidRPr="00BF170C">
        <w:rPr>
          <w:noProof/>
        </w:rPr>
        <w:instrText xml:space="preserve"> STYLEREF "Heading 1" \l \n </w:instrText>
      </w:r>
      <w:r w:rsidRPr="00BF170C">
        <w:rPr>
          <w:noProof/>
        </w:rPr>
        <w:fldChar w:fldCharType="separate"/>
      </w:r>
      <w:r w:rsidRPr="00BF170C">
        <w:rPr>
          <w:noProof/>
        </w:rPr>
        <w:instrText>1</w:instrText>
      </w:r>
      <w:r w:rsidRPr="00BF170C">
        <w:rPr>
          <w:noProof/>
        </w:rPr>
        <w:fldChar w:fldCharType="end"/>
      </w:r>
      <w:r w:rsidRPr="00BF170C">
        <w:instrText xml:space="preserve"> = 0 "" "</w:instrText>
      </w:r>
      <w:r w:rsidRPr="00BF170C">
        <w:rPr>
          <w:noProof/>
        </w:rPr>
        <w:fldChar w:fldCharType="begin"/>
      </w:r>
      <w:r w:rsidRPr="00BF170C">
        <w:rPr>
          <w:noProof/>
        </w:rPr>
        <w:instrText xml:space="preserve"> STYLEREF "Heading 1" \l \n </w:instrText>
      </w:r>
      <w:r w:rsidRPr="00BF170C">
        <w:rPr>
          <w:noProof/>
        </w:rPr>
        <w:fldChar w:fldCharType="separate"/>
      </w:r>
      <w:r w:rsidRPr="00BF170C">
        <w:rPr>
          <w:noProof/>
        </w:rPr>
        <w:instrText>1</w:instrText>
      </w:r>
      <w:r w:rsidRPr="00BF170C">
        <w:rPr>
          <w:noProof/>
        </w:rPr>
        <w:fldChar w:fldCharType="end"/>
      </w:r>
      <w:r w:rsidRPr="00BF170C">
        <w:instrText xml:space="preserve">." </w:instrText>
      </w:r>
      <w:r w:rsidRPr="00BF170C">
        <w:fldChar w:fldCharType="separate"/>
      </w:r>
      <w:r w:rsidRPr="00BF170C">
        <w:rPr>
          <w:noProof/>
        </w:rPr>
        <w:instrText>1.</w:instrText>
      </w:r>
      <w:r w:rsidRPr="00BF170C">
        <w:fldChar w:fldCharType="end"/>
      </w:r>
      <w:r w:rsidRPr="00BF170C">
        <w:instrText>" "</w:instrText>
      </w:r>
      <w:r w:rsidRPr="00BF170C">
        <w:rPr>
          <w:noProof/>
        </w:rPr>
        <w:fldChar w:fldCharType="begin"/>
      </w:r>
      <w:r w:rsidRPr="00BF170C">
        <w:rPr>
          <w:noProof/>
        </w:rPr>
        <w:instrText xml:space="preserve"> STYLEREF "Heading 6" \l \n </w:instrText>
      </w:r>
      <w:r w:rsidRPr="00BF170C">
        <w:rPr>
          <w:noProof/>
        </w:rPr>
        <w:fldChar w:fldCharType="separate"/>
      </w:r>
      <w:r w:rsidR="00B833F1">
        <w:rPr>
          <w:noProof/>
        </w:rPr>
        <w:instrText>I</w:instrText>
      </w:r>
      <w:r w:rsidRPr="00BF170C">
        <w:rPr>
          <w:noProof/>
        </w:rPr>
        <w:fldChar w:fldCharType="end"/>
      </w:r>
      <w:r w:rsidRPr="00BF170C">
        <w:instrText xml:space="preserve">." </w:instrText>
      </w:r>
      <w:r w:rsidRPr="00BF170C">
        <w:fldChar w:fldCharType="separate"/>
      </w:r>
      <w:r w:rsidR="00B833F1">
        <w:rPr>
          <w:noProof/>
        </w:rPr>
        <w:instrText>I</w:instrText>
      </w:r>
      <w:r w:rsidR="00B833F1" w:rsidRPr="00BF170C">
        <w:rPr>
          <w:noProof/>
        </w:rPr>
        <w:instrText>.</w:instrText>
      </w:r>
      <w:r w:rsidRPr="00BF170C">
        <w:fldChar w:fldCharType="end"/>
      </w:r>
      <w:r w:rsidRPr="00BF170C">
        <w:fldChar w:fldCharType="begin"/>
      </w:r>
      <w:r w:rsidRPr="00BF170C">
        <w:instrText xml:space="preserve"> SEQ Item \* ARABIC \s </w:instrText>
      </w:r>
      <w:r w:rsidRPr="00BF170C">
        <w:fldChar w:fldCharType="begin"/>
      </w:r>
      <w:r w:rsidRPr="00BF170C">
        <w:instrText xml:space="preserve"> IF </w:instrText>
      </w:r>
      <w:r w:rsidRPr="00BF170C">
        <w:rPr>
          <w:noProof/>
        </w:rPr>
        <w:fldChar w:fldCharType="begin"/>
      </w:r>
      <w:r w:rsidRPr="00BF170C">
        <w:rPr>
          <w:noProof/>
        </w:rPr>
        <w:instrText xml:space="preserve"> STYLEREF "Heading 6" \l \n </w:instrText>
      </w:r>
      <w:r w:rsidRPr="00BF170C">
        <w:rPr>
          <w:noProof/>
        </w:rPr>
        <w:fldChar w:fldCharType="separate"/>
      </w:r>
      <w:r w:rsidR="00B833F1">
        <w:rPr>
          <w:noProof/>
        </w:rPr>
        <w:instrText>I</w:instrText>
      </w:r>
      <w:r w:rsidRPr="00BF170C">
        <w:rPr>
          <w:noProof/>
        </w:rPr>
        <w:fldChar w:fldCharType="end"/>
      </w:r>
      <w:r w:rsidRPr="00BF170C">
        <w:instrText xml:space="preserve"> = 0 "</w:instrText>
      </w:r>
      <w:r w:rsidRPr="00BF170C">
        <w:fldChar w:fldCharType="begin"/>
      </w:r>
      <w:r w:rsidRPr="00BF170C">
        <w:instrText xml:space="preserve"> IF </w:instrText>
      </w:r>
      <w:r w:rsidRPr="00BF170C">
        <w:rPr>
          <w:noProof/>
        </w:rPr>
        <w:fldChar w:fldCharType="begin"/>
      </w:r>
      <w:r w:rsidRPr="00BF170C">
        <w:rPr>
          <w:noProof/>
        </w:rPr>
        <w:instrText xml:space="preserve"> STYLEREF "Heading 1" \l \n </w:instrText>
      </w:r>
      <w:r w:rsidRPr="00BF170C">
        <w:rPr>
          <w:noProof/>
        </w:rPr>
        <w:fldChar w:fldCharType="separate"/>
      </w:r>
      <w:r w:rsidRPr="00BF170C">
        <w:rPr>
          <w:noProof/>
        </w:rPr>
        <w:instrText>1</w:instrText>
      </w:r>
      <w:r w:rsidRPr="00BF170C">
        <w:rPr>
          <w:noProof/>
        </w:rPr>
        <w:fldChar w:fldCharType="end"/>
      </w:r>
      <w:r w:rsidRPr="00BF170C">
        <w:instrText xml:space="preserve"> = 0 "" "1" </w:instrText>
      </w:r>
      <w:r w:rsidRPr="00BF170C">
        <w:fldChar w:fldCharType="separate"/>
      </w:r>
      <w:r w:rsidRPr="00BF170C">
        <w:rPr>
          <w:noProof/>
        </w:rPr>
        <w:instrText>1</w:instrText>
      </w:r>
      <w:r w:rsidRPr="00BF170C">
        <w:fldChar w:fldCharType="end"/>
      </w:r>
      <w:r w:rsidRPr="00BF170C">
        <w:instrText xml:space="preserve">" "6" </w:instrText>
      </w:r>
      <w:r w:rsidRPr="00BF170C">
        <w:fldChar w:fldCharType="separate"/>
      </w:r>
      <w:r w:rsidR="00B833F1" w:rsidRPr="00BF170C">
        <w:rPr>
          <w:noProof/>
        </w:rPr>
        <w:instrText>6</w:instrText>
      </w:r>
      <w:r w:rsidRPr="00BF170C">
        <w:fldChar w:fldCharType="end"/>
      </w:r>
      <w:r w:rsidRPr="00BF170C">
        <w:instrText xml:space="preserve"> </w:instrText>
      </w:r>
      <w:r w:rsidRPr="00BF170C">
        <w:fldChar w:fldCharType="separate"/>
      </w:r>
      <w:r w:rsidR="00B833F1">
        <w:rPr>
          <w:noProof/>
        </w:rPr>
        <w:instrText>15</w:instrText>
      </w:r>
      <w:r w:rsidRPr="00BF170C">
        <w:fldChar w:fldCharType="end"/>
      </w:r>
      <w:r w:rsidRPr="00BF170C">
        <w:instrText xml:space="preserve">" "" </w:instrText>
      </w:r>
      <w:r w:rsidRPr="00BF170C">
        <w:fldChar w:fldCharType="separate"/>
      </w:r>
      <w:bookmarkStart w:id="9955" w:name="_Caption8408"/>
      <w:bookmarkStart w:id="9956" w:name="_Caption3019"/>
      <w:bookmarkStart w:id="9957" w:name="_Caption2614"/>
      <w:bookmarkStart w:id="9958" w:name="_Caption2087"/>
      <w:bookmarkStart w:id="9959" w:name="_Caption4494"/>
      <w:bookmarkStart w:id="9960" w:name="_Caption2145"/>
      <w:bookmarkStart w:id="9961" w:name="_Caption0093"/>
      <w:bookmarkStart w:id="9962" w:name="_Caption1596"/>
      <w:bookmarkStart w:id="9963" w:name="_Caption6370"/>
      <w:bookmarkStart w:id="9964" w:name="_Caption8401"/>
      <w:bookmarkStart w:id="9965" w:name="_Caption1932"/>
      <w:bookmarkStart w:id="9966" w:name="_Caption3385"/>
      <w:bookmarkStart w:id="9967" w:name="_Caption8357"/>
      <w:bookmarkStart w:id="9968" w:name="_Caption1779"/>
      <w:bookmarkStart w:id="9969" w:name="_Caption9431"/>
      <w:bookmarkStart w:id="9970" w:name="_Caption0891"/>
      <w:bookmarkStart w:id="9971" w:name="_Caption7008"/>
      <w:bookmarkStart w:id="9972" w:name="_Caption2227"/>
      <w:bookmarkStart w:id="9973" w:name="_Caption2943"/>
      <w:bookmarkStart w:id="9974" w:name="_Caption3336"/>
      <w:bookmarkStart w:id="9975" w:name="_Caption5555"/>
      <w:bookmarkStart w:id="9976" w:name="_Caption2616"/>
      <w:bookmarkStart w:id="9977" w:name="_Caption2157"/>
      <w:bookmarkStart w:id="9978" w:name="_Caption6636"/>
      <w:bookmarkStart w:id="9979" w:name="_Caption6237"/>
      <w:bookmarkStart w:id="9980" w:name="_Caption7375"/>
      <w:bookmarkStart w:id="9981" w:name="_Caption7184"/>
      <w:bookmarkStart w:id="9982" w:name="_Caption9492"/>
      <w:bookmarkStart w:id="9983" w:name="_Caption1661"/>
      <w:bookmarkStart w:id="9984" w:name="_Caption1929"/>
      <w:bookmarkStart w:id="9985" w:name="_Caption4433"/>
      <w:bookmarkStart w:id="9986" w:name="_Caption9248"/>
      <w:bookmarkStart w:id="9987" w:name="_Caption5875"/>
      <w:bookmarkStart w:id="9988" w:name="_Caption0463"/>
      <w:bookmarkStart w:id="9989" w:name="_Caption2873"/>
      <w:bookmarkStart w:id="9990" w:name="_Caption8289"/>
      <w:bookmarkStart w:id="9991" w:name="_Caption6480"/>
      <w:bookmarkStart w:id="9992" w:name="_Caption7051"/>
      <w:bookmarkStart w:id="9993" w:name="_Caption0243"/>
      <w:bookmarkStart w:id="9994" w:name="_Caption7831"/>
      <w:bookmarkStart w:id="9995" w:name="_Caption6326"/>
      <w:bookmarkStart w:id="9996" w:name="_Caption1909"/>
      <w:bookmarkStart w:id="9997" w:name="_Caption7117"/>
      <w:bookmarkStart w:id="9998" w:name="_Caption4576"/>
      <w:bookmarkStart w:id="9999" w:name="_Caption6292"/>
      <w:bookmarkStart w:id="10000" w:name="_Caption8607"/>
      <w:bookmarkStart w:id="10001" w:name="_Caption7690"/>
      <w:bookmarkStart w:id="10002" w:name="_Caption8336"/>
      <w:bookmarkStart w:id="10003" w:name="_Caption9504"/>
      <w:bookmarkStart w:id="10004" w:name="_Caption5231"/>
      <w:bookmarkStart w:id="10005" w:name="_Caption9739"/>
      <w:bookmarkStart w:id="10006" w:name="_Caption1827"/>
      <w:bookmarkStart w:id="10007" w:name="_Caption7797"/>
      <w:bookmarkStart w:id="10008" w:name="_Caption5808"/>
      <w:bookmarkStart w:id="10009" w:name="_Caption7317"/>
      <w:bookmarkStart w:id="10010" w:name="_Caption0240"/>
      <w:bookmarkStart w:id="10011" w:name="_Caption5181"/>
      <w:bookmarkStart w:id="10012" w:name="_Caption2420"/>
      <w:bookmarkStart w:id="10013" w:name="_Caption1701"/>
      <w:bookmarkStart w:id="10014" w:name="_Caption6266"/>
      <w:bookmarkStart w:id="10015" w:name="_Caption0583"/>
      <w:bookmarkStart w:id="10016" w:name="_Caption0360"/>
      <w:bookmarkStart w:id="10017" w:name="_Caption3646"/>
      <w:bookmarkStart w:id="10018" w:name="_Caption4193"/>
      <w:bookmarkStart w:id="10019" w:name="_Caption0225"/>
      <w:bookmarkStart w:id="10020" w:name="_Caption7924"/>
      <w:bookmarkStart w:id="10021" w:name="_Caption4170"/>
      <w:bookmarkStart w:id="10022" w:name="_Toc529870029"/>
      <w:bookmarkStart w:id="10023" w:name="_Toc530748525"/>
      <w:r w:rsidR="00EA42ED">
        <w:rPr>
          <w:noProof/>
        </w:rPr>
        <w:t>I</w:t>
      </w:r>
      <w:r w:rsidR="00EA42ED" w:rsidRPr="00BF170C">
        <w:rPr>
          <w:noProof/>
        </w:rPr>
        <w:t>.</w:t>
      </w:r>
      <w:r w:rsidR="00EA42ED">
        <w:rPr>
          <w:noProof/>
        </w:rPr>
        <w:t>15</w:t>
      </w:r>
      <w:bookmarkEnd w:id="9955"/>
      <w:bookmarkEnd w:id="9956"/>
      <w:bookmarkEnd w:id="9957"/>
      <w:bookmarkEnd w:id="9958"/>
      <w:bookmarkEnd w:id="9959"/>
      <w:bookmarkEnd w:id="9960"/>
      <w:bookmarkEnd w:id="9961"/>
      <w:bookmarkEnd w:id="9962"/>
      <w:bookmarkEnd w:id="9963"/>
      <w:bookmarkEnd w:id="9964"/>
      <w:bookmarkEnd w:id="9965"/>
      <w:bookmarkEnd w:id="9966"/>
      <w:bookmarkEnd w:id="9967"/>
      <w:bookmarkEnd w:id="9968"/>
      <w:bookmarkEnd w:id="9969"/>
      <w:bookmarkEnd w:id="9970"/>
      <w:bookmarkEnd w:id="9971"/>
      <w:bookmarkEnd w:id="9972"/>
      <w:bookmarkEnd w:id="9973"/>
      <w:bookmarkEnd w:id="9974"/>
      <w:bookmarkEnd w:id="9975"/>
      <w:bookmarkEnd w:id="9976"/>
      <w:bookmarkEnd w:id="9977"/>
      <w:bookmarkEnd w:id="9978"/>
      <w:bookmarkEnd w:id="9979"/>
      <w:bookmarkEnd w:id="9980"/>
      <w:bookmarkEnd w:id="9981"/>
      <w:bookmarkEnd w:id="9982"/>
      <w:bookmarkEnd w:id="9983"/>
      <w:bookmarkEnd w:id="9984"/>
      <w:bookmarkEnd w:id="9985"/>
      <w:bookmarkEnd w:id="9986"/>
      <w:bookmarkEnd w:id="9987"/>
      <w:bookmarkEnd w:id="9988"/>
      <w:bookmarkEnd w:id="9989"/>
      <w:bookmarkEnd w:id="9990"/>
      <w:bookmarkEnd w:id="9991"/>
      <w:bookmarkEnd w:id="9992"/>
      <w:bookmarkEnd w:id="9993"/>
      <w:bookmarkEnd w:id="9994"/>
      <w:bookmarkEnd w:id="9995"/>
      <w:bookmarkEnd w:id="9996"/>
      <w:bookmarkEnd w:id="9997"/>
      <w:bookmarkEnd w:id="9998"/>
      <w:bookmarkEnd w:id="9999"/>
      <w:bookmarkEnd w:id="10000"/>
      <w:bookmarkEnd w:id="10001"/>
      <w:bookmarkEnd w:id="10002"/>
      <w:bookmarkEnd w:id="10003"/>
      <w:bookmarkEnd w:id="10004"/>
      <w:bookmarkEnd w:id="10005"/>
      <w:bookmarkEnd w:id="10006"/>
      <w:bookmarkEnd w:id="10007"/>
      <w:bookmarkEnd w:id="10008"/>
      <w:bookmarkEnd w:id="10009"/>
      <w:bookmarkEnd w:id="10010"/>
      <w:bookmarkEnd w:id="10011"/>
      <w:bookmarkEnd w:id="10012"/>
      <w:bookmarkEnd w:id="10013"/>
      <w:bookmarkEnd w:id="10014"/>
      <w:bookmarkEnd w:id="10015"/>
      <w:bookmarkEnd w:id="10016"/>
      <w:bookmarkEnd w:id="10017"/>
      <w:bookmarkEnd w:id="10018"/>
      <w:bookmarkEnd w:id="10019"/>
      <w:bookmarkEnd w:id="10020"/>
      <w:bookmarkEnd w:id="10021"/>
      <w:r w:rsidRPr="00BF170C">
        <w:fldChar w:fldCharType="end"/>
      </w:r>
      <w:r w:rsidRPr="00BF170C">
        <w:tab/>
        <w:t>Net benefits to Western Australia — high realisation scenario</w:t>
      </w:r>
      <w:bookmarkEnd w:id="10022"/>
      <w:bookmarkEnd w:id="10023"/>
    </w:p>
    <w:tbl>
      <w:tblPr>
        <w:tblW w:w="7937" w:type="dxa"/>
        <w:tblLayout w:type="fixed"/>
        <w:tblLook w:val="0000" w:firstRow="0" w:lastRow="0" w:firstColumn="0" w:lastColumn="0" w:noHBand="0" w:noVBand="0"/>
        <w:tblCaption w:val="Table I.15 Net benefits to Western Australia - high realisation scenario"/>
        <w:tblDescription w:val="This table shows the net benefits under a high realisation scenario of the proposed changes to NCC 2019 in Western Australia. "/>
      </w:tblPr>
      <w:tblGrid>
        <w:gridCol w:w="2456"/>
        <w:gridCol w:w="783"/>
        <w:gridCol w:w="783"/>
        <w:gridCol w:w="783"/>
        <w:gridCol w:w="783"/>
        <w:gridCol w:w="783"/>
        <w:gridCol w:w="783"/>
        <w:gridCol w:w="783"/>
      </w:tblGrid>
      <w:tr w:rsidR="00612FD3" w:rsidTr="00301B6D">
        <w:trPr>
          <w:trHeight w:val="230"/>
          <w:tblHeader/>
        </w:trPr>
        <w:tc>
          <w:tcPr>
            <w:tcW w:w="2456" w:type="dxa"/>
            <w:shd w:val="clear" w:color="auto" w:fill="6F6652"/>
            <w:tcMar>
              <w:left w:w="57" w:type="dxa"/>
              <w:right w:w="57" w:type="dxa"/>
            </w:tcMar>
          </w:tcPr>
          <w:p w:rsidR="00612FD3" w:rsidRDefault="00612FD3" w:rsidP="00301B6D">
            <w:pPr>
              <w:pStyle w:val="TableDataColumnHeading"/>
              <w:jc w:val="left"/>
              <w:rPr>
                <w:lang w:val="en-GB"/>
              </w:rPr>
            </w:pP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CZ1</w:t>
            </w: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CZ2</w:t>
            </w: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CZ3</w:t>
            </w: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CZ4</w:t>
            </w: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CZ5</w:t>
            </w: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CZ6</w:t>
            </w: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CZ7</w:t>
            </w:r>
          </w:p>
        </w:tc>
      </w:tr>
      <w:tr w:rsidR="00612FD3" w:rsidTr="00301B6D">
        <w:trPr>
          <w:trHeight w:val="230"/>
          <w:tblHeader/>
        </w:trPr>
        <w:tc>
          <w:tcPr>
            <w:tcW w:w="2456"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jc w:val="left"/>
              <w:rPr>
                <w:lang w:val="en-GB"/>
              </w:rPr>
            </w:pP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r>
      <w:tr w:rsidR="00612FD3" w:rsidTr="00301B6D">
        <w:trPr>
          <w:trHeight w:val="230"/>
        </w:trPr>
        <w:tc>
          <w:tcPr>
            <w:tcW w:w="245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r>
              <w:rPr>
                <w:lang w:val="en-GB"/>
              </w:rPr>
              <w:t>Hotels</w:t>
            </w: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32.78</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53.34</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55.12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57.22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58.00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0.00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0.06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1.90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0.06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1.34</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Private costs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10.26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0.97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1.10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- 4.98</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0.77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BF170C" w:rsidRDefault="00BF170C" w:rsidP="00BF170C">
            <w:pPr>
              <w:pStyle w:val="TableDataEntries"/>
              <w:jc w:val="left"/>
              <w:rPr>
                <w:lang w:val="en-GB"/>
              </w:rPr>
            </w:pPr>
            <w:r>
              <w:rPr>
                <w:lang w:val="en-GB"/>
              </w:rPr>
              <w:t>Net private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xml:space="preserve"> 43.04</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xml:space="preserve"> 54.36</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xml:space="preserve"> 58.11</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xml:space="preserve"> 52.29</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xml:space="preserve"> 60.11</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7.86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12.79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13.21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13.72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13.91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0.00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0.03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0.87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0.03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0.61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RPr="00BF170C"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BF170C" w:rsidRPr="00BF170C" w:rsidRDefault="00BF170C" w:rsidP="00BF170C">
            <w:pPr>
              <w:pStyle w:val="TableDataEntries"/>
              <w:jc w:val="left"/>
              <w:rPr>
                <w:rFonts w:ascii="Franklin Gothic Demi" w:hAnsi="Franklin Gothic Demi"/>
                <w:lang w:val="en-GB"/>
              </w:rPr>
            </w:pPr>
            <w:r w:rsidRPr="00BF170C">
              <w:rPr>
                <w:rFonts w:ascii="Franklin Gothic Demi" w:hAnsi="Franklin Gothic Demi"/>
                <w:lang w:val="en-GB"/>
              </w:rPr>
              <w:t>Net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50.89</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67.18</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72.19</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66.03</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74.63</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BF170C" w:rsidRDefault="00BF170C" w:rsidP="00BF170C">
            <w:pPr>
              <w:pStyle w:val="TableHeading1"/>
              <w:rPr>
                <w:lang w:val="en-GB"/>
              </w:rPr>
            </w:pPr>
            <w:r>
              <w:rPr>
                <w:lang w:val="en-GB"/>
              </w:rPr>
              <w:t>Office building</w:t>
            </w: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17.81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1.40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Private costs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- 11.05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BF170C" w:rsidRDefault="00BF170C" w:rsidP="00BF170C">
            <w:pPr>
              <w:pStyle w:val="TableDataEntries"/>
              <w:jc w:val="left"/>
              <w:rPr>
                <w:lang w:val="en-GB"/>
              </w:rPr>
            </w:pPr>
            <w:r>
              <w:rPr>
                <w:lang w:val="en-GB"/>
              </w:rPr>
              <w:t>Net private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xml:space="preserve"> 8.16</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4.27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0.64</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RPr="00BF170C"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BF170C" w:rsidRPr="00BF170C" w:rsidRDefault="00BF170C" w:rsidP="00BF170C">
            <w:pPr>
              <w:pStyle w:val="TableDataEntries"/>
              <w:jc w:val="left"/>
              <w:rPr>
                <w:rFonts w:ascii="Franklin Gothic Demi" w:hAnsi="Franklin Gothic Demi"/>
                <w:lang w:val="en-GB"/>
              </w:rPr>
            </w:pPr>
            <w:r w:rsidRPr="00BF170C">
              <w:rPr>
                <w:rFonts w:ascii="Franklin Gothic Demi" w:hAnsi="Franklin Gothic Demi"/>
                <w:lang w:val="en-GB"/>
              </w:rPr>
              <w:t>Net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13.07</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BF170C" w:rsidRDefault="00BF170C" w:rsidP="00BF170C">
            <w:pPr>
              <w:pStyle w:val="TableHeading1"/>
              <w:rPr>
                <w:lang w:val="en-GB"/>
              </w:rPr>
            </w:pPr>
            <w:r>
              <w:rPr>
                <w:lang w:val="en-GB"/>
              </w:rPr>
              <w:t>Retail</w:t>
            </w: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78.30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81.86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68.57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82.96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71.74</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- 0.01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- 1.28</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- 4.78</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- 2.60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- 10.48</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Private costs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- 0.45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- 14.17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- 18.60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- 7.22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- 10.36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BF170C" w:rsidRDefault="00BF170C" w:rsidP="00BF170C">
            <w:pPr>
              <w:pStyle w:val="TableDataEntries"/>
              <w:jc w:val="left"/>
              <w:rPr>
                <w:lang w:val="en-GB"/>
              </w:rPr>
            </w:pPr>
            <w:r>
              <w:rPr>
                <w:lang w:val="en-GB"/>
              </w:rPr>
              <w:t>Net private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xml:space="preserve"> 77.84</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xml:space="preserve"> 66.41</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xml:space="preserve"> 45.19</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xml:space="preserve"> 73.13</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xml:space="preserve"> 50.90</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18.77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19.63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16.44</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19.89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17.20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0.00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- 0.58</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- 2.18</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- 1.19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- 4.78</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RPr="00BF170C"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BF170C" w:rsidRPr="00BF170C" w:rsidRDefault="00BF170C" w:rsidP="00BF170C">
            <w:pPr>
              <w:pStyle w:val="TableDataEntries"/>
              <w:jc w:val="left"/>
              <w:rPr>
                <w:rFonts w:ascii="Franklin Gothic Demi" w:hAnsi="Franklin Gothic Demi"/>
                <w:lang w:val="en-GB"/>
              </w:rPr>
            </w:pPr>
            <w:r w:rsidRPr="00BF170C">
              <w:rPr>
                <w:rFonts w:ascii="Franklin Gothic Demi" w:hAnsi="Franklin Gothic Demi"/>
                <w:lang w:val="en-GB"/>
              </w:rPr>
              <w:t>Net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96.61</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85.45</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59.45</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91.83</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63.32</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BF170C" w:rsidRDefault="00BF170C" w:rsidP="00BF170C">
            <w:pPr>
              <w:pStyle w:val="TableHeading1"/>
              <w:rPr>
                <w:lang w:val="en-GB"/>
              </w:rPr>
            </w:pPr>
            <w:r>
              <w:rPr>
                <w:lang w:val="en-GB"/>
              </w:rPr>
              <w:t>Healthcare</w:t>
            </w: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63.25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46.77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26.35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24.98</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14.21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0.00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0.46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- 0.26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- 0.08</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- 5.19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Private costs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- 14.62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- 15.98</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- 17.49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- 16.23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- 26.49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BF170C" w:rsidRDefault="00BF170C" w:rsidP="00BF170C">
            <w:pPr>
              <w:pStyle w:val="TableDataEntries"/>
              <w:jc w:val="left"/>
              <w:rPr>
                <w:lang w:val="en-GB"/>
              </w:rPr>
            </w:pPr>
            <w:r>
              <w:rPr>
                <w:lang w:val="en-GB"/>
              </w:rPr>
              <w:t>Net private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xml:space="preserve"> 48.63</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xml:space="preserve"> 31.25</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xml:space="preserve"> 8.60</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xml:space="preserve"> 8.67</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- 17.46</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15.16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11.21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6.32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5.99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3.41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0.00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0.21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- 0.12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- 0.04</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- 2.37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RPr="00BF170C"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BF170C" w:rsidRPr="00BF170C" w:rsidRDefault="00BF170C" w:rsidP="00BF170C">
            <w:pPr>
              <w:pStyle w:val="TableDataEntries"/>
              <w:jc w:val="left"/>
              <w:rPr>
                <w:rFonts w:ascii="Franklin Gothic Demi" w:hAnsi="Franklin Gothic Demi"/>
                <w:lang w:val="en-GB"/>
              </w:rPr>
            </w:pPr>
            <w:r w:rsidRPr="00BF170C">
              <w:rPr>
                <w:rFonts w:ascii="Franklin Gothic Demi" w:hAnsi="Franklin Gothic Demi"/>
                <w:lang w:val="en-GB"/>
              </w:rPr>
              <w:t>Net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63.79</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42.67</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14.80</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14.62</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- 16.42</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BF170C" w:rsidRDefault="00BF170C" w:rsidP="00BF170C">
            <w:pPr>
              <w:pStyle w:val="TableHeading1"/>
              <w:rPr>
                <w:lang w:val="en-GB"/>
              </w:rPr>
            </w:pPr>
            <w:r>
              <w:rPr>
                <w:lang w:val="en-GB"/>
              </w:rPr>
              <w:t>School</w:t>
            </w: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142.35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89.61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55.62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40.87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45.43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0.04</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2.00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5.79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3.26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6.84</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Private costs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- 5.61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- 12.16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- 17.65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- 18.10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- 7.71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BF170C" w:rsidRDefault="00BF170C" w:rsidP="00BF170C">
            <w:pPr>
              <w:pStyle w:val="TableDataEntries"/>
              <w:jc w:val="left"/>
              <w:rPr>
                <w:lang w:val="en-GB"/>
              </w:rPr>
            </w:pPr>
            <w:r>
              <w:rPr>
                <w:lang w:val="en-GB"/>
              </w:rPr>
              <w:t>Net private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xml:space="preserve"> 136.77</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xml:space="preserve"> 79.45</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xml:space="preserve"> 43.75</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xml:space="preserve"> 26.03</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xml:space="preserve"> 44.57</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34.13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21.48</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13.33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9.80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10.89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0.02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0.91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2.64</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1.49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3.12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RPr="00BF170C" w:rsidTr="00301B6D">
        <w:trPr>
          <w:trHeight w:val="230"/>
        </w:trPr>
        <w:tc>
          <w:tcPr>
            <w:tcW w:w="2456"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rsidR="00BF170C" w:rsidRPr="00BF170C" w:rsidRDefault="00BF170C" w:rsidP="00BF170C">
            <w:pPr>
              <w:pStyle w:val="TableDataEntries"/>
              <w:jc w:val="left"/>
              <w:rPr>
                <w:rFonts w:ascii="Franklin Gothic Demi" w:hAnsi="Franklin Gothic Demi"/>
                <w:lang w:val="en-GB"/>
              </w:rPr>
            </w:pPr>
            <w:r w:rsidRPr="00BF170C">
              <w:rPr>
                <w:rFonts w:ascii="Franklin Gothic Demi" w:hAnsi="Franklin Gothic Demi"/>
                <w:lang w:val="en-GB"/>
              </w:rPr>
              <w:t>Net benefit/cost</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170.92</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101.84</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59.73</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37.31</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58.58</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r>
    </w:tbl>
    <w:p w:rsidR="00612FD3" w:rsidRDefault="00612FD3" w:rsidP="00612FD3">
      <w:pPr>
        <w:pStyle w:val="Note"/>
        <w:rPr>
          <w:lang w:bidi="fa-IR"/>
        </w:rPr>
      </w:pPr>
      <w:r w:rsidRPr="007D1B4F">
        <w:rPr>
          <w:i/>
        </w:rPr>
        <w:t>Note:</w:t>
      </w:r>
      <w:r w:rsidRPr="00E879B8">
        <w:t xml:space="preserve"> </w:t>
      </w:r>
      <w:r>
        <w:t>Costs and benefits are estimated over the assumed 40 year life of the building, using a discount rate of 7 per cent.</w:t>
      </w:r>
    </w:p>
    <w:p w:rsidR="00612FD3" w:rsidRDefault="00612FD3" w:rsidP="00612FD3">
      <w:pPr>
        <w:pStyle w:val="Source"/>
        <w:rPr>
          <w:lang w:bidi="fa-IR"/>
        </w:rPr>
      </w:pPr>
      <w:r w:rsidRPr="00C6138D">
        <w:rPr>
          <w:i/>
          <w:lang w:bidi="fa-IR"/>
        </w:rPr>
        <w:t>Source:</w:t>
      </w:r>
      <w:r>
        <w:rPr>
          <w:lang w:bidi="fa-IR"/>
        </w:rPr>
        <w:t xml:space="preserve"> CIE based on </w:t>
      </w:r>
      <w:r w:rsidR="00EB5964">
        <w:rPr>
          <w:lang w:bidi="fa-IR"/>
        </w:rPr>
        <w:t>EA</w:t>
      </w:r>
      <w:r>
        <w:rPr>
          <w:lang w:bidi="fa-IR"/>
        </w:rPr>
        <w:t xml:space="preserve"> modelling.</w:t>
      </w:r>
    </w:p>
    <w:p w:rsidR="00612FD3" w:rsidRDefault="00612FD3" w:rsidP="00612FD3">
      <w:pPr>
        <w:pStyle w:val="Heading7"/>
        <w:numPr>
          <w:ilvl w:val="6"/>
          <w:numId w:val="5"/>
        </w:numPr>
      </w:pPr>
      <w:r>
        <w:t>Tasmania</w:t>
      </w:r>
    </w:p>
    <w:p w:rsidR="00612FD3" w:rsidRDefault="00612FD3" w:rsidP="00612FD3">
      <w:pPr>
        <w:pStyle w:val="Caption"/>
      </w:pPr>
      <w:r w:rsidRPr="00BF170C">
        <w:fldChar w:fldCharType="begin"/>
      </w:r>
      <w:r w:rsidRPr="00BF170C">
        <w:instrText xml:space="preserve"> IF 1 = 1 "</w:instrText>
      </w:r>
      <w:r w:rsidRPr="00BF170C">
        <w:fldChar w:fldCharType="begin"/>
      </w:r>
      <w:r w:rsidRPr="00BF170C">
        <w:instrText xml:space="preserve"> IF </w:instrText>
      </w:r>
      <w:r w:rsidRPr="00BF170C">
        <w:rPr>
          <w:noProof/>
        </w:rPr>
        <w:fldChar w:fldCharType="begin"/>
      </w:r>
      <w:r w:rsidRPr="00BF170C">
        <w:rPr>
          <w:noProof/>
        </w:rPr>
        <w:instrText xml:space="preserve"> STYLEREF "Heading 6" \l \n </w:instrText>
      </w:r>
      <w:r w:rsidRPr="00BF170C">
        <w:rPr>
          <w:noProof/>
        </w:rPr>
        <w:fldChar w:fldCharType="separate"/>
      </w:r>
      <w:r w:rsidR="00B833F1">
        <w:rPr>
          <w:noProof/>
        </w:rPr>
        <w:instrText>I</w:instrText>
      </w:r>
      <w:r w:rsidRPr="00BF170C">
        <w:rPr>
          <w:noProof/>
        </w:rPr>
        <w:fldChar w:fldCharType="end"/>
      </w:r>
      <w:r w:rsidRPr="00BF170C">
        <w:instrText xml:space="preserve"> = 0 "</w:instrText>
      </w:r>
      <w:r w:rsidRPr="00BF170C">
        <w:fldChar w:fldCharType="begin"/>
      </w:r>
      <w:r w:rsidRPr="00BF170C">
        <w:instrText xml:space="preserve"> IF </w:instrText>
      </w:r>
      <w:r w:rsidRPr="00BF170C">
        <w:rPr>
          <w:noProof/>
        </w:rPr>
        <w:fldChar w:fldCharType="begin"/>
      </w:r>
      <w:r w:rsidRPr="00BF170C">
        <w:rPr>
          <w:noProof/>
        </w:rPr>
        <w:instrText xml:space="preserve"> STYLEREF "Heading 1" \l \n </w:instrText>
      </w:r>
      <w:r w:rsidRPr="00BF170C">
        <w:rPr>
          <w:noProof/>
        </w:rPr>
        <w:fldChar w:fldCharType="separate"/>
      </w:r>
      <w:r w:rsidRPr="00BF170C">
        <w:rPr>
          <w:noProof/>
        </w:rPr>
        <w:instrText>1</w:instrText>
      </w:r>
      <w:r w:rsidRPr="00BF170C">
        <w:rPr>
          <w:noProof/>
        </w:rPr>
        <w:fldChar w:fldCharType="end"/>
      </w:r>
      <w:r w:rsidRPr="00BF170C">
        <w:instrText xml:space="preserve"> = 0 "" "</w:instrText>
      </w:r>
      <w:r w:rsidRPr="00BF170C">
        <w:rPr>
          <w:noProof/>
        </w:rPr>
        <w:fldChar w:fldCharType="begin"/>
      </w:r>
      <w:r w:rsidRPr="00BF170C">
        <w:rPr>
          <w:noProof/>
        </w:rPr>
        <w:instrText xml:space="preserve"> STYLEREF "Heading 1" \l \n </w:instrText>
      </w:r>
      <w:r w:rsidRPr="00BF170C">
        <w:rPr>
          <w:noProof/>
        </w:rPr>
        <w:fldChar w:fldCharType="separate"/>
      </w:r>
      <w:r w:rsidRPr="00BF170C">
        <w:rPr>
          <w:noProof/>
        </w:rPr>
        <w:instrText>1</w:instrText>
      </w:r>
      <w:r w:rsidRPr="00BF170C">
        <w:rPr>
          <w:noProof/>
        </w:rPr>
        <w:fldChar w:fldCharType="end"/>
      </w:r>
      <w:r w:rsidRPr="00BF170C">
        <w:instrText xml:space="preserve">." </w:instrText>
      </w:r>
      <w:r w:rsidRPr="00BF170C">
        <w:fldChar w:fldCharType="separate"/>
      </w:r>
      <w:r w:rsidRPr="00BF170C">
        <w:rPr>
          <w:noProof/>
        </w:rPr>
        <w:instrText>1.</w:instrText>
      </w:r>
      <w:r w:rsidRPr="00BF170C">
        <w:fldChar w:fldCharType="end"/>
      </w:r>
      <w:r w:rsidRPr="00BF170C">
        <w:instrText>" "</w:instrText>
      </w:r>
      <w:r w:rsidRPr="00BF170C">
        <w:rPr>
          <w:noProof/>
        </w:rPr>
        <w:fldChar w:fldCharType="begin"/>
      </w:r>
      <w:r w:rsidRPr="00BF170C">
        <w:rPr>
          <w:noProof/>
        </w:rPr>
        <w:instrText xml:space="preserve"> STYLEREF "Heading 6" \l \n </w:instrText>
      </w:r>
      <w:r w:rsidRPr="00BF170C">
        <w:rPr>
          <w:noProof/>
        </w:rPr>
        <w:fldChar w:fldCharType="separate"/>
      </w:r>
      <w:r w:rsidR="00B833F1">
        <w:rPr>
          <w:noProof/>
        </w:rPr>
        <w:instrText>I</w:instrText>
      </w:r>
      <w:r w:rsidRPr="00BF170C">
        <w:rPr>
          <w:noProof/>
        </w:rPr>
        <w:fldChar w:fldCharType="end"/>
      </w:r>
      <w:r w:rsidRPr="00BF170C">
        <w:instrText xml:space="preserve">." </w:instrText>
      </w:r>
      <w:r w:rsidRPr="00BF170C">
        <w:fldChar w:fldCharType="separate"/>
      </w:r>
      <w:r w:rsidR="00B833F1">
        <w:rPr>
          <w:noProof/>
        </w:rPr>
        <w:instrText>I</w:instrText>
      </w:r>
      <w:r w:rsidR="00B833F1" w:rsidRPr="00BF170C">
        <w:rPr>
          <w:noProof/>
        </w:rPr>
        <w:instrText>.</w:instrText>
      </w:r>
      <w:r w:rsidRPr="00BF170C">
        <w:fldChar w:fldCharType="end"/>
      </w:r>
      <w:r w:rsidRPr="00BF170C">
        <w:fldChar w:fldCharType="begin"/>
      </w:r>
      <w:r w:rsidRPr="00BF170C">
        <w:instrText xml:space="preserve"> SEQ Item \* ARABIC \s </w:instrText>
      </w:r>
      <w:r w:rsidRPr="00BF170C">
        <w:fldChar w:fldCharType="begin"/>
      </w:r>
      <w:r w:rsidRPr="00BF170C">
        <w:instrText xml:space="preserve"> IF </w:instrText>
      </w:r>
      <w:r w:rsidRPr="00BF170C">
        <w:rPr>
          <w:noProof/>
        </w:rPr>
        <w:fldChar w:fldCharType="begin"/>
      </w:r>
      <w:r w:rsidRPr="00BF170C">
        <w:rPr>
          <w:noProof/>
        </w:rPr>
        <w:instrText xml:space="preserve"> STYLEREF "Heading 6" \l \n </w:instrText>
      </w:r>
      <w:r w:rsidRPr="00BF170C">
        <w:rPr>
          <w:noProof/>
        </w:rPr>
        <w:fldChar w:fldCharType="separate"/>
      </w:r>
      <w:r w:rsidR="00B833F1">
        <w:rPr>
          <w:noProof/>
        </w:rPr>
        <w:instrText>I</w:instrText>
      </w:r>
      <w:r w:rsidRPr="00BF170C">
        <w:rPr>
          <w:noProof/>
        </w:rPr>
        <w:fldChar w:fldCharType="end"/>
      </w:r>
      <w:r w:rsidRPr="00BF170C">
        <w:instrText xml:space="preserve"> = 0 "</w:instrText>
      </w:r>
      <w:r w:rsidRPr="00BF170C">
        <w:fldChar w:fldCharType="begin"/>
      </w:r>
      <w:r w:rsidRPr="00BF170C">
        <w:instrText xml:space="preserve"> IF </w:instrText>
      </w:r>
      <w:r w:rsidRPr="00BF170C">
        <w:rPr>
          <w:noProof/>
        </w:rPr>
        <w:fldChar w:fldCharType="begin"/>
      </w:r>
      <w:r w:rsidRPr="00BF170C">
        <w:rPr>
          <w:noProof/>
        </w:rPr>
        <w:instrText xml:space="preserve"> STYLEREF "Heading 1" \l \n </w:instrText>
      </w:r>
      <w:r w:rsidRPr="00BF170C">
        <w:rPr>
          <w:noProof/>
        </w:rPr>
        <w:fldChar w:fldCharType="separate"/>
      </w:r>
      <w:r w:rsidRPr="00BF170C">
        <w:rPr>
          <w:noProof/>
        </w:rPr>
        <w:instrText>1</w:instrText>
      </w:r>
      <w:r w:rsidRPr="00BF170C">
        <w:rPr>
          <w:noProof/>
        </w:rPr>
        <w:fldChar w:fldCharType="end"/>
      </w:r>
      <w:r w:rsidRPr="00BF170C">
        <w:instrText xml:space="preserve"> = 0 "" "1" </w:instrText>
      </w:r>
      <w:r w:rsidRPr="00BF170C">
        <w:fldChar w:fldCharType="separate"/>
      </w:r>
      <w:r w:rsidRPr="00BF170C">
        <w:rPr>
          <w:noProof/>
        </w:rPr>
        <w:instrText>1</w:instrText>
      </w:r>
      <w:r w:rsidRPr="00BF170C">
        <w:fldChar w:fldCharType="end"/>
      </w:r>
      <w:r w:rsidRPr="00BF170C">
        <w:instrText xml:space="preserve">" "6" </w:instrText>
      </w:r>
      <w:r w:rsidRPr="00BF170C">
        <w:fldChar w:fldCharType="separate"/>
      </w:r>
      <w:r w:rsidR="00B833F1" w:rsidRPr="00BF170C">
        <w:rPr>
          <w:noProof/>
        </w:rPr>
        <w:instrText>6</w:instrText>
      </w:r>
      <w:r w:rsidRPr="00BF170C">
        <w:fldChar w:fldCharType="end"/>
      </w:r>
      <w:r w:rsidRPr="00BF170C">
        <w:instrText xml:space="preserve"> </w:instrText>
      </w:r>
      <w:r w:rsidRPr="00BF170C">
        <w:fldChar w:fldCharType="separate"/>
      </w:r>
      <w:r w:rsidR="00B833F1">
        <w:rPr>
          <w:noProof/>
        </w:rPr>
        <w:instrText>16</w:instrText>
      </w:r>
      <w:r w:rsidRPr="00BF170C">
        <w:fldChar w:fldCharType="end"/>
      </w:r>
      <w:r w:rsidRPr="00BF170C">
        <w:instrText xml:space="preserve">" "" </w:instrText>
      </w:r>
      <w:r w:rsidRPr="00BF170C">
        <w:fldChar w:fldCharType="separate"/>
      </w:r>
      <w:bookmarkStart w:id="10024" w:name="_Caption8345"/>
      <w:bookmarkStart w:id="10025" w:name="_Caption3685"/>
      <w:bookmarkStart w:id="10026" w:name="_Caption7096"/>
      <w:bookmarkStart w:id="10027" w:name="_Caption6391"/>
      <w:bookmarkStart w:id="10028" w:name="_Caption2895"/>
      <w:bookmarkStart w:id="10029" w:name="_Caption4917"/>
      <w:bookmarkStart w:id="10030" w:name="_Caption5989"/>
      <w:bookmarkStart w:id="10031" w:name="_Caption2445"/>
      <w:bookmarkStart w:id="10032" w:name="_Caption3684"/>
      <w:bookmarkStart w:id="10033" w:name="_Caption3251"/>
      <w:bookmarkStart w:id="10034" w:name="_Caption2526"/>
      <w:bookmarkStart w:id="10035" w:name="_Caption3111"/>
      <w:bookmarkStart w:id="10036" w:name="_Caption7162"/>
      <w:bookmarkStart w:id="10037" w:name="_Caption7122"/>
      <w:bookmarkStart w:id="10038" w:name="_Caption2405"/>
      <w:bookmarkStart w:id="10039" w:name="_Caption0533"/>
      <w:bookmarkStart w:id="10040" w:name="_Caption3583"/>
      <w:bookmarkStart w:id="10041" w:name="_Caption4482"/>
      <w:bookmarkStart w:id="10042" w:name="_Caption6723"/>
      <w:bookmarkStart w:id="10043" w:name="_Caption6098"/>
      <w:bookmarkStart w:id="10044" w:name="_Caption5085"/>
      <w:bookmarkStart w:id="10045" w:name="_Caption6116"/>
      <w:bookmarkStart w:id="10046" w:name="_Caption0104"/>
      <w:bookmarkStart w:id="10047" w:name="_Caption9284"/>
      <w:bookmarkStart w:id="10048" w:name="_Caption1613"/>
      <w:bookmarkStart w:id="10049" w:name="_Caption1018"/>
      <w:bookmarkStart w:id="10050" w:name="_Caption9352"/>
      <w:bookmarkStart w:id="10051" w:name="_Caption9605"/>
      <w:bookmarkStart w:id="10052" w:name="_Caption2313"/>
      <w:bookmarkStart w:id="10053" w:name="_Caption9830"/>
      <w:bookmarkStart w:id="10054" w:name="_Caption4261"/>
      <w:bookmarkStart w:id="10055" w:name="_Caption6340"/>
      <w:bookmarkStart w:id="10056" w:name="_Caption9655"/>
      <w:bookmarkStart w:id="10057" w:name="_Caption6305"/>
      <w:bookmarkStart w:id="10058" w:name="_Caption3070"/>
      <w:bookmarkStart w:id="10059" w:name="_Caption9177"/>
      <w:bookmarkStart w:id="10060" w:name="_Caption6687"/>
      <w:bookmarkStart w:id="10061" w:name="_Caption8187"/>
      <w:bookmarkStart w:id="10062" w:name="_Caption6822"/>
      <w:bookmarkStart w:id="10063" w:name="_Caption5767"/>
      <w:bookmarkStart w:id="10064" w:name="_Caption9928"/>
      <w:bookmarkStart w:id="10065" w:name="_Caption0566"/>
      <w:bookmarkStart w:id="10066" w:name="_Caption8212"/>
      <w:bookmarkStart w:id="10067" w:name="_Caption7434"/>
      <w:bookmarkStart w:id="10068" w:name="_Caption2245"/>
      <w:bookmarkStart w:id="10069" w:name="_Caption3485"/>
      <w:bookmarkStart w:id="10070" w:name="_Caption4860"/>
      <w:bookmarkStart w:id="10071" w:name="_Caption4714"/>
      <w:bookmarkStart w:id="10072" w:name="_Caption7860"/>
      <w:bookmarkStart w:id="10073" w:name="_Caption5939"/>
      <w:bookmarkStart w:id="10074" w:name="_Caption7263"/>
      <w:bookmarkStart w:id="10075" w:name="_Caption5946"/>
      <w:bookmarkStart w:id="10076" w:name="_Caption9201"/>
      <w:bookmarkStart w:id="10077" w:name="_Caption8944"/>
      <w:bookmarkStart w:id="10078" w:name="_Caption2683"/>
      <w:bookmarkStart w:id="10079" w:name="_Caption0979"/>
      <w:bookmarkStart w:id="10080" w:name="_Caption4321"/>
      <w:bookmarkStart w:id="10081" w:name="_Caption6621"/>
      <w:bookmarkStart w:id="10082" w:name="_Caption3158"/>
      <w:bookmarkStart w:id="10083" w:name="_Caption9211"/>
      <w:bookmarkStart w:id="10084" w:name="_Caption9387"/>
      <w:bookmarkStart w:id="10085" w:name="_Caption8041"/>
      <w:bookmarkStart w:id="10086" w:name="_Caption1047"/>
      <w:bookmarkStart w:id="10087" w:name="_Caption7461"/>
      <w:bookmarkStart w:id="10088" w:name="_Caption8328"/>
      <w:bookmarkStart w:id="10089" w:name="_Caption6129"/>
      <w:bookmarkStart w:id="10090" w:name="_Caption5429"/>
      <w:bookmarkStart w:id="10091" w:name="_Toc529870030"/>
      <w:bookmarkStart w:id="10092" w:name="_Toc530748526"/>
      <w:r w:rsidR="00EA42ED">
        <w:rPr>
          <w:noProof/>
        </w:rPr>
        <w:t>I</w:t>
      </w:r>
      <w:r w:rsidR="00EA42ED" w:rsidRPr="00BF170C">
        <w:rPr>
          <w:noProof/>
        </w:rPr>
        <w:t>.</w:t>
      </w:r>
      <w:r w:rsidR="00EA42ED">
        <w:rPr>
          <w:noProof/>
        </w:rPr>
        <w:t>16</w:t>
      </w:r>
      <w:bookmarkEnd w:id="10024"/>
      <w:bookmarkEnd w:id="10025"/>
      <w:bookmarkEnd w:id="10026"/>
      <w:bookmarkEnd w:id="10027"/>
      <w:bookmarkEnd w:id="10028"/>
      <w:bookmarkEnd w:id="10029"/>
      <w:bookmarkEnd w:id="10030"/>
      <w:bookmarkEnd w:id="10031"/>
      <w:bookmarkEnd w:id="10032"/>
      <w:bookmarkEnd w:id="10033"/>
      <w:bookmarkEnd w:id="10034"/>
      <w:bookmarkEnd w:id="10035"/>
      <w:bookmarkEnd w:id="10036"/>
      <w:bookmarkEnd w:id="10037"/>
      <w:bookmarkEnd w:id="10038"/>
      <w:bookmarkEnd w:id="10039"/>
      <w:bookmarkEnd w:id="10040"/>
      <w:bookmarkEnd w:id="10041"/>
      <w:bookmarkEnd w:id="10042"/>
      <w:bookmarkEnd w:id="10043"/>
      <w:bookmarkEnd w:id="10044"/>
      <w:bookmarkEnd w:id="10045"/>
      <w:bookmarkEnd w:id="10046"/>
      <w:bookmarkEnd w:id="10047"/>
      <w:bookmarkEnd w:id="10048"/>
      <w:bookmarkEnd w:id="10049"/>
      <w:bookmarkEnd w:id="10050"/>
      <w:bookmarkEnd w:id="10051"/>
      <w:bookmarkEnd w:id="10052"/>
      <w:bookmarkEnd w:id="10053"/>
      <w:bookmarkEnd w:id="10054"/>
      <w:bookmarkEnd w:id="10055"/>
      <w:bookmarkEnd w:id="10056"/>
      <w:bookmarkEnd w:id="10057"/>
      <w:bookmarkEnd w:id="10058"/>
      <w:bookmarkEnd w:id="10059"/>
      <w:bookmarkEnd w:id="10060"/>
      <w:bookmarkEnd w:id="10061"/>
      <w:bookmarkEnd w:id="10062"/>
      <w:bookmarkEnd w:id="10063"/>
      <w:bookmarkEnd w:id="10064"/>
      <w:bookmarkEnd w:id="10065"/>
      <w:bookmarkEnd w:id="10066"/>
      <w:bookmarkEnd w:id="10067"/>
      <w:bookmarkEnd w:id="10068"/>
      <w:bookmarkEnd w:id="10069"/>
      <w:bookmarkEnd w:id="10070"/>
      <w:bookmarkEnd w:id="10071"/>
      <w:bookmarkEnd w:id="10072"/>
      <w:bookmarkEnd w:id="10073"/>
      <w:bookmarkEnd w:id="10074"/>
      <w:bookmarkEnd w:id="10075"/>
      <w:bookmarkEnd w:id="10076"/>
      <w:bookmarkEnd w:id="10077"/>
      <w:bookmarkEnd w:id="10078"/>
      <w:bookmarkEnd w:id="10079"/>
      <w:bookmarkEnd w:id="10080"/>
      <w:bookmarkEnd w:id="10081"/>
      <w:bookmarkEnd w:id="10082"/>
      <w:bookmarkEnd w:id="10083"/>
      <w:bookmarkEnd w:id="10084"/>
      <w:bookmarkEnd w:id="10085"/>
      <w:bookmarkEnd w:id="10086"/>
      <w:bookmarkEnd w:id="10087"/>
      <w:bookmarkEnd w:id="10088"/>
      <w:bookmarkEnd w:id="10089"/>
      <w:bookmarkEnd w:id="10090"/>
      <w:r w:rsidRPr="00BF170C">
        <w:fldChar w:fldCharType="end"/>
      </w:r>
      <w:r w:rsidRPr="00BF170C">
        <w:tab/>
        <w:t>Net benefits to Tasmania — low realisation scenario</w:t>
      </w:r>
      <w:bookmarkEnd w:id="10091"/>
      <w:bookmarkEnd w:id="10092"/>
    </w:p>
    <w:tbl>
      <w:tblPr>
        <w:tblW w:w="7937" w:type="dxa"/>
        <w:tblLayout w:type="fixed"/>
        <w:tblLook w:val="0000" w:firstRow="0" w:lastRow="0" w:firstColumn="0" w:lastColumn="0" w:noHBand="0" w:noVBand="0"/>
        <w:tblCaption w:val="I.16 Net benefits to Tasmania - low realisation"/>
        <w:tblDescription w:val="This table shows the net benefits under a low realisation scenario of the proposed changes to NCC 2019 in Tasmania. "/>
      </w:tblPr>
      <w:tblGrid>
        <w:gridCol w:w="2456"/>
        <w:gridCol w:w="783"/>
        <w:gridCol w:w="783"/>
        <w:gridCol w:w="783"/>
        <w:gridCol w:w="783"/>
        <w:gridCol w:w="783"/>
        <w:gridCol w:w="783"/>
        <w:gridCol w:w="783"/>
      </w:tblGrid>
      <w:tr w:rsidR="00612FD3" w:rsidTr="00301B6D">
        <w:trPr>
          <w:trHeight w:val="230"/>
          <w:tblHeader/>
        </w:trPr>
        <w:tc>
          <w:tcPr>
            <w:tcW w:w="2456" w:type="dxa"/>
            <w:shd w:val="clear" w:color="auto" w:fill="6F6652"/>
            <w:tcMar>
              <w:left w:w="57" w:type="dxa"/>
              <w:right w:w="57" w:type="dxa"/>
            </w:tcMar>
          </w:tcPr>
          <w:p w:rsidR="00612FD3" w:rsidRDefault="00612FD3" w:rsidP="00301B6D">
            <w:pPr>
              <w:pStyle w:val="TableDataColumnHeading"/>
              <w:jc w:val="left"/>
              <w:rPr>
                <w:lang w:val="en-GB"/>
              </w:rPr>
            </w:pP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CZ1</w:t>
            </w: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CZ2</w:t>
            </w: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CZ3</w:t>
            </w: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CZ4</w:t>
            </w: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CZ5</w:t>
            </w: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CZ6</w:t>
            </w: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CZ7</w:t>
            </w:r>
          </w:p>
        </w:tc>
      </w:tr>
      <w:tr w:rsidR="00612FD3" w:rsidTr="00301B6D">
        <w:trPr>
          <w:trHeight w:val="230"/>
          <w:tblHeader/>
        </w:trPr>
        <w:tc>
          <w:tcPr>
            <w:tcW w:w="2456"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jc w:val="left"/>
              <w:rPr>
                <w:lang w:val="en-GB"/>
              </w:rPr>
            </w:pP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r>
      <w:tr w:rsidR="00612FD3" w:rsidTr="00301B6D">
        <w:trPr>
          <w:trHeight w:val="230"/>
        </w:trPr>
        <w:tc>
          <w:tcPr>
            <w:tcW w:w="245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r>
              <w:rPr>
                <w:lang w:val="en-GB"/>
              </w:rPr>
              <w:t>Hotels</w:t>
            </w: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22.74</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1.11</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Private costs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12.65</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BF170C" w:rsidRDefault="00BF170C" w:rsidP="00BF170C">
            <w:pPr>
              <w:pStyle w:val="TableDataEntries"/>
              <w:jc w:val="left"/>
              <w:rPr>
                <w:lang w:val="en-GB"/>
              </w:rPr>
            </w:pPr>
            <w:r>
              <w:rPr>
                <w:lang w:val="en-GB"/>
              </w:rPr>
              <w:t>Net private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xml:space="preserve"> 36.50</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2.47</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0.28</w:t>
            </w:r>
          </w:p>
        </w:tc>
      </w:tr>
      <w:tr w:rsidR="00BF170C" w:rsidRPr="00BF170C"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BF170C" w:rsidRPr="00BF170C" w:rsidRDefault="00BF170C" w:rsidP="00BF170C">
            <w:pPr>
              <w:pStyle w:val="TableDataEntries"/>
              <w:jc w:val="left"/>
              <w:rPr>
                <w:rFonts w:ascii="Franklin Gothic Demi" w:hAnsi="Franklin Gothic Demi"/>
                <w:lang w:val="en-GB"/>
              </w:rPr>
            </w:pPr>
            <w:r w:rsidRPr="00BF170C">
              <w:rPr>
                <w:rFonts w:ascii="Franklin Gothic Demi" w:hAnsi="Franklin Gothic Demi"/>
                <w:lang w:val="en-GB"/>
              </w:rPr>
              <w:t>Net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39.26</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BF170C" w:rsidRDefault="00BF170C" w:rsidP="00BF170C">
            <w:pPr>
              <w:pStyle w:val="TableHeading1"/>
              <w:rPr>
                <w:lang w:val="en-GB"/>
              </w:rPr>
            </w:pPr>
            <w:r>
              <w:rPr>
                <w:lang w:val="en-GB"/>
              </w:rPr>
              <w:t>Office building</w:t>
            </w: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5.13</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1.02</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Private costs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- 1.72</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BF170C" w:rsidRDefault="00BF170C" w:rsidP="00BF170C">
            <w:pPr>
              <w:pStyle w:val="TableDataEntries"/>
              <w:jc w:val="left"/>
              <w:rPr>
                <w:lang w:val="en-GB"/>
              </w:rPr>
            </w:pPr>
            <w:r>
              <w:rPr>
                <w:lang w:val="en-GB"/>
              </w:rPr>
              <w:t>Net private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xml:space="preserve"> 4.42</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0.56</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0.26</w:t>
            </w:r>
          </w:p>
        </w:tc>
      </w:tr>
      <w:tr w:rsidR="00BF170C" w:rsidRPr="00BF170C"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BF170C" w:rsidRPr="00BF170C" w:rsidRDefault="00BF170C" w:rsidP="00BF170C">
            <w:pPr>
              <w:pStyle w:val="TableDataEntries"/>
              <w:jc w:val="left"/>
              <w:rPr>
                <w:rFonts w:ascii="Franklin Gothic Demi" w:hAnsi="Franklin Gothic Demi"/>
                <w:lang w:val="en-GB"/>
              </w:rPr>
            </w:pPr>
            <w:r w:rsidRPr="00BF170C">
              <w:rPr>
                <w:rFonts w:ascii="Franklin Gothic Demi" w:hAnsi="Franklin Gothic Demi"/>
                <w:lang w:val="en-GB"/>
              </w:rPr>
              <w:t>Net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5.24</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BF170C" w:rsidRDefault="00BF170C" w:rsidP="00BF170C">
            <w:pPr>
              <w:pStyle w:val="TableHeading1"/>
              <w:rPr>
                <w:lang w:val="en-GB"/>
              </w:rPr>
            </w:pPr>
            <w:r>
              <w:rPr>
                <w:lang w:val="en-GB"/>
              </w:rPr>
              <w:t>Retail</w:t>
            </w: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- 3.54</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4.23</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Private costs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- 16.62</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BF170C" w:rsidRDefault="00BF170C" w:rsidP="00BF170C">
            <w:pPr>
              <w:pStyle w:val="TableDataEntries"/>
              <w:jc w:val="left"/>
              <w:rPr>
                <w:lang w:val="en-GB"/>
              </w:rPr>
            </w:pPr>
            <w:r>
              <w:rPr>
                <w:lang w:val="en-GB"/>
              </w:rPr>
              <w:t>Net private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- 15.93</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- 0.39</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1.09</w:t>
            </w:r>
          </w:p>
        </w:tc>
      </w:tr>
      <w:tr w:rsidR="00BF170C" w:rsidRPr="00BF170C"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BF170C" w:rsidRPr="00BF170C" w:rsidRDefault="00BF170C" w:rsidP="00BF170C">
            <w:pPr>
              <w:pStyle w:val="TableDataEntries"/>
              <w:jc w:val="left"/>
              <w:rPr>
                <w:rFonts w:ascii="Franklin Gothic Demi" w:hAnsi="Franklin Gothic Demi"/>
                <w:lang w:val="en-GB"/>
              </w:rPr>
            </w:pPr>
            <w:r w:rsidRPr="00BF170C">
              <w:rPr>
                <w:rFonts w:ascii="Franklin Gothic Demi" w:hAnsi="Franklin Gothic Demi"/>
                <w:lang w:val="en-GB"/>
              </w:rPr>
              <w:t>Net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- 15.23</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BF170C" w:rsidRDefault="00BF170C" w:rsidP="00BF170C">
            <w:pPr>
              <w:pStyle w:val="TableHeading1"/>
              <w:rPr>
                <w:lang w:val="en-GB"/>
              </w:rPr>
            </w:pPr>
            <w:r>
              <w:rPr>
                <w:lang w:val="en-GB"/>
              </w:rPr>
              <w:t>Healthcare</w:t>
            </w: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11.93</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- 5.42</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Private costs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- 28.34</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BF170C" w:rsidRDefault="00BF170C" w:rsidP="00BF170C">
            <w:pPr>
              <w:pStyle w:val="TableDataEntries"/>
              <w:jc w:val="left"/>
              <w:rPr>
                <w:lang w:val="en-GB"/>
              </w:rPr>
            </w:pPr>
            <w:r>
              <w:rPr>
                <w:lang w:val="en-GB"/>
              </w:rPr>
              <w:t>Net private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- 21.83</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1.30</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- 1.39</w:t>
            </w:r>
          </w:p>
        </w:tc>
      </w:tr>
      <w:tr w:rsidR="00BF170C" w:rsidRPr="00BF170C"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BF170C" w:rsidRPr="00BF170C" w:rsidRDefault="00BF170C" w:rsidP="00BF170C">
            <w:pPr>
              <w:pStyle w:val="TableDataEntries"/>
              <w:jc w:val="left"/>
              <w:rPr>
                <w:rFonts w:ascii="Franklin Gothic Demi" w:hAnsi="Franklin Gothic Demi"/>
                <w:lang w:val="en-GB"/>
              </w:rPr>
            </w:pPr>
            <w:r w:rsidRPr="00BF170C">
              <w:rPr>
                <w:rFonts w:ascii="Franklin Gothic Demi" w:hAnsi="Franklin Gothic Demi"/>
                <w:lang w:val="en-GB"/>
              </w:rPr>
              <w:t>Net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- 21.93</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BF170C" w:rsidRDefault="00BF170C" w:rsidP="00BF170C">
            <w:pPr>
              <w:pStyle w:val="TableHeading1"/>
              <w:rPr>
                <w:lang w:val="en-GB"/>
              </w:rPr>
            </w:pPr>
            <w:r>
              <w:rPr>
                <w:lang w:val="en-GB"/>
              </w:rPr>
              <w:t>School</w:t>
            </w: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29.56</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3.74</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Private costs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- 8.72</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BF170C" w:rsidRDefault="00BF170C" w:rsidP="00BF170C">
            <w:pPr>
              <w:pStyle w:val="TableDataEntries"/>
              <w:jc w:val="left"/>
              <w:rPr>
                <w:lang w:val="en-GB"/>
              </w:rPr>
            </w:pPr>
            <w:r>
              <w:rPr>
                <w:lang w:val="en-GB"/>
              </w:rPr>
              <w:t>Net private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xml:space="preserve"> 24.58</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3.21</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0.96</w:t>
            </w:r>
          </w:p>
        </w:tc>
      </w:tr>
      <w:tr w:rsidR="00BF170C" w:rsidRPr="00BF170C" w:rsidTr="00301B6D">
        <w:trPr>
          <w:trHeight w:val="230"/>
        </w:trPr>
        <w:tc>
          <w:tcPr>
            <w:tcW w:w="2456"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rsidR="00BF170C" w:rsidRPr="00BF170C" w:rsidRDefault="00BF170C" w:rsidP="00BF170C">
            <w:pPr>
              <w:pStyle w:val="TableDataEntries"/>
              <w:jc w:val="left"/>
              <w:rPr>
                <w:rFonts w:ascii="Franklin Gothic Demi" w:hAnsi="Franklin Gothic Demi"/>
                <w:lang w:val="en-GB"/>
              </w:rPr>
            </w:pPr>
            <w:r w:rsidRPr="00BF170C">
              <w:rPr>
                <w:rFonts w:ascii="Franklin Gothic Demi" w:hAnsi="Franklin Gothic Demi"/>
                <w:lang w:val="en-GB"/>
              </w:rPr>
              <w:t>Net benefit/cost</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28.75</w:t>
            </w:r>
          </w:p>
        </w:tc>
      </w:tr>
    </w:tbl>
    <w:p w:rsidR="00612FD3" w:rsidRDefault="00612FD3" w:rsidP="00612FD3">
      <w:pPr>
        <w:pStyle w:val="Note"/>
        <w:rPr>
          <w:lang w:bidi="fa-IR"/>
        </w:rPr>
      </w:pPr>
      <w:r w:rsidRPr="007D1B4F">
        <w:rPr>
          <w:i/>
        </w:rPr>
        <w:t>Note:</w:t>
      </w:r>
      <w:r w:rsidRPr="00E879B8">
        <w:t xml:space="preserve"> </w:t>
      </w:r>
      <w:r>
        <w:t>Costs and benefits are estimated over the assumed 40 year life of the building, using a discount rate of 7 per cent.</w:t>
      </w:r>
    </w:p>
    <w:p w:rsidR="00612FD3" w:rsidRDefault="00612FD3" w:rsidP="00612FD3">
      <w:pPr>
        <w:pStyle w:val="Source"/>
        <w:rPr>
          <w:lang w:bidi="fa-IR"/>
        </w:rPr>
      </w:pPr>
      <w:r w:rsidRPr="00C6138D">
        <w:rPr>
          <w:i/>
          <w:lang w:bidi="fa-IR"/>
        </w:rPr>
        <w:t>Source:</w:t>
      </w:r>
      <w:r>
        <w:rPr>
          <w:lang w:bidi="fa-IR"/>
        </w:rPr>
        <w:t xml:space="preserve"> CIE based on </w:t>
      </w:r>
      <w:r w:rsidR="00EB5964">
        <w:rPr>
          <w:lang w:bidi="fa-IR"/>
        </w:rPr>
        <w:t>EA</w:t>
      </w:r>
      <w:r>
        <w:rPr>
          <w:lang w:bidi="fa-IR"/>
        </w:rPr>
        <w:t xml:space="preserve"> modelling.</w:t>
      </w:r>
    </w:p>
    <w:p w:rsidR="00612FD3" w:rsidRDefault="00612FD3" w:rsidP="00612FD3">
      <w:pPr>
        <w:pStyle w:val="Caption"/>
      </w:pPr>
      <w:r w:rsidRPr="00BF170C">
        <w:fldChar w:fldCharType="begin"/>
      </w:r>
      <w:r w:rsidRPr="00BF170C">
        <w:instrText xml:space="preserve"> IF 1 = 1 "</w:instrText>
      </w:r>
      <w:r w:rsidRPr="00BF170C">
        <w:fldChar w:fldCharType="begin"/>
      </w:r>
      <w:r w:rsidRPr="00BF170C">
        <w:instrText xml:space="preserve"> IF </w:instrText>
      </w:r>
      <w:r w:rsidRPr="00BF170C">
        <w:rPr>
          <w:noProof/>
        </w:rPr>
        <w:fldChar w:fldCharType="begin"/>
      </w:r>
      <w:r w:rsidRPr="00BF170C">
        <w:rPr>
          <w:noProof/>
        </w:rPr>
        <w:instrText xml:space="preserve"> STYLEREF "Heading 6" \l \n </w:instrText>
      </w:r>
      <w:r w:rsidRPr="00BF170C">
        <w:rPr>
          <w:noProof/>
        </w:rPr>
        <w:fldChar w:fldCharType="separate"/>
      </w:r>
      <w:r w:rsidR="00B833F1">
        <w:rPr>
          <w:noProof/>
        </w:rPr>
        <w:instrText>I</w:instrText>
      </w:r>
      <w:r w:rsidRPr="00BF170C">
        <w:rPr>
          <w:noProof/>
        </w:rPr>
        <w:fldChar w:fldCharType="end"/>
      </w:r>
      <w:r w:rsidRPr="00BF170C">
        <w:instrText xml:space="preserve"> = 0 "</w:instrText>
      </w:r>
      <w:r w:rsidRPr="00BF170C">
        <w:fldChar w:fldCharType="begin"/>
      </w:r>
      <w:r w:rsidRPr="00BF170C">
        <w:instrText xml:space="preserve"> IF </w:instrText>
      </w:r>
      <w:r w:rsidRPr="00BF170C">
        <w:rPr>
          <w:noProof/>
        </w:rPr>
        <w:fldChar w:fldCharType="begin"/>
      </w:r>
      <w:r w:rsidRPr="00BF170C">
        <w:rPr>
          <w:noProof/>
        </w:rPr>
        <w:instrText xml:space="preserve"> STYLEREF "Heading 1" \l \n </w:instrText>
      </w:r>
      <w:r w:rsidRPr="00BF170C">
        <w:rPr>
          <w:noProof/>
        </w:rPr>
        <w:fldChar w:fldCharType="separate"/>
      </w:r>
      <w:r w:rsidRPr="00BF170C">
        <w:rPr>
          <w:noProof/>
        </w:rPr>
        <w:instrText>1</w:instrText>
      </w:r>
      <w:r w:rsidRPr="00BF170C">
        <w:rPr>
          <w:noProof/>
        </w:rPr>
        <w:fldChar w:fldCharType="end"/>
      </w:r>
      <w:r w:rsidRPr="00BF170C">
        <w:instrText xml:space="preserve"> = 0 "" "</w:instrText>
      </w:r>
      <w:r w:rsidRPr="00BF170C">
        <w:rPr>
          <w:noProof/>
        </w:rPr>
        <w:fldChar w:fldCharType="begin"/>
      </w:r>
      <w:r w:rsidRPr="00BF170C">
        <w:rPr>
          <w:noProof/>
        </w:rPr>
        <w:instrText xml:space="preserve"> STYLEREF "Heading 1" \l \n </w:instrText>
      </w:r>
      <w:r w:rsidRPr="00BF170C">
        <w:rPr>
          <w:noProof/>
        </w:rPr>
        <w:fldChar w:fldCharType="separate"/>
      </w:r>
      <w:r w:rsidRPr="00BF170C">
        <w:rPr>
          <w:noProof/>
        </w:rPr>
        <w:instrText>1</w:instrText>
      </w:r>
      <w:r w:rsidRPr="00BF170C">
        <w:rPr>
          <w:noProof/>
        </w:rPr>
        <w:fldChar w:fldCharType="end"/>
      </w:r>
      <w:r w:rsidRPr="00BF170C">
        <w:instrText xml:space="preserve">." </w:instrText>
      </w:r>
      <w:r w:rsidRPr="00BF170C">
        <w:fldChar w:fldCharType="separate"/>
      </w:r>
      <w:r w:rsidRPr="00BF170C">
        <w:rPr>
          <w:noProof/>
        </w:rPr>
        <w:instrText>1.</w:instrText>
      </w:r>
      <w:r w:rsidRPr="00BF170C">
        <w:fldChar w:fldCharType="end"/>
      </w:r>
      <w:r w:rsidRPr="00BF170C">
        <w:instrText>" "</w:instrText>
      </w:r>
      <w:r w:rsidRPr="00BF170C">
        <w:rPr>
          <w:noProof/>
        </w:rPr>
        <w:fldChar w:fldCharType="begin"/>
      </w:r>
      <w:r w:rsidRPr="00BF170C">
        <w:rPr>
          <w:noProof/>
        </w:rPr>
        <w:instrText xml:space="preserve"> STYLEREF "Heading 6" \l \n </w:instrText>
      </w:r>
      <w:r w:rsidRPr="00BF170C">
        <w:rPr>
          <w:noProof/>
        </w:rPr>
        <w:fldChar w:fldCharType="separate"/>
      </w:r>
      <w:r w:rsidR="00B833F1">
        <w:rPr>
          <w:noProof/>
        </w:rPr>
        <w:instrText>I</w:instrText>
      </w:r>
      <w:r w:rsidRPr="00BF170C">
        <w:rPr>
          <w:noProof/>
        </w:rPr>
        <w:fldChar w:fldCharType="end"/>
      </w:r>
      <w:r w:rsidRPr="00BF170C">
        <w:instrText xml:space="preserve">." </w:instrText>
      </w:r>
      <w:r w:rsidRPr="00BF170C">
        <w:fldChar w:fldCharType="separate"/>
      </w:r>
      <w:r w:rsidR="00B833F1">
        <w:rPr>
          <w:noProof/>
        </w:rPr>
        <w:instrText>I</w:instrText>
      </w:r>
      <w:r w:rsidR="00B833F1" w:rsidRPr="00BF170C">
        <w:rPr>
          <w:noProof/>
        </w:rPr>
        <w:instrText>.</w:instrText>
      </w:r>
      <w:r w:rsidRPr="00BF170C">
        <w:fldChar w:fldCharType="end"/>
      </w:r>
      <w:r w:rsidRPr="00BF170C">
        <w:fldChar w:fldCharType="begin"/>
      </w:r>
      <w:r w:rsidRPr="00BF170C">
        <w:instrText xml:space="preserve"> SEQ Item \* ARABIC \s </w:instrText>
      </w:r>
      <w:r w:rsidRPr="00BF170C">
        <w:fldChar w:fldCharType="begin"/>
      </w:r>
      <w:r w:rsidRPr="00BF170C">
        <w:instrText xml:space="preserve"> IF </w:instrText>
      </w:r>
      <w:r w:rsidRPr="00BF170C">
        <w:rPr>
          <w:noProof/>
        </w:rPr>
        <w:fldChar w:fldCharType="begin"/>
      </w:r>
      <w:r w:rsidRPr="00BF170C">
        <w:rPr>
          <w:noProof/>
        </w:rPr>
        <w:instrText xml:space="preserve"> STYLEREF "Heading 6" \l \n </w:instrText>
      </w:r>
      <w:r w:rsidRPr="00BF170C">
        <w:rPr>
          <w:noProof/>
        </w:rPr>
        <w:fldChar w:fldCharType="separate"/>
      </w:r>
      <w:r w:rsidR="00B833F1">
        <w:rPr>
          <w:noProof/>
        </w:rPr>
        <w:instrText>I</w:instrText>
      </w:r>
      <w:r w:rsidRPr="00BF170C">
        <w:rPr>
          <w:noProof/>
        </w:rPr>
        <w:fldChar w:fldCharType="end"/>
      </w:r>
      <w:r w:rsidRPr="00BF170C">
        <w:instrText xml:space="preserve"> = 0 "</w:instrText>
      </w:r>
      <w:r w:rsidRPr="00BF170C">
        <w:fldChar w:fldCharType="begin"/>
      </w:r>
      <w:r w:rsidRPr="00BF170C">
        <w:instrText xml:space="preserve"> IF </w:instrText>
      </w:r>
      <w:r w:rsidRPr="00BF170C">
        <w:rPr>
          <w:noProof/>
        </w:rPr>
        <w:fldChar w:fldCharType="begin"/>
      </w:r>
      <w:r w:rsidRPr="00BF170C">
        <w:rPr>
          <w:noProof/>
        </w:rPr>
        <w:instrText xml:space="preserve"> STYLEREF "Heading 1" \l \n </w:instrText>
      </w:r>
      <w:r w:rsidRPr="00BF170C">
        <w:rPr>
          <w:noProof/>
        </w:rPr>
        <w:fldChar w:fldCharType="separate"/>
      </w:r>
      <w:r w:rsidRPr="00BF170C">
        <w:rPr>
          <w:noProof/>
        </w:rPr>
        <w:instrText>1</w:instrText>
      </w:r>
      <w:r w:rsidRPr="00BF170C">
        <w:rPr>
          <w:noProof/>
        </w:rPr>
        <w:fldChar w:fldCharType="end"/>
      </w:r>
      <w:r w:rsidRPr="00BF170C">
        <w:instrText xml:space="preserve"> = 0 "" "1" </w:instrText>
      </w:r>
      <w:r w:rsidRPr="00BF170C">
        <w:fldChar w:fldCharType="separate"/>
      </w:r>
      <w:r w:rsidRPr="00BF170C">
        <w:rPr>
          <w:noProof/>
        </w:rPr>
        <w:instrText>1</w:instrText>
      </w:r>
      <w:r w:rsidRPr="00BF170C">
        <w:fldChar w:fldCharType="end"/>
      </w:r>
      <w:r w:rsidRPr="00BF170C">
        <w:instrText xml:space="preserve">" "6" </w:instrText>
      </w:r>
      <w:r w:rsidRPr="00BF170C">
        <w:fldChar w:fldCharType="separate"/>
      </w:r>
      <w:r w:rsidR="00B833F1" w:rsidRPr="00BF170C">
        <w:rPr>
          <w:noProof/>
        </w:rPr>
        <w:instrText>6</w:instrText>
      </w:r>
      <w:r w:rsidRPr="00BF170C">
        <w:fldChar w:fldCharType="end"/>
      </w:r>
      <w:r w:rsidRPr="00BF170C">
        <w:instrText xml:space="preserve"> </w:instrText>
      </w:r>
      <w:r w:rsidRPr="00BF170C">
        <w:fldChar w:fldCharType="separate"/>
      </w:r>
      <w:r w:rsidR="00B833F1">
        <w:rPr>
          <w:noProof/>
        </w:rPr>
        <w:instrText>17</w:instrText>
      </w:r>
      <w:r w:rsidRPr="00BF170C">
        <w:fldChar w:fldCharType="end"/>
      </w:r>
      <w:r w:rsidRPr="00BF170C">
        <w:instrText xml:space="preserve">" "" </w:instrText>
      </w:r>
      <w:r w:rsidRPr="00BF170C">
        <w:fldChar w:fldCharType="separate"/>
      </w:r>
      <w:bookmarkStart w:id="10093" w:name="_Caption0807"/>
      <w:bookmarkStart w:id="10094" w:name="_Caption0420"/>
      <w:bookmarkStart w:id="10095" w:name="_Caption2349"/>
      <w:bookmarkStart w:id="10096" w:name="_Caption6584"/>
      <w:bookmarkStart w:id="10097" w:name="_Caption2729"/>
      <w:bookmarkStart w:id="10098" w:name="_Caption2949"/>
      <w:bookmarkStart w:id="10099" w:name="_Caption8039"/>
      <w:bookmarkStart w:id="10100" w:name="_Caption2740"/>
      <w:bookmarkStart w:id="10101" w:name="_Caption1459"/>
      <w:bookmarkStart w:id="10102" w:name="_Caption0170"/>
      <w:bookmarkStart w:id="10103" w:name="_Caption3288"/>
      <w:bookmarkStart w:id="10104" w:name="_Caption7538"/>
      <w:bookmarkStart w:id="10105" w:name="_Caption8486"/>
      <w:bookmarkStart w:id="10106" w:name="_Caption9239"/>
      <w:bookmarkStart w:id="10107" w:name="_Caption4322"/>
      <w:bookmarkStart w:id="10108" w:name="_Caption7241"/>
      <w:bookmarkStart w:id="10109" w:name="_Caption9393"/>
      <w:bookmarkStart w:id="10110" w:name="_Caption7719"/>
      <w:bookmarkStart w:id="10111" w:name="_Caption3901"/>
      <w:bookmarkStart w:id="10112" w:name="_Caption0804"/>
      <w:bookmarkStart w:id="10113" w:name="_Caption0206"/>
      <w:bookmarkStart w:id="10114" w:name="_Caption6860"/>
      <w:bookmarkStart w:id="10115" w:name="_Caption7511"/>
      <w:bookmarkStart w:id="10116" w:name="_Caption9171"/>
      <w:bookmarkStart w:id="10117" w:name="_Caption1950"/>
      <w:bookmarkStart w:id="10118" w:name="_Caption1101"/>
      <w:bookmarkStart w:id="10119" w:name="_Caption5589"/>
      <w:bookmarkStart w:id="10120" w:name="_Caption0796"/>
      <w:bookmarkStart w:id="10121" w:name="_Caption7732"/>
      <w:bookmarkStart w:id="10122" w:name="_Caption8620"/>
      <w:bookmarkStart w:id="10123" w:name="_Caption4166"/>
      <w:bookmarkStart w:id="10124" w:name="_Caption0140"/>
      <w:bookmarkStart w:id="10125" w:name="_Caption3226"/>
      <w:bookmarkStart w:id="10126" w:name="_Caption6065"/>
      <w:bookmarkStart w:id="10127" w:name="_Caption0418"/>
      <w:bookmarkStart w:id="10128" w:name="_Caption3472"/>
      <w:bookmarkStart w:id="10129" w:name="_Caption0697"/>
      <w:bookmarkStart w:id="10130" w:name="_Caption6812"/>
      <w:bookmarkStart w:id="10131" w:name="_Caption3201"/>
      <w:bookmarkStart w:id="10132" w:name="_Caption3664"/>
      <w:bookmarkStart w:id="10133" w:name="_Caption3930"/>
      <w:bookmarkStart w:id="10134" w:name="_Caption2992"/>
      <w:bookmarkStart w:id="10135" w:name="_Caption2836"/>
      <w:bookmarkStart w:id="10136" w:name="_Caption6948"/>
      <w:bookmarkStart w:id="10137" w:name="_Caption2281"/>
      <w:bookmarkStart w:id="10138" w:name="_Caption8021"/>
      <w:bookmarkStart w:id="10139" w:name="_Caption5416"/>
      <w:bookmarkStart w:id="10140" w:name="_Caption2331"/>
      <w:bookmarkStart w:id="10141" w:name="_Caption7331"/>
      <w:bookmarkStart w:id="10142" w:name="_Caption5013"/>
      <w:bookmarkStart w:id="10143" w:name="_Caption4047"/>
      <w:bookmarkStart w:id="10144" w:name="_Caption6943"/>
      <w:bookmarkStart w:id="10145" w:name="_Caption2158"/>
      <w:bookmarkStart w:id="10146" w:name="_Caption9354"/>
      <w:bookmarkStart w:id="10147" w:name="_Caption9421"/>
      <w:bookmarkStart w:id="10148" w:name="_Caption5995"/>
      <w:bookmarkStart w:id="10149" w:name="_Caption9697"/>
      <w:bookmarkStart w:id="10150" w:name="_Caption1815"/>
      <w:bookmarkStart w:id="10151" w:name="_Caption2309"/>
      <w:bookmarkStart w:id="10152" w:name="_Caption2665"/>
      <w:bookmarkStart w:id="10153" w:name="_Caption6361"/>
      <w:bookmarkStart w:id="10154" w:name="_Caption3895"/>
      <w:bookmarkStart w:id="10155" w:name="_Caption0864"/>
      <w:bookmarkStart w:id="10156" w:name="_Caption1545"/>
      <w:bookmarkStart w:id="10157" w:name="_Caption4421"/>
      <w:bookmarkStart w:id="10158" w:name="_Caption0543"/>
      <w:bookmarkStart w:id="10159" w:name="_Caption9714"/>
      <w:bookmarkStart w:id="10160" w:name="_Toc529870031"/>
      <w:bookmarkStart w:id="10161" w:name="_Toc530748527"/>
      <w:r w:rsidR="00EA42ED">
        <w:rPr>
          <w:noProof/>
        </w:rPr>
        <w:t>I</w:t>
      </w:r>
      <w:r w:rsidR="00EA42ED" w:rsidRPr="00BF170C">
        <w:rPr>
          <w:noProof/>
        </w:rPr>
        <w:t>.</w:t>
      </w:r>
      <w:r w:rsidR="00EA42ED">
        <w:rPr>
          <w:noProof/>
        </w:rPr>
        <w:t>17</w:t>
      </w:r>
      <w:bookmarkEnd w:id="10093"/>
      <w:bookmarkEnd w:id="10094"/>
      <w:bookmarkEnd w:id="10095"/>
      <w:bookmarkEnd w:id="10096"/>
      <w:bookmarkEnd w:id="10097"/>
      <w:bookmarkEnd w:id="10098"/>
      <w:bookmarkEnd w:id="10099"/>
      <w:bookmarkEnd w:id="10100"/>
      <w:bookmarkEnd w:id="10101"/>
      <w:bookmarkEnd w:id="10102"/>
      <w:bookmarkEnd w:id="10103"/>
      <w:bookmarkEnd w:id="10104"/>
      <w:bookmarkEnd w:id="10105"/>
      <w:bookmarkEnd w:id="10106"/>
      <w:bookmarkEnd w:id="10107"/>
      <w:bookmarkEnd w:id="10108"/>
      <w:bookmarkEnd w:id="10109"/>
      <w:bookmarkEnd w:id="10110"/>
      <w:bookmarkEnd w:id="10111"/>
      <w:bookmarkEnd w:id="10112"/>
      <w:bookmarkEnd w:id="10113"/>
      <w:bookmarkEnd w:id="10114"/>
      <w:bookmarkEnd w:id="10115"/>
      <w:bookmarkEnd w:id="10116"/>
      <w:bookmarkEnd w:id="10117"/>
      <w:bookmarkEnd w:id="10118"/>
      <w:bookmarkEnd w:id="10119"/>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bookmarkEnd w:id="10143"/>
      <w:bookmarkEnd w:id="10144"/>
      <w:bookmarkEnd w:id="10145"/>
      <w:bookmarkEnd w:id="10146"/>
      <w:bookmarkEnd w:id="10147"/>
      <w:bookmarkEnd w:id="10148"/>
      <w:bookmarkEnd w:id="10149"/>
      <w:bookmarkEnd w:id="10150"/>
      <w:bookmarkEnd w:id="10151"/>
      <w:bookmarkEnd w:id="10152"/>
      <w:bookmarkEnd w:id="10153"/>
      <w:bookmarkEnd w:id="10154"/>
      <w:bookmarkEnd w:id="10155"/>
      <w:bookmarkEnd w:id="10156"/>
      <w:bookmarkEnd w:id="10157"/>
      <w:bookmarkEnd w:id="10158"/>
      <w:bookmarkEnd w:id="10159"/>
      <w:r w:rsidRPr="00BF170C">
        <w:fldChar w:fldCharType="end"/>
      </w:r>
      <w:r w:rsidRPr="00BF170C">
        <w:tab/>
        <w:t>Net benefits to Tasmania — medium realisation scenario</w:t>
      </w:r>
      <w:bookmarkEnd w:id="10160"/>
      <w:bookmarkEnd w:id="10161"/>
    </w:p>
    <w:tbl>
      <w:tblPr>
        <w:tblW w:w="7937" w:type="dxa"/>
        <w:tblLayout w:type="fixed"/>
        <w:tblLook w:val="0000" w:firstRow="0" w:lastRow="0" w:firstColumn="0" w:lastColumn="0" w:noHBand="0" w:noVBand="0"/>
        <w:tblCaption w:val="I.17 Net benefits to Tasmania - medium realisation scenario"/>
        <w:tblDescription w:val="This table shows the net benefits under a low realisation scenario of the proposed changes to NCC 2019 in Tasmania. "/>
      </w:tblPr>
      <w:tblGrid>
        <w:gridCol w:w="2456"/>
        <w:gridCol w:w="783"/>
        <w:gridCol w:w="783"/>
        <w:gridCol w:w="783"/>
        <w:gridCol w:w="783"/>
        <w:gridCol w:w="783"/>
        <w:gridCol w:w="783"/>
        <w:gridCol w:w="783"/>
      </w:tblGrid>
      <w:tr w:rsidR="00612FD3" w:rsidTr="00301B6D">
        <w:trPr>
          <w:trHeight w:val="230"/>
          <w:tblHeader/>
        </w:trPr>
        <w:tc>
          <w:tcPr>
            <w:tcW w:w="2456" w:type="dxa"/>
            <w:shd w:val="clear" w:color="auto" w:fill="6F6652"/>
            <w:tcMar>
              <w:left w:w="57" w:type="dxa"/>
              <w:right w:w="57" w:type="dxa"/>
            </w:tcMar>
          </w:tcPr>
          <w:p w:rsidR="00612FD3" w:rsidRDefault="00612FD3" w:rsidP="00301B6D">
            <w:pPr>
              <w:pStyle w:val="TableDataColumnHeading"/>
              <w:jc w:val="left"/>
              <w:rPr>
                <w:lang w:val="en-GB"/>
              </w:rPr>
            </w:pP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CZ1</w:t>
            </w: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CZ2</w:t>
            </w: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CZ3</w:t>
            </w: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CZ4</w:t>
            </w: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CZ5</w:t>
            </w: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CZ6</w:t>
            </w: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CZ7</w:t>
            </w:r>
          </w:p>
        </w:tc>
      </w:tr>
      <w:tr w:rsidR="00612FD3" w:rsidTr="00301B6D">
        <w:trPr>
          <w:trHeight w:val="230"/>
          <w:tblHeader/>
        </w:trPr>
        <w:tc>
          <w:tcPr>
            <w:tcW w:w="2456"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jc w:val="left"/>
              <w:rPr>
                <w:lang w:val="en-GB"/>
              </w:rPr>
            </w:pP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r>
      <w:tr w:rsidR="00612FD3" w:rsidTr="00301B6D">
        <w:trPr>
          <w:trHeight w:val="230"/>
        </w:trPr>
        <w:tc>
          <w:tcPr>
            <w:tcW w:w="245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r>
              <w:rPr>
                <w:lang w:val="en-GB"/>
              </w:rPr>
              <w:t>Hotels</w:t>
            </w: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34.11</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1.67</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Private costs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12.65</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BF170C" w:rsidRDefault="00BF170C" w:rsidP="00BF170C">
            <w:pPr>
              <w:pStyle w:val="TableDataEntries"/>
              <w:jc w:val="left"/>
              <w:rPr>
                <w:lang w:val="en-GB"/>
              </w:rPr>
            </w:pPr>
            <w:r>
              <w:rPr>
                <w:lang w:val="en-GB"/>
              </w:rPr>
              <w:t>Net private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xml:space="preserve"> 48.43</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3.71</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0.43</w:t>
            </w:r>
          </w:p>
        </w:tc>
      </w:tr>
      <w:tr w:rsidR="00BF170C" w:rsidRPr="00BF170C"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BF170C" w:rsidRPr="00BF170C" w:rsidRDefault="00BF170C" w:rsidP="00BF170C">
            <w:pPr>
              <w:pStyle w:val="TableDataEntries"/>
              <w:jc w:val="left"/>
              <w:rPr>
                <w:rFonts w:ascii="Franklin Gothic Demi" w:hAnsi="Franklin Gothic Demi"/>
                <w:lang w:val="en-GB"/>
              </w:rPr>
            </w:pPr>
            <w:r w:rsidRPr="00BF170C">
              <w:rPr>
                <w:rFonts w:ascii="Franklin Gothic Demi" w:hAnsi="Franklin Gothic Demi"/>
                <w:lang w:val="en-GB"/>
              </w:rPr>
              <w:t>Net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52.56</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BF170C" w:rsidRDefault="00BF170C" w:rsidP="00BF170C">
            <w:pPr>
              <w:pStyle w:val="TableHeading1"/>
              <w:rPr>
                <w:lang w:val="en-GB"/>
              </w:rPr>
            </w:pPr>
            <w:r>
              <w:rPr>
                <w:lang w:val="en-GB"/>
              </w:rPr>
              <w:t>Office building</w:t>
            </w: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7.69</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1.53</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Private costs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- 1.72</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BF170C" w:rsidRDefault="00BF170C" w:rsidP="00BF170C">
            <w:pPr>
              <w:pStyle w:val="TableDataEntries"/>
              <w:jc w:val="left"/>
              <w:rPr>
                <w:lang w:val="en-GB"/>
              </w:rPr>
            </w:pPr>
            <w:r>
              <w:rPr>
                <w:lang w:val="en-GB"/>
              </w:rPr>
              <w:t>Net private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xml:space="preserve"> 7.50</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0.84</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0.39</w:t>
            </w:r>
          </w:p>
        </w:tc>
      </w:tr>
      <w:tr w:rsidR="00BF170C" w:rsidRPr="00BF170C"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BF170C" w:rsidRPr="00BF170C" w:rsidRDefault="00BF170C" w:rsidP="00BF170C">
            <w:pPr>
              <w:pStyle w:val="TableDataEntries"/>
              <w:jc w:val="left"/>
              <w:rPr>
                <w:rFonts w:ascii="Franklin Gothic Demi" w:hAnsi="Franklin Gothic Demi"/>
                <w:lang w:val="en-GB"/>
              </w:rPr>
            </w:pPr>
            <w:r w:rsidRPr="00BF170C">
              <w:rPr>
                <w:rFonts w:ascii="Franklin Gothic Demi" w:hAnsi="Franklin Gothic Demi"/>
                <w:lang w:val="en-GB"/>
              </w:rPr>
              <w:t>Net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8.72</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BF170C" w:rsidRDefault="00BF170C" w:rsidP="00BF170C">
            <w:pPr>
              <w:pStyle w:val="TableHeading1"/>
              <w:rPr>
                <w:lang w:val="en-GB"/>
              </w:rPr>
            </w:pPr>
            <w:r>
              <w:rPr>
                <w:lang w:val="en-GB"/>
              </w:rPr>
              <w:t>Retail</w:t>
            </w: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- 5.32</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6.35</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Private costs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- 16.62</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BF170C" w:rsidRDefault="00BF170C" w:rsidP="00BF170C">
            <w:pPr>
              <w:pStyle w:val="TableDataEntries"/>
              <w:jc w:val="left"/>
              <w:rPr>
                <w:lang w:val="en-GB"/>
              </w:rPr>
            </w:pPr>
            <w:r>
              <w:rPr>
                <w:lang w:val="en-GB"/>
              </w:rPr>
              <w:t>Net private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- 15.58</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- 0.58</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1.63</w:t>
            </w:r>
          </w:p>
        </w:tc>
      </w:tr>
      <w:tr w:rsidR="00BF170C" w:rsidRPr="00BF170C"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BF170C" w:rsidRPr="00BF170C" w:rsidRDefault="00BF170C" w:rsidP="00BF170C">
            <w:pPr>
              <w:pStyle w:val="TableDataEntries"/>
              <w:jc w:val="left"/>
              <w:rPr>
                <w:rFonts w:ascii="Franklin Gothic Demi" w:hAnsi="Franklin Gothic Demi"/>
                <w:lang w:val="en-GB"/>
              </w:rPr>
            </w:pPr>
            <w:r w:rsidRPr="00BF170C">
              <w:rPr>
                <w:rFonts w:ascii="Franklin Gothic Demi" w:hAnsi="Franklin Gothic Demi"/>
                <w:lang w:val="en-GB"/>
              </w:rPr>
              <w:t>Net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- 14.53</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BF170C" w:rsidRDefault="00BF170C" w:rsidP="00BF170C">
            <w:pPr>
              <w:pStyle w:val="TableHeading1"/>
              <w:rPr>
                <w:lang w:val="en-GB"/>
              </w:rPr>
            </w:pPr>
            <w:r>
              <w:rPr>
                <w:lang w:val="en-GB"/>
              </w:rPr>
              <w:t>Healthcare</w:t>
            </w: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17.89</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- 8.13</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Private costs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- 28.34</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BF170C" w:rsidRDefault="00BF170C" w:rsidP="00BF170C">
            <w:pPr>
              <w:pStyle w:val="TableDataEntries"/>
              <w:jc w:val="left"/>
              <w:rPr>
                <w:lang w:val="en-GB"/>
              </w:rPr>
            </w:pPr>
            <w:r>
              <w:rPr>
                <w:lang w:val="en-GB"/>
              </w:rPr>
              <w:t>Net private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- 18.58</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1.94</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- 2.09</w:t>
            </w:r>
          </w:p>
        </w:tc>
      </w:tr>
      <w:tr w:rsidR="00BF170C" w:rsidRPr="00BF170C"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BF170C" w:rsidRPr="00BF170C" w:rsidRDefault="00BF170C" w:rsidP="00BF170C">
            <w:pPr>
              <w:pStyle w:val="TableDataEntries"/>
              <w:jc w:val="left"/>
              <w:rPr>
                <w:rFonts w:ascii="Franklin Gothic Demi" w:hAnsi="Franklin Gothic Demi"/>
                <w:lang w:val="en-GB"/>
              </w:rPr>
            </w:pPr>
            <w:r w:rsidRPr="00BF170C">
              <w:rPr>
                <w:rFonts w:ascii="Franklin Gothic Demi" w:hAnsi="Franklin Gothic Demi"/>
                <w:lang w:val="en-GB"/>
              </w:rPr>
              <w:t>Net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- 18.72</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BF170C" w:rsidRDefault="00BF170C" w:rsidP="00BF170C">
            <w:pPr>
              <w:pStyle w:val="TableHeading1"/>
              <w:rPr>
                <w:lang w:val="en-GB"/>
              </w:rPr>
            </w:pPr>
            <w:r>
              <w:rPr>
                <w:lang w:val="en-GB"/>
              </w:rPr>
              <w:t>School</w:t>
            </w: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44.34</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5.60</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Private costs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- 8.72</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BF170C" w:rsidRDefault="00BF170C" w:rsidP="00BF170C">
            <w:pPr>
              <w:pStyle w:val="TableDataEntries"/>
              <w:jc w:val="left"/>
              <w:rPr>
                <w:lang w:val="en-GB"/>
              </w:rPr>
            </w:pPr>
            <w:r>
              <w:rPr>
                <w:lang w:val="en-GB"/>
              </w:rPr>
              <w:t>Net private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xml:space="preserve"> 41.22</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4.82</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1.44</w:t>
            </w:r>
          </w:p>
        </w:tc>
      </w:tr>
      <w:tr w:rsidR="00BF170C" w:rsidRPr="00BF170C" w:rsidTr="00301B6D">
        <w:trPr>
          <w:trHeight w:val="230"/>
        </w:trPr>
        <w:tc>
          <w:tcPr>
            <w:tcW w:w="2456"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rsidR="00BF170C" w:rsidRPr="00BF170C" w:rsidRDefault="00BF170C" w:rsidP="00BF170C">
            <w:pPr>
              <w:pStyle w:val="TableDataEntries"/>
              <w:jc w:val="left"/>
              <w:rPr>
                <w:rFonts w:ascii="Franklin Gothic Demi" w:hAnsi="Franklin Gothic Demi"/>
                <w:lang w:val="en-GB"/>
              </w:rPr>
            </w:pPr>
            <w:r w:rsidRPr="00BF170C">
              <w:rPr>
                <w:rFonts w:ascii="Franklin Gothic Demi" w:hAnsi="Franklin Gothic Demi"/>
                <w:lang w:val="en-GB"/>
              </w:rPr>
              <w:t>Net benefit/cost</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47.48</w:t>
            </w:r>
          </w:p>
        </w:tc>
      </w:tr>
    </w:tbl>
    <w:p w:rsidR="00612FD3" w:rsidRDefault="00612FD3" w:rsidP="00612FD3">
      <w:pPr>
        <w:pStyle w:val="Note"/>
        <w:rPr>
          <w:lang w:bidi="fa-IR"/>
        </w:rPr>
      </w:pPr>
      <w:r w:rsidRPr="007D1B4F">
        <w:rPr>
          <w:i/>
        </w:rPr>
        <w:t>Note:</w:t>
      </w:r>
      <w:r w:rsidRPr="00E879B8">
        <w:t xml:space="preserve"> </w:t>
      </w:r>
      <w:r>
        <w:t>Costs and benefits are estimated over the assumed 40 year life of the building, using a discount rate of 7 per cent.</w:t>
      </w:r>
    </w:p>
    <w:p w:rsidR="00612FD3" w:rsidRDefault="00612FD3" w:rsidP="00612FD3">
      <w:pPr>
        <w:pStyle w:val="Source"/>
        <w:rPr>
          <w:lang w:bidi="fa-IR"/>
        </w:rPr>
      </w:pPr>
      <w:r w:rsidRPr="00C6138D">
        <w:rPr>
          <w:i/>
          <w:lang w:bidi="fa-IR"/>
        </w:rPr>
        <w:t>Source:</w:t>
      </w:r>
      <w:r>
        <w:rPr>
          <w:lang w:bidi="fa-IR"/>
        </w:rPr>
        <w:t xml:space="preserve"> CIE based on </w:t>
      </w:r>
      <w:r w:rsidR="00EB5964">
        <w:rPr>
          <w:lang w:bidi="fa-IR"/>
        </w:rPr>
        <w:t>EA</w:t>
      </w:r>
      <w:r>
        <w:rPr>
          <w:lang w:bidi="fa-IR"/>
        </w:rPr>
        <w:t xml:space="preserve"> modelling.</w:t>
      </w:r>
    </w:p>
    <w:p w:rsidR="00D364DA" w:rsidRDefault="00D364DA" w:rsidP="00612FD3">
      <w:pPr>
        <w:pStyle w:val="Caption"/>
      </w:pPr>
      <w:r>
        <w:br w:type="page"/>
      </w:r>
    </w:p>
    <w:p w:rsidR="00612FD3" w:rsidRDefault="00612FD3" w:rsidP="00612FD3">
      <w:pPr>
        <w:pStyle w:val="Caption"/>
      </w:pPr>
      <w:r w:rsidRPr="00BF170C">
        <w:fldChar w:fldCharType="begin"/>
      </w:r>
      <w:r w:rsidRPr="00BF170C">
        <w:instrText xml:space="preserve"> IF 1 = 1 "</w:instrText>
      </w:r>
      <w:r w:rsidRPr="00BF170C">
        <w:fldChar w:fldCharType="begin"/>
      </w:r>
      <w:r w:rsidRPr="00BF170C">
        <w:instrText xml:space="preserve"> IF </w:instrText>
      </w:r>
      <w:r w:rsidRPr="00BF170C">
        <w:rPr>
          <w:noProof/>
        </w:rPr>
        <w:fldChar w:fldCharType="begin"/>
      </w:r>
      <w:r w:rsidRPr="00BF170C">
        <w:rPr>
          <w:noProof/>
        </w:rPr>
        <w:instrText xml:space="preserve"> STYLEREF "Heading 6" \l \n </w:instrText>
      </w:r>
      <w:r w:rsidRPr="00BF170C">
        <w:rPr>
          <w:noProof/>
        </w:rPr>
        <w:fldChar w:fldCharType="separate"/>
      </w:r>
      <w:r w:rsidR="00B833F1">
        <w:rPr>
          <w:noProof/>
        </w:rPr>
        <w:instrText>I</w:instrText>
      </w:r>
      <w:r w:rsidRPr="00BF170C">
        <w:rPr>
          <w:noProof/>
        </w:rPr>
        <w:fldChar w:fldCharType="end"/>
      </w:r>
      <w:r w:rsidRPr="00BF170C">
        <w:instrText xml:space="preserve"> = 0 "</w:instrText>
      </w:r>
      <w:r w:rsidRPr="00BF170C">
        <w:fldChar w:fldCharType="begin"/>
      </w:r>
      <w:r w:rsidRPr="00BF170C">
        <w:instrText xml:space="preserve"> IF </w:instrText>
      </w:r>
      <w:r w:rsidRPr="00BF170C">
        <w:rPr>
          <w:noProof/>
        </w:rPr>
        <w:fldChar w:fldCharType="begin"/>
      </w:r>
      <w:r w:rsidRPr="00BF170C">
        <w:rPr>
          <w:noProof/>
        </w:rPr>
        <w:instrText xml:space="preserve"> STYLEREF "Heading 1" \l \n </w:instrText>
      </w:r>
      <w:r w:rsidRPr="00BF170C">
        <w:rPr>
          <w:noProof/>
        </w:rPr>
        <w:fldChar w:fldCharType="separate"/>
      </w:r>
      <w:r w:rsidRPr="00BF170C">
        <w:rPr>
          <w:noProof/>
        </w:rPr>
        <w:instrText>1</w:instrText>
      </w:r>
      <w:r w:rsidRPr="00BF170C">
        <w:rPr>
          <w:noProof/>
        </w:rPr>
        <w:fldChar w:fldCharType="end"/>
      </w:r>
      <w:r w:rsidRPr="00BF170C">
        <w:instrText xml:space="preserve"> = 0 "" "</w:instrText>
      </w:r>
      <w:r w:rsidRPr="00BF170C">
        <w:rPr>
          <w:noProof/>
        </w:rPr>
        <w:fldChar w:fldCharType="begin"/>
      </w:r>
      <w:r w:rsidRPr="00BF170C">
        <w:rPr>
          <w:noProof/>
        </w:rPr>
        <w:instrText xml:space="preserve"> STYLEREF "Heading 1" \l \n </w:instrText>
      </w:r>
      <w:r w:rsidRPr="00BF170C">
        <w:rPr>
          <w:noProof/>
        </w:rPr>
        <w:fldChar w:fldCharType="separate"/>
      </w:r>
      <w:r w:rsidRPr="00BF170C">
        <w:rPr>
          <w:noProof/>
        </w:rPr>
        <w:instrText>1</w:instrText>
      </w:r>
      <w:r w:rsidRPr="00BF170C">
        <w:rPr>
          <w:noProof/>
        </w:rPr>
        <w:fldChar w:fldCharType="end"/>
      </w:r>
      <w:r w:rsidRPr="00BF170C">
        <w:instrText xml:space="preserve">." </w:instrText>
      </w:r>
      <w:r w:rsidRPr="00BF170C">
        <w:fldChar w:fldCharType="separate"/>
      </w:r>
      <w:r w:rsidRPr="00BF170C">
        <w:rPr>
          <w:noProof/>
        </w:rPr>
        <w:instrText>1.</w:instrText>
      </w:r>
      <w:r w:rsidRPr="00BF170C">
        <w:fldChar w:fldCharType="end"/>
      </w:r>
      <w:r w:rsidRPr="00BF170C">
        <w:instrText>" "</w:instrText>
      </w:r>
      <w:r w:rsidRPr="00BF170C">
        <w:rPr>
          <w:noProof/>
        </w:rPr>
        <w:fldChar w:fldCharType="begin"/>
      </w:r>
      <w:r w:rsidRPr="00BF170C">
        <w:rPr>
          <w:noProof/>
        </w:rPr>
        <w:instrText xml:space="preserve"> STYLEREF "Heading 6" \l \n </w:instrText>
      </w:r>
      <w:r w:rsidRPr="00BF170C">
        <w:rPr>
          <w:noProof/>
        </w:rPr>
        <w:fldChar w:fldCharType="separate"/>
      </w:r>
      <w:r w:rsidR="00B833F1">
        <w:rPr>
          <w:noProof/>
        </w:rPr>
        <w:instrText>I</w:instrText>
      </w:r>
      <w:r w:rsidRPr="00BF170C">
        <w:rPr>
          <w:noProof/>
        </w:rPr>
        <w:fldChar w:fldCharType="end"/>
      </w:r>
      <w:r w:rsidRPr="00BF170C">
        <w:instrText xml:space="preserve">." </w:instrText>
      </w:r>
      <w:r w:rsidRPr="00BF170C">
        <w:fldChar w:fldCharType="separate"/>
      </w:r>
      <w:r w:rsidR="00B833F1">
        <w:rPr>
          <w:noProof/>
        </w:rPr>
        <w:instrText>I</w:instrText>
      </w:r>
      <w:r w:rsidR="00B833F1" w:rsidRPr="00BF170C">
        <w:rPr>
          <w:noProof/>
        </w:rPr>
        <w:instrText>.</w:instrText>
      </w:r>
      <w:r w:rsidRPr="00BF170C">
        <w:fldChar w:fldCharType="end"/>
      </w:r>
      <w:r w:rsidRPr="00BF170C">
        <w:fldChar w:fldCharType="begin"/>
      </w:r>
      <w:r w:rsidRPr="00BF170C">
        <w:instrText xml:space="preserve"> SEQ Item \* ARABIC \s </w:instrText>
      </w:r>
      <w:r w:rsidRPr="00BF170C">
        <w:fldChar w:fldCharType="begin"/>
      </w:r>
      <w:r w:rsidRPr="00BF170C">
        <w:instrText xml:space="preserve"> IF </w:instrText>
      </w:r>
      <w:r w:rsidRPr="00BF170C">
        <w:rPr>
          <w:noProof/>
        </w:rPr>
        <w:fldChar w:fldCharType="begin"/>
      </w:r>
      <w:r w:rsidRPr="00BF170C">
        <w:rPr>
          <w:noProof/>
        </w:rPr>
        <w:instrText xml:space="preserve"> STYLEREF "Heading 6" \l \n </w:instrText>
      </w:r>
      <w:r w:rsidRPr="00BF170C">
        <w:rPr>
          <w:noProof/>
        </w:rPr>
        <w:fldChar w:fldCharType="separate"/>
      </w:r>
      <w:r w:rsidR="00B833F1">
        <w:rPr>
          <w:noProof/>
        </w:rPr>
        <w:instrText>I</w:instrText>
      </w:r>
      <w:r w:rsidRPr="00BF170C">
        <w:rPr>
          <w:noProof/>
        </w:rPr>
        <w:fldChar w:fldCharType="end"/>
      </w:r>
      <w:r w:rsidRPr="00BF170C">
        <w:instrText xml:space="preserve"> = 0 "</w:instrText>
      </w:r>
      <w:r w:rsidRPr="00BF170C">
        <w:fldChar w:fldCharType="begin"/>
      </w:r>
      <w:r w:rsidRPr="00BF170C">
        <w:instrText xml:space="preserve"> IF </w:instrText>
      </w:r>
      <w:r w:rsidRPr="00BF170C">
        <w:rPr>
          <w:noProof/>
        </w:rPr>
        <w:fldChar w:fldCharType="begin"/>
      </w:r>
      <w:r w:rsidRPr="00BF170C">
        <w:rPr>
          <w:noProof/>
        </w:rPr>
        <w:instrText xml:space="preserve"> STYLEREF "Heading 1" \l \n </w:instrText>
      </w:r>
      <w:r w:rsidRPr="00BF170C">
        <w:rPr>
          <w:noProof/>
        </w:rPr>
        <w:fldChar w:fldCharType="separate"/>
      </w:r>
      <w:r w:rsidRPr="00BF170C">
        <w:rPr>
          <w:noProof/>
        </w:rPr>
        <w:instrText>1</w:instrText>
      </w:r>
      <w:r w:rsidRPr="00BF170C">
        <w:rPr>
          <w:noProof/>
        </w:rPr>
        <w:fldChar w:fldCharType="end"/>
      </w:r>
      <w:r w:rsidRPr="00BF170C">
        <w:instrText xml:space="preserve"> = 0 "" "1" </w:instrText>
      </w:r>
      <w:r w:rsidRPr="00BF170C">
        <w:fldChar w:fldCharType="separate"/>
      </w:r>
      <w:r w:rsidRPr="00BF170C">
        <w:rPr>
          <w:noProof/>
        </w:rPr>
        <w:instrText>1</w:instrText>
      </w:r>
      <w:r w:rsidRPr="00BF170C">
        <w:fldChar w:fldCharType="end"/>
      </w:r>
      <w:r w:rsidRPr="00BF170C">
        <w:instrText xml:space="preserve">" "6" </w:instrText>
      </w:r>
      <w:r w:rsidRPr="00BF170C">
        <w:fldChar w:fldCharType="separate"/>
      </w:r>
      <w:r w:rsidR="00B833F1" w:rsidRPr="00BF170C">
        <w:rPr>
          <w:noProof/>
        </w:rPr>
        <w:instrText>6</w:instrText>
      </w:r>
      <w:r w:rsidRPr="00BF170C">
        <w:fldChar w:fldCharType="end"/>
      </w:r>
      <w:r w:rsidRPr="00BF170C">
        <w:instrText xml:space="preserve"> </w:instrText>
      </w:r>
      <w:r w:rsidRPr="00BF170C">
        <w:fldChar w:fldCharType="separate"/>
      </w:r>
      <w:r w:rsidR="00B833F1">
        <w:rPr>
          <w:noProof/>
        </w:rPr>
        <w:instrText>18</w:instrText>
      </w:r>
      <w:r w:rsidRPr="00BF170C">
        <w:fldChar w:fldCharType="end"/>
      </w:r>
      <w:r w:rsidRPr="00BF170C">
        <w:instrText xml:space="preserve">" "" </w:instrText>
      </w:r>
      <w:r w:rsidRPr="00BF170C">
        <w:fldChar w:fldCharType="separate"/>
      </w:r>
      <w:bookmarkStart w:id="10162" w:name="_Caption5739"/>
      <w:bookmarkStart w:id="10163" w:name="_Caption2220"/>
      <w:bookmarkStart w:id="10164" w:name="_Caption4399"/>
      <w:bookmarkStart w:id="10165" w:name="_Caption3237"/>
      <w:bookmarkStart w:id="10166" w:name="_Caption2810"/>
      <w:bookmarkStart w:id="10167" w:name="_Caption6616"/>
      <w:bookmarkStart w:id="10168" w:name="_Caption8101"/>
      <w:bookmarkStart w:id="10169" w:name="_Caption9903"/>
      <w:bookmarkStart w:id="10170" w:name="_Caption6580"/>
      <w:bookmarkStart w:id="10171" w:name="_Caption7351"/>
      <w:bookmarkStart w:id="10172" w:name="_Caption0957"/>
      <w:bookmarkStart w:id="10173" w:name="_Caption9897"/>
      <w:bookmarkStart w:id="10174" w:name="_Caption1657"/>
      <w:bookmarkStart w:id="10175" w:name="_Caption4150"/>
      <w:bookmarkStart w:id="10176" w:name="_Caption3864"/>
      <w:bookmarkStart w:id="10177" w:name="_Caption3756"/>
      <w:bookmarkStart w:id="10178" w:name="_Caption3044"/>
      <w:bookmarkStart w:id="10179" w:name="_Caption8335"/>
      <w:bookmarkStart w:id="10180" w:name="_Caption0601"/>
      <w:bookmarkStart w:id="10181" w:name="_Caption8083"/>
      <w:bookmarkStart w:id="10182" w:name="_Caption3210"/>
      <w:bookmarkStart w:id="10183" w:name="_Caption8723"/>
      <w:bookmarkStart w:id="10184" w:name="_Caption3763"/>
      <w:bookmarkStart w:id="10185" w:name="_Caption2884"/>
      <w:bookmarkStart w:id="10186" w:name="_Caption6874"/>
      <w:bookmarkStart w:id="10187" w:name="_Caption8029"/>
      <w:bookmarkStart w:id="10188" w:name="_Caption5467"/>
      <w:bookmarkStart w:id="10189" w:name="_Caption6896"/>
      <w:bookmarkStart w:id="10190" w:name="_Caption4930"/>
      <w:bookmarkStart w:id="10191" w:name="_Caption8972"/>
      <w:bookmarkStart w:id="10192" w:name="_Caption4899"/>
      <w:bookmarkStart w:id="10193" w:name="_Caption5269"/>
      <w:bookmarkStart w:id="10194" w:name="_Caption5702"/>
      <w:bookmarkStart w:id="10195" w:name="_Caption8114"/>
      <w:bookmarkStart w:id="10196" w:name="_Caption6963"/>
      <w:bookmarkStart w:id="10197" w:name="_Caption3160"/>
      <w:bookmarkStart w:id="10198" w:name="_Caption8340"/>
      <w:bookmarkStart w:id="10199" w:name="_Caption5075"/>
      <w:bookmarkStart w:id="10200" w:name="_Caption2811"/>
      <w:bookmarkStart w:id="10201" w:name="_Caption6006"/>
      <w:bookmarkStart w:id="10202" w:name="_Caption0083"/>
      <w:bookmarkStart w:id="10203" w:name="_Caption2796"/>
      <w:bookmarkStart w:id="10204" w:name="_Caption9774"/>
      <w:bookmarkStart w:id="10205" w:name="_Caption8553"/>
      <w:bookmarkStart w:id="10206" w:name="_Caption4133"/>
      <w:bookmarkStart w:id="10207" w:name="_Caption5717"/>
      <w:bookmarkStart w:id="10208" w:name="_Caption1382"/>
      <w:bookmarkStart w:id="10209" w:name="_Caption0297"/>
      <w:bookmarkStart w:id="10210" w:name="_Caption8252"/>
      <w:bookmarkStart w:id="10211" w:name="_Caption1481"/>
      <w:bookmarkStart w:id="10212" w:name="_Caption5471"/>
      <w:bookmarkStart w:id="10213" w:name="_Caption3952"/>
      <w:bookmarkStart w:id="10214" w:name="_Caption1181"/>
      <w:bookmarkStart w:id="10215" w:name="_Caption4022"/>
      <w:bookmarkStart w:id="10216" w:name="_Caption9301"/>
      <w:bookmarkStart w:id="10217" w:name="_Caption5883"/>
      <w:bookmarkStart w:id="10218" w:name="_Caption3073"/>
      <w:bookmarkStart w:id="10219" w:name="_Caption7047"/>
      <w:bookmarkStart w:id="10220" w:name="_Caption4231"/>
      <w:bookmarkStart w:id="10221" w:name="_Caption1351"/>
      <w:bookmarkStart w:id="10222" w:name="_Caption4616"/>
      <w:bookmarkStart w:id="10223" w:name="_Caption3816"/>
      <w:bookmarkStart w:id="10224" w:name="_Caption1713"/>
      <w:bookmarkStart w:id="10225" w:name="_Caption4648"/>
      <w:bookmarkStart w:id="10226" w:name="_Caption1253"/>
      <w:bookmarkStart w:id="10227" w:name="_Caption9762"/>
      <w:bookmarkStart w:id="10228" w:name="_Caption6949"/>
      <w:bookmarkStart w:id="10229" w:name="_Toc529870032"/>
      <w:bookmarkStart w:id="10230" w:name="_Toc530748528"/>
      <w:r w:rsidR="00EA42ED">
        <w:rPr>
          <w:noProof/>
        </w:rPr>
        <w:t>I</w:t>
      </w:r>
      <w:r w:rsidR="00EA42ED" w:rsidRPr="00BF170C">
        <w:rPr>
          <w:noProof/>
        </w:rPr>
        <w:t>.</w:t>
      </w:r>
      <w:r w:rsidR="00EA42ED">
        <w:rPr>
          <w:noProof/>
        </w:rPr>
        <w:t>18</w:t>
      </w:r>
      <w:bookmarkEnd w:id="10162"/>
      <w:bookmarkEnd w:id="10163"/>
      <w:bookmarkEnd w:id="10164"/>
      <w:bookmarkEnd w:id="10165"/>
      <w:bookmarkEnd w:id="10166"/>
      <w:bookmarkEnd w:id="10167"/>
      <w:bookmarkEnd w:id="10168"/>
      <w:bookmarkEnd w:id="10169"/>
      <w:bookmarkEnd w:id="10170"/>
      <w:bookmarkEnd w:id="10171"/>
      <w:bookmarkEnd w:id="10172"/>
      <w:bookmarkEnd w:id="10173"/>
      <w:bookmarkEnd w:id="10174"/>
      <w:bookmarkEnd w:id="10175"/>
      <w:bookmarkEnd w:id="10176"/>
      <w:bookmarkEnd w:id="10177"/>
      <w:bookmarkEnd w:id="10178"/>
      <w:bookmarkEnd w:id="10179"/>
      <w:bookmarkEnd w:id="10180"/>
      <w:bookmarkEnd w:id="10181"/>
      <w:bookmarkEnd w:id="10182"/>
      <w:bookmarkEnd w:id="10183"/>
      <w:bookmarkEnd w:id="10184"/>
      <w:bookmarkEnd w:id="10185"/>
      <w:bookmarkEnd w:id="10186"/>
      <w:bookmarkEnd w:id="10187"/>
      <w:bookmarkEnd w:id="10188"/>
      <w:bookmarkEnd w:id="10189"/>
      <w:bookmarkEnd w:id="10190"/>
      <w:bookmarkEnd w:id="10191"/>
      <w:bookmarkEnd w:id="10192"/>
      <w:bookmarkEnd w:id="10193"/>
      <w:bookmarkEnd w:id="10194"/>
      <w:bookmarkEnd w:id="10195"/>
      <w:bookmarkEnd w:id="10196"/>
      <w:bookmarkEnd w:id="10197"/>
      <w:bookmarkEnd w:id="10198"/>
      <w:bookmarkEnd w:id="10199"/>
      <w:bookmarkEnd w:id="10200"/>
      <w:bookmarkEnd w:id="10201"/>
      <w:bookmarkEnd w:id="10202"/>
      <w:bookmarkEnd w:id="10203"/>
      <w:bookmarkEnd w:id="10204"/>
      <w:bookmarkEnd w:id="10205"/>
      <w:bookmarkEnd w:id="10206"/>
      <w:bookmarkEnd w:id="10207"/>
      <w:bookmarkEnd w:id="10208"/>
      <w:bookmarkEnd w:id="10209"/>
      <w:bookmarkEnd w:id="10210"/>
      <w:bookmarkEnd w:id="10211"/>
      <w:bookmarkEnd w:id="10212"/>
      <w:bookmarkEnd w:id="10213"/>
      <w:bookmarkEnd w:id="10214"/>
      <w:bookmarkEnd w:id="10215"/>
      <w:bookmarkEnd w:id="10216"/>
      <w:bookmarkEnd w:id="10217"/>
      <w:bookmarkEnd w:id="10218"/>
      <w:bookmarkEnd w:id="10219"/>
      <w:bookmarkEnd w:id="10220"/>
      <w:bookmarkEnd w:id="10221"/>
      <w:bookmarkEnd w:id="10222"/>
      <w:bookmarkEnd w:id="10223"/>
      <w:bookmarkEnd w:id="10224"/>
      <w:bookmarkEnd w:id="10225"/>
      <w:bookmarkEnd w:id="10226"/>
      <w:bookmarkEnd w:id="10227"/>
      <w:bookmarkEnd w:id="10228"/>
      <w:r w:rsidRPr="00BF170C">
        <w:fldChar w:fldCharType="end"/>
      </w:r>
      <w:r w:rsidRPr="00BF170C">
        <w:tab/>
        <w:t>Net benefits to Tasmania — high realisation scenario</w:t>
      </w:r>
      <w:bookmarkEnd w:id="10229"/>
      <w:bookmarkEnd w:id="10230"/>
    </w:p>
    <w:tbl>
      <w:tblPr>
        <w:tblW w:w="7937" w:type="dxa"/>
        <w:tblLayout w:type="fixed"/>
        <w:tblLook w:val="0000" w:firstRow="0" w:lastRow="0" w:firstColumn="0" w:lastColumn="0" w:noHBand="0" w:noVBand="0"/>
        <w:tblCaption w:val="Table I.18: Net benefits to Tasmania - high realisaion scenario"/>
        <w:tblDescription w:val="This table shows the net benefits under a high realisation scenario of the proposed changes to NCC 2019 in Tasmania. "/>
      </w:tblPr>
      <w:tblGrid>
        <w:gridCol w:w="2456"/>
        <w:gridCol w:w="783"/>
        <w:gridCol w:w="783"/>
        <w:gridCol w:w="783"/>
        <w:gridCol w:w="783"/>
        <w:gridCol w:w="783"/>
        <w:gridCol w:w="783"/>
        <w:gridCol w:w="783"/>
      </w:tblGrid>
      <w:tr w:rsidR="00612FD3" w:rsidTr="00301B6D">
        <w:trPr>
          <w:trHeight w:val="230"/>
          <w:tblHeader/>
        </w:trPr>
        <w:tc>
          <w:tcPr>
            <w:tcW w:w="2456" w:type="dxa"/>
            <w:shd w:val="clear" w:color="auto" w:fill="6F6652"/>
            <w:tcMar>
              <w:left w:w="57" w:type="dxa"/>
              <w:right w:w="57" w:type="dxa"/>
            </w:tcMar>
          </w:tcPr>
          <w:p w:rsidR="00612FD3" w:rsidRDefault="00612FD3" w:rsidP="00301B6D">
            <w:pPr>
              <w:pStyle w:val="TableDataColumnHeading"/>
              <w:jc w:val="left"/>
              <w:rPr>
                <w:lang w:val="en-GB"/>
              </w:rPr>
            </w:pP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CZ1</w:t>
            </w: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CZ2</w:t>
            </w: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CZ3</w:t>
            </w: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CZ4</w:t>
            </w: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CZ5</w:t>
            </w: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CZ6</w:t>
            </w: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CZ7</w:t>
            </w:r>
          </w:p>
        </w:tc>
      </w:tr>
      <w:tr w:rsidR="00612FD3" w:rsidTr="00301B6D">
        <w:trPr>
          <w:trHeight w:val="230"/>
          <w:tblHeader/>
        </w:trPr>
        <w:tc>
          <w:tcPr>
            <w:tcW w:w="2456"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jc w:val="left"/>
              <w:rPr>
                <w:lang w:val="en-GB"/>
              </w:rPr>
            </w:pP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r>
      <w:tr w:rsidR="00612FD3" w:rsidTr="00301B6D">
        <w:trPr>
          <w:trHeight w:val="230"/>
        </w:trPr>
        <w:tc>
          <w:tcPr>
            <w:tcW w:w="245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r>
              <w:rPr>
                <w:lang w:val="en-GB"/>
              </w:rPr>
              <w:t>Hotels</w:t>
            </w: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45.48</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2.22</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Private costs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12.65</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BF170C" w:rsidRDefault="00BF170C" w:rsidP="00BF170C">
            <w:pPr>
              <w:pStyle w:val="TableDataEntries"/>
              <w:jc w:val="left"/>
              <w:rPr>
                <w:lang w:val="en-GB"/>
              </w:rPr>
            </w:pPr>
            <w:r>
              <w:rPr>
                <w:lang w:val="en-GB"/>
              </w:rPr>
              <w:t>Net private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xml:space="preserve"> 60.35</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4.94</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0.57</w:t>
            </w:r>
          </w:p>
        </w:tc>
      </w:tr>
      <w:tr w:rsidR="00BF170C" w:rsidRPr="00BF170C"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BF170C" w:rsidRPr="00BF170C" w:rsidRDefault="00BF170C" w:rsidP="00BF170C">
            <w:pPr>
              <w:pStyle w:val="TableDataEntries"/>
              <w:jc w:val="left"/>
              <w:rPr>
                <w:rFonts w:ascii="Franklin Gothic Demi" w:hAnsi="Franklin Gothic Demi"/>
                <w:lang w:val="en-GB"/>
              </w:rPr>
            </w:pPr>
            <w:r w:rsidRPr="00BF170C">
              <w:rPr>
                <w:rFonts w:ascii="Franklin Gothic Demi" w:hAnsi="Franklin Gothic Demi"/>
                <w:lang w:val="en-GB"/>
              </w:rPr>
              <w:t>Net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65.87</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BF170C" w:rsidRDefault="00BF170C" w:rsidP="00BF170C">
            <w:pPr>
              <w:pStyle w:val="TableHeading1"/>
              <w:rPr>
                <w:lang w:val="en-GB"/>
              </w:rPr>
            </w:pPr>
            <w:r>
              <w:rPr>
                <w:lang w:val="en-GB"/>
              </w:rPr>
              <w:t>Office building</w:t>
            </w: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10.26</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2.03</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Private costs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- 1.72</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BF170C" w:rsidRDefault="00BF170C" w:rsidP="00BF170C">
            <w:pPr>
              <w:pStyle w:val="TableDataEntries"/>
              <w:jc w:val="left"/>
              <w:rPr>
                <w:lang w:val="en-GB"/>
              </w:rPr>
            </w:pPr>
            <w:r>
              <w:rPr>
                <w:lang w:val="en-GB"/>
              </w:rPr>
              <w:t>Net private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xml:space="preserve"> 10.57</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1.12</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0.52</w:t>
            </w:r>
          </w:p>
        </w:tc>
      </w:tr>
      <w:tr w:rsidR="00BF170C" w:rsidRPr="00BF170C"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BF170C" w:rsidRPr="00BF170C" w:rsidRDefault="00BF170C" w:rsidP="00BF170C">
            <w:pPr>
              <w:pStyle w:val="TableDataEntries"/>
              <w:jc w:val="left"/>
              <w:rPr>
                <w:rFonts w:ascii="Franklin Gothic Demi" w:hAnsi="Franklin Gothic Demi"/>
                <w:lang w:val="en-GB"/>
              </w:rPr>
            </w:pPr>
            <w:r w:rsidRPr="00BF170C">
              <w:rPr>
                <w:rFonts w:ascii="Franklin Gothic Demi" w:hAnsi="Franklin Gothic Demi"/>
                <w:lang w:val="en-GB"/>
              </w:rPr>
              <w:t>Net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12.21</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BF170C" w:rsidRDefault="00BF170C" w:rsidP="00BF170C">
            <w:pPr>
              <w:pStyle w:val="TableHeading1"/>
              <w:rPr>
                <w:lang w:val="en-GB"/>
              </w:rPr>
            </w:pPr>
            <w:r>
              <w:rPr>
                <w:lang w:val="en-GB"/>
              </w:rPr>
              <w:t>Retail</w:t>
            </w: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- 7.09</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8.47</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Private costs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- 16.62</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BF170C" w:rsidRDefault="00BF170C" w:rsidP="00BF170C">
            <w:pPr>
              <w:pStyle w:val="TableDataEntries"/>
              <w:jc w:val="left"/>
              <w:rPr>
                <w:lang w:val="en-GB"/>
              </w:rPr>
            </w:pPr>
            <w:r>
              <w:rPr>
                <w:lang w:val="en-GB"/>
              </w:rPr>
              <w:t>Net private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- 15.24</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- 0.77</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2.17</w:t>
            </w:r>
          </w:p>
        </w:tc>
      </w:tr>
      <w:tr w:rsidR="00BF170C" w:rsidRPr="00BF170C"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BF170C" w:rsidRPr="00BF170C" w:rsidRDefault="00BF170C" w:rsidP="00BF170C">
            <w:pPr>
              <w:pStyle w:val="TableDataEntries"/>
              <w:jc w:val="left"/>
              <w:rPr>
                <w:rFonts w:ascii="Franklin Gothic Demi" w:hAnsi="Franklin Gothic Demi"/>
                <w:lang w:val="en-GB"/>
              </w:rPr>
            </w:pPr>
            <w:r w:rsidRPr="00BF170C">
              <w:rPr>
                <w:rFonts w:ascii="Franklin Gothic Demi" w:hAnsi="Franklin Gothic Demi"/>
                <w:lang w:val="en-GB"/>
              </w:rPr>
              <w:t>Net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- 13.84</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BF170C" w:rsidRDefault="00BF170C" w:rsidP="00BF170C">
            <w:pPr>
              <w:pStyle w:val="TableHeading1"/>
              <w:rPr>
                <w:lang w:val="en-GB"/>
              </w:rPr>
            </w:pPr>
            <w:r>
              <w:rPr>
                <w:lang w:val="en-GB"/>
              </w:rPr>
              <w:t>Healthcare</w:t>
            </w: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23.86</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- 10.84</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Private costs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- 28.34</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BF170C" w:rsidRDefault="00BF170C" w:rsidP="00BF170C">
            <w:pPr>
              <w:pStyle w:val="TableDataEntries"/>
              <w:jc w:val="left"/>
              <w:rPr>
                <w:lang w:val="en-GB"/>
              </w:rPr>
            </w:pPr>
            <w:r>
              <w:rPr>
                <w:lang w:val="en-GB"/>
              </w:rPr>
              <w:t>Net private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- 15.33</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2.59</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- 2.78</w:t>
            </w:r>
          </w:p>
        </w:tc>
      </w:tr>
      <w:tr w:rsidR="00BF170C" w:rsidRPr="00BF170C"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BF170C" w:rsidRPr="00BF170C" w:rsidRDefault="00BF170C" w:rsidP="00BF170C">
            <w:pPr>
              <w:pStyle w:val="TableDataEntries"/>
              <w:jc w:val="left"/>
              <w:rPr>
                <w:rFonts w:ascii="Franklin Gothic Demi" w:hAnsi="Franklin Gothic Demi"/>
                <w:lang w:val="en-GB"/>
              </w:rPr>
            </w:pPr>
            <w:r w:rsidRPr="00BF170C">
              <w:rPr>
                <w:rFonts w:ascii="Franklin Gothic Demi" w:hAnsi="Franklin Gothic Demi"/>
                <w:lang w:val="en-GB"/>
              </w:rPr>
              <w:t>Net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- 15.51</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BF170C" w:rsidRDefault="00BF170C" w:rsidP="00BF170C">
            <w:pPr>
              <w:pStyle w:val="TableHeading1"/>
              <w:rPr>
                <w:lang w:val="en-GB"/>
              </w:rPr>
            </w:pPr>
            <w:r>
              <w:rPr>
                <w:lang w:val="en-GB"/>
              </w:rPr>
              <w:t>School</w:t>
            </w: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59.12</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7.47</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Private costs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- 8.72</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BF170C" w:rsidRDefault="00BF170C" w:rsidP="00BF170C">
            <w:pPr>
              <w:pStyle w:val="TableDataEntries"/>
              <w:jc w:val="left"/>
              <w:rPr>
                <w:lang w:val="en-GB"/>
              </w:rPr>
            </w:pPr>
            <w:r>
              <w:rPr>
                <w:lang w:val="en-GB"/>
              </w:rPr>
              <w:t>Net private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xml:space="preserve"> 57.87</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6.43</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1.92</w:t>
            </w:r>
          </w:p>
        </w:tc>
      </w:tr>
      <w:tr w:rsidR="00BF170C" w:rsidRPr="00BF170C" w:rsidTr="00301B6D">
        <w:trPr>
          <w:trHeight w:val="230"/>
        </w:trPr>
        <w:tc>
          <w:tcPr>
            <w:tcW w:w="2456"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rsidR="00BF170C" w:rsidRPr="00BF170C" w:rsidRDefault="00BF170C" w:rsidP="00BF170C">
            <w:pPr>
              <w:pStyle w:val="TableDataEntries"/>
              <w:jc w:val="left"/>
              <w:rPr>
                <w:rFonts w:ascii="Franklin Gothic Demi" w:hAnsi="Franklin Gothic Demi"/>
                <w:lang w:val="en-GB"/>
              </w:rPr>
            </w:pPr>
            <w:r w:rsidRPr="00BF170C">
              <w:rPr>
                <w:rFonts w:ascii="Franklin Gothic Demi" w:hAnsi="Franklin Gothic Demi"/>
                <w:lang w:val="en-GB"/>
              </w:rPr>
              <w:t>Net benefit/cost</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66.21</w:t>
            </w:r>
          </w:p>
        </w:tc>
      </w:tr>
    </w:tbl>
    <w:p w:rsidR="00612FD3" w:rsidRDefault="00612FD3" w:rsidP="00612FD3">
      <w:pPr>
        <w:pStyle w:val="Note"/>
        <w:rPr>
          <w:lang w:bidi="fa-IR"/>
        </w:rPr>
      </w:pPr>
      <w:r w:rsidRPr="007D1B4F">
        <w:rPr>
          <w:i/>
        </w:rPr>
        <w:t>Note:</w:t>
      </w:r>
      <w:r w:rsidRPr="00E879B8">
        <w:t xml:space="preserve"> </w:t>
      </w:r>
      <w:r>
        <w:t>Costs and benefits are estimated over the assumed 40 year life of the building, using a discount rate of 7 per cent.</w:t>
      </w:r>
    </w:p>
    <w:p w:rsidR="00612FD3" w:rsidRDefault="00612FD3" w:rsidP="00612FD3">
      <w:pPr>
        <w:pStyle w:val="Source"/>
        <w:rPr>
          <w:lang w:bidi="fa-IR"/>
        </w:rPr>
      </w:pPr>
      <w:r w:rsidRPr="00C6138D">
        <w:rPr>
          <w:i/>
          <w:lang w:bidi="fa-IR"/>
        </w:rPr>
        <w:t>Source:</w:t>
      </w:r>
      <w:r>
        <w:rPr>
          <w:lang w:bidi="fa-IR"/>
        </w:rPr>
        <w:t xml:space="preserve"> CIE based on </w:t>
      </w:r>
      <w:r w:rsidR="00EB5964">
        <w:rPr>
          <w:lang w:bidi="fa-IR"/>
        </w:rPr>
        <w:t>EA</w:t>
      </w:r>
      <w:r>
        <w:rPr>
          <w:lang w:bidi="fa-IR"/>
        </w:rPr>
        <w:t xml:space="preserve"> modelling.</w:t>
      </w:r>
    </w:p>
    <w:p w:rsidR="00612FD3" w:rsidRDefault="00612FD3" w:rsidP="00612FD3">
      <w:pPr>
        <w:pStyle w:val="Heading7"/>
        <w:numPr>
          <w:ilvl w:val="6"/>
          <w:numId w:val="5"/>
        </w:numPr>
      </w:pPr>
      <w:r>
        <w:t>Australian Capital Territory</w:t>
      </w:r>
    </w:p>
    <w:p w:rsidR="00612FD3" w:rsidRDefault="00612FD3" w:rsidP="00612FD3">
      <w:pPr>
        <w:pStyle w:val="Caption"/>
      </w:pPr>
      <w:r w:rsidRPr="00BF170C">
        <w:fldChar w:fldCharType="begin"/>
      </w:r>
      <w:r w:rsidRPr="00BF170C">
        <w:instrText xml:space="preserve"> IF 1 = 1 "</w:instrText>
      </w:r>
      <w:r w:rsidRPr="00BF170C">
        <w:fldChar w:fldCharType="begin"/>
      </w:r>
      <w:r w:rsidRPr="00BF170C">
        <w:instrText xml:space="preserve"> IF </w:instrText>
      </w:r>
      <w:r w:rsidRPr="00BF170C">
        <w:rPr>
          <w:noProof/>
        </w:rPr>
        <w:fldChar w:fldCharType="begin"/>
      </w:r>
      <w:r w:rsidRPr="00BF170C">
        <w:rPr>
          <w:noProof/>
        </w:rPr>
        <w:instrText xml:space="preserve"> STYLEREF "Heading 6" \l \n </w:instrText>
      </w:r>
      <w:r w:rsidRPr="00BF170C">
        <w:rPr>
          <w:noProof/>
        </w:rPr>
        <w:fldChar w:fldCharType="separate"/>
      </w:r>
      <w:r w:rsidR="00B833F1">
        <w:rPr>
          <w:noProof/>
        </w:rPr>
        <w:instrText>I</w:instrText>
      </w:r>
      <w:r w:rsidRPr="00BF170C">
        <w:rPr>
          <w:noProof/>
        </w:rPr>
        <w:fldChar w:fldCharType="end"/>
      </w:r>
      <w:r w:rsidRPr="00BF170C">
        <w:instrText xml:space="preserve"> = 0 "</w:instrText>
      </w:r>
      <w:r w:rsidRPr="00BF170C">
        <w:fldChar w:fldCharType="begin"/>
      </w:r>
      <w:r w:rsidRPr="00BF170C">
        <w:instrText xml:space="preserve"> IF </w:instrText>
      </w:r>
      <w:r w:rsidRPr="00BF170C">
        <w:rPr>
          <w:noProof/>
        </w:rPr>
        <w:fldChar w:fldCharType="begin"/>
      </w:r>
      <w:r w:rsidRPr="00BF170C">
        <w:rPr>
          <w:noProof/>
        </w:rPr>
        <w:instrText xml:space="preserve"> STYLEREF "Heading 1" \l \n </w:instrText>
      </w:r>
      <w:r w:rsidRPr="00BF170C">
        <w:rPr>
          <w:noProof/>
        </w:rPr>
        <w:fldChar w:fldCharType="separate"/>
      </w:r>
      <w:r w:rsidRPr="00BF170C">
        <w:rPr>
          <w:noProof/>
        </w:rPr>
        <w:instrText>1</w:instrText>
      </w:r>
      <w:r w:rsidRPr="00BF170C">
        <w:rPr>
          <w:noProof/>
        </w:rPr>
        <w:fldChar w:fldCharType="end"/>
      </w:r>
      <w:r w:rsidRPr="00BF170C">
        <w:instrText xml:space="preserve"> = 0 "" "</w:instrText>
      </w:r>
      <w:r w:rsidRPr="00BF170C">
        <w:rPr>
          <w:noProof/>
        </w:rPr>
        <w:fldChar w:fldCharType="begin"/>
      </w:r>
      <w:r w:rsidRPr="00BF170C">
        <w:rPr>
          <w:noProof/>
        </w:rPr>
        <w:instrText xml:space="preserve"> STYLEREF "Heading 1" \l \n </w:instrText>
      </w:r>
      <w:r w:rsidRPr="00BF170C">
        <w:rPr>
          <w:noProof/>
        </w:rPr>
        <w:fldChar w:fldCharType="separate"/>
      </w:r>
      <w:r w:rsidRPr="00BF170C">
        <w:rPr>
          <w:noProof/>
        </w:rPr>
        <w:instrText>1</w:instrText>
      </w:r>
      <w:r w:rsidRPr="00BF170C">
        <w:rPr>
          <w:noProof/>
        </w:rPr>
        <w:fldChar w:fldCharType="end"/>
      </w:r>
      <w:r w:rsidRPr="00BF170C">
        <w:instrText xml:space="preserve">." </w:instrText>
      </w:r>
      <w:r w:rsidRPr="00BF170C">
        <w:fldChar w:fldCharType="separate"/>
      </w:r>
      <w:r w:rsidRPr="00BF170C">
        <w:rPr>
          <w:noProof/>
        </w:rPr>
        <w:instrText>1.</w:instrText>
      </w:r>
      <w:r w:rsidRPr="00BF170C">
        <w:fldChar w:fldCharType="end"/>
      </w:r>
      <w:r w:rsidRPr="00BF170C">
        <w:instrText>" "</w:instrText>
      </w:r>
      <w:r w:rsidRPr="00BF170C">
        <w:rPr>
          <w:noProof/>
        </w:rPr>
        <w:fldChar w:fldCharType="begin"/>
      </w:r>
      <w:r w:rsidRPr="00BF170C">
        <w:rPr>
          <w:noProof/>
        </w:rPr>
        <w:instrText xml:space="preserve"> STYLEREF "Heading 6" \l \n </w:instrText>
      </w:r>
      <w:r w:rsidRPr="00BF170C">
        <w:rPr>
          <w:noProof/>
        </w:rPr>
        <w:fldChar w:fldCharType="separate"/>
      </w:r>
      <w:r w:rsidR="00B833F1">
        <w:rPr>
          <w:noProof/>
        </w:rPr>
        <w:instrText>I</w:instrText>
      </w:r>
      <w:r w:rsidRPr="00BF170C">
        <w:rPr>
          <w:noProof/>
        </w:rPr>
        <w:fldChar w:fldCharType="end"/>
      </w:r>
      <w:r w:rsidRPr="00BF170C">
        <w:instrText xml:space="preserve">." </w:instrText>
      </w:r>
      <w:r w:rsidRPr="00BF170C">
        <w:fldChar w:fldCharType="separate"/>
      </w:r>
      <w:r w:rsidR="00B833F1">
        <w:rPr>
          <w:noProof/>
        </w:rPr>
        <w:instrText>I</w:instrText>
      </w:r>
      <w:r w:rsidR="00B833F1" w:rsidRPr="00BF170C">
        <w:rPr>
          <w:noProof/>
        </w:rPr>
        <w:instrText>.</w:instrText>
      </w:r>
      <w:r w:rsidRPr="00BF170C">
        <w:fldChar w:fldCharType="end"/>
      </w:r>
      <w:r w:rsidRPr="00BF170C">
        <w:fldChar w:fldCharType="begin"/>
      </w:r>
      <w:r w:rsidRPr="00BF170C">
        <w:instrText xml:space="preserve"> SEQ Item \* ARABIC \s </w:instrText>
      </w:r>
      <w:r w:rsidRPr="00BF170C">
        <w:fldChar w:fldCharType="begin"/>
      </w:r>
      <w:r w:rsidRPr="00BF170C">
        <w:instrText xml:space="preserve"> IF </w:instrText>
      </w:r>
      <w:r w:rsidRPr="00BF170C">
        <w:rPr>
          <w:noProof/>
        </w:rPr>
        <w:fldChar w:fldCharType="begin"/>
      </w:r>
      <w:r w:rsidRPr="00BF170C">
        <w:rPr>
          <w:noProof/>
        </w:rPr>
        <w:instrText xml:space="preserve"> STYLEREF "Heading 6" \l \n </w:instrText>
      </w:r>
      <w:r w:rsidRPr="00BF170C">
        <w:rPr>
          <w:noProof/>
        </w:rPr>
        <w:fldChar w:fldCharType="separate"/>
      </w:r>
      <w:r w:rsidR="00B833F1">
        <w:rPr>
          <w:noProof/>
        </w:rPr>
        <w:instrText>I</w:instrText>
      </w:r>
      <w:r w:rsidRPr="00BF170C">
        <w:rPr>
          <w:noProof/>
        </w:rPr>
        <w:fldChar w:fldCharType="end"/>
      </w:r>
      <w:r w:rsidRPr="00BF170C">
        <w:instrText xml:space="preserve"> = 0 "</w:instrText>
      </w:r>
      <w:r w:rsidRPr="00BF170C">
        <w:fldChar w:fldCharType="begin"/>
      </w:r>
      <w:r w:rsidRPr="00BF170C">
        <w:instrText xml:space="preserve"> IF </w:instrText>
      </w:r>
      <w:r w:rsidRPr="00BF170C">
        <w:rPr>
          <w:noProof/>
        </w:rPr>
        <w:fldChar w:fldCharType="begin"/>
      </w:r>
      <w:r w:rsidRPr="00BF170C">
        <w:rPr>
          <w:noProof/>
        </w:rPr>
        <w:instrText xml:space="preserve"> STYLEREF "Heading 1" \l \n </w:instrText>
      </w:r>
      <w:r w:rsidRPr="00BF170C">
        <w:rPr>
          <w:noProof/>
        </w:rPr>
        <w:fldChar w:fldCharType="separate"/>
      </w:r>
      <w:r w:rsidRPr="00BF170C">
        <w:rPr>
          <w:noProof/>
        </w:rPr>
        <w:instrText>1</w:instrText>
      </w:r>
      <w:r w:rsidRPr="00BF170C">
        <w:rPr>
          <w:noProof/>
        </w:rPr>
        <w:fldChar w:fldCharType="end"/>
      </w:r>
      <w:r w:rsidRPr="00BF170C">
        <w:instrText xml:space="preserve"> = 0 "" "1" </w:instrText>
      </w:r>
      <w:r w:rsidRPr="00BF170C">
        <w:fldChar w:fldCharType="separate"/>
      </w:r>
      <w:r w:rsidRPr="00BF170C">
        <w:rPr>
          <w:noProof/>
        </w:rPr>
        <w:instrText>1</w:instrText>
      </w:r>
      <w:r w:rsidRPr="00BF170C">
        <w:fldChar w:fldCharType="end"/>
      </w:r>
      <w:r w:rsidRPr="00BF170C">
        <w:instrText xml:space="preserve">" "6" </w:instrText>
      </w:r>
      <w:r w:rsidRPr="00BF170C">
        <w:fldChar w:fldCharType="separate"/>
      </w:r>
      <w:r w:rsidR="00B833F1" w:rsidRPr="00BF170C">
        <w:rPr>
          <w:noProof/>
        </w:rPr>
        <w:instrText>6</w:instrText>
      </w:r>
      <w:r w:rsidRPr="00BF170C">
        <w:fldChar w:fldCharType="end"/>
      </w:r>
      <w:r w:rsidRPr="00BF170C">
        <w:instrText xml:space="preserve"> </w:instrText>
      </w:r>
      <w:r w:rsidRPr="00BF170C">
        <w:fldChar w:fldCharType="separate"/>
      </w:r>
      <w:r w:rsidR="00B833F1">
        <w:rPr>
          <w:noProof/>
        </w:rPr>
        <w:instrText>19</w:instrText>
      </w:r>
      <w:r w:rsidRPr="00BF170C">
        <w:fldChar w:fldCharType="end"/>
      </w:r>
      <w:r w:rsidRPr="00BF170C">
        <w:instrText xml:space="preserve">" "" </w:instrText>
      </w:r>
      <w:r w:rsidRPr="00BF170C">
        <w:fldChar w:fldCharType="separate"/>
      </w:r>
      <w:bookmarkStart w:id="10231" w:name="_Caption7679"/>
      <w:bookmarkStart w:id="10232" w:name="_Caption5003"/>
      <w:bookmarkStart w:id="10233" w:name="_Caption8926"/>
      <w:bookmarkStart w:id="10234" w:name="_Caption8921"/>
      <w:bookmarkStart w:id="10235" w:name="_Caption5276"/>
      <w:bookmarkStart w:id="10236" w:name="_Caption3819"/>
      <w:bookmarkStart w:id="10237" w:name="_Caption1718"/>
      <w:bookmarkStart w:id="10238" w:name="_Caption7701"/>
      <w:bookmarkStart w:id="10239" w:name="_Caption9701"/>
      <w:bookmarkStart w:id="10240" w:name="_Caption5544"/>
      <w:bookmarkStart w:id="10241" w:name="_Caption6678"/>
      <w:bookmarkStart w:id="10242" w:name="_Caption0489"/>
      <w:bookmarkStart w:id="10243" w:name="_Caption4999"/>
      <w:bookmarkStart w:id="10244" w:name="_Caption9256"/>
      <w:bookmarkStart w:id="10245" w:name="_Caption5193"/>
      <w:bookmarkStart w:id="10246" w:name="_Caption7598"/>
      <w:bookmarkStart w:id="10247" w:name="_Caption9589"/>
      <w:bookmarkStart w:id="10248" w:name="_Caption6352"/>
      <w:bookmarkStart w:id="10249" w:name="_Caption0195"/>
      <w:bookmarkStart w:id="10250" w:name="_Caption0683"/>
      <w:bookmarkStart w:id="10251" w:name="_Caption7614"/>
      <w:bookmarkStart w:id="10252" w:name="_Caption6577"/>
      <w:bookmarkStart w:id="10253" w:name="_Caption8316"/>
      <w:bookmarkStart w:id="10254" w:name="_Caption6504"/>
      <w:bookmarkStart w:id="10255" w:name="_Caption0263"/>
      <w:bookmarkStart w:id="10256" w:name="_Caption8066"/>
      <w:bookmarkStart w:id="10257" w:name="_Caption5239"/>
      <w:bookmarkStart w:id="10258" w:name="_Caption8137"/>
      <w:bookmarkStart w:id="10259" w:name="_Caption0963"/>
      <w:bookmarkStart w:id="10260" w:name="_Caption0764"/>
      <w:bookmarkStart w:id="10261" w:name="_Caption4763"/>
      <w:bookmarkStart w:id="10262" w:name="_Caption4492"/>
      <w:bookmarkStart w:id="10263" w:name="_Caption6783"/>
      <w:bookmarkStart w:id="10264" w:name="_Caption7344"/>
      <w:bookmarkStart w:id="10265" w:name="_Caption1144"/>
      <w:bookmarkStart w:id="10266" w:name="_Caption0871"/>
      <w:bookmarkStart w:id="10267" w:name="_Caption5260"/>
      <w:bookmarkStart w:id="10268" w:name="_Caption5402"/>
      <w:bookmarkStart w:id="10269" w:name="_Caption2571"/>
      <w:bookmarkStart w:id="10270" w:name="_Caption3159"/>
      <w:bookmarkStart w:id="10271" w:name="_Caption3371"/>
      <w:bookmarkStart w:id="10272" w:name="_Caption7750"/>
      <w:bookmarkStart w:id="10273" w:name="_Caption7393"/>
      <w:bookmarkStart w:id="10274" w:name="_Caption1802"/>
      <w:bookmarkStart w:id="10275" w:name="_Caption0425"/>
      <w:bookmarkStart w:id="10276" w:name="_Caption3124"/>
      <w:bookmarkStart w:id="10277" w:name="_Caption2204"/>
      <w:bookmarkStart w:id="10278" w:name="_Caption7185"/>
      <w:bookmarkStart w:id="10279" w:name="_Caption3690"/>
      <w:bookmarkStart w:id="10280" w:name="_Caption1600"/>
      <w:bookmarkStart w:id="10281" w:name="_Caption0379"/>
      <w:bookmarkStart w:id="10282" w:name="_Caption5550"/>
      <w:bookmarkStart w:id="10283" w:name="_Caption8980"/>
      <w:bookmarkStart w:id="10284" w:name="_Caption7595"/>
      <w:bookmarkStart w:id="10285" w:name="_Caption5290"/>
      <w:bookmarkStart w:id="10286" w:name="_Caption3996"/>
      <w:bookmarkStart w:id="10287" w:name="_Caption4858"/>
      <w:bookmarkStart w:id="10288" w:name="_Caption4481"/>
      <w:bookmarkStart w:id="10289" w:name="_Caption4796"/>
      <w:bookmarkStart w:id="10290" w:name="_Caption0878"/>
      <w:bookmarkStart w:id="10291" w:name="_Caption8149"/>
      <w:bookmarkStart w:id="10292" w:name="_Caption5965"/>
      <w:bookmarkStart w:id="10293" w:name="_Caption0904"/>
      <w:bookmarkStart w:id="10294" w:name="_Caption9612"/>
      <w:bookmarkStart w:id="10295" w:name="_Caption0216"/>
      <w:bookmarkStart w:id="10296" w:name="_Caption0011"/>
      <w:bookmarkStart w:id="10297" w:name="_Caption7839"/>
      <w:bookmarkStart w:id="10298" w:name="_Toc529870033"/>
      <w:bookmarkStart w:id="10299" w:name="_Toc530748529"/>
      <w:r w:rsidR="00EA42ED">
        <w:rPr>
          <w:noProof/>
        </w:rPr>
        <w:t>I</w:t>
      </w:r>
      <w:r w:rsidR="00EA42ED" w:rsidRPr="00BF170C">
        <w:rPr>
          <w:noProof/>
        </w:rPr>
        <w:t>.</w:t>
      </w:r>
      <w:r w:rsidR="00EA42ED">
        <w:rPr>
          <w:noProof/>
        </w:rPr>
        <w:t>19</w:t>
      </w:r>
      <w:bookmarkEnd w:id="10231"/>
      <w:bookmarkEnd w:id="10232"/>
      <w:bookmarkEnd w:id="10233"/>
      <w:bookmarkEnd w:id="10234"/>
      <w:bookmarkEnd w:id="10235"/>
      <w:bookmarkEnd w:id="10236"/>
      <w:bookmarkEnd w:id="10237"/>
      <w:bookmarkEnd w:id="10238"/>
      <w:bookmarkEnd w:id="10239"/>
      <w:bookmarkEnd w:id="10240"/>
      <w:bookmarkEnd w:id="10241"/>
      <w:bookmarkEnd w:id="10242"/>
      <w:bookmarkEnd w:id="10243"/>
      <w:bookmarkEnd w:id="10244"/>
      <w:bookmarkEnd w:id="10245"/>
      <w:bookmarkEnd w:id="10246"/>
      <w:bookmarkEnd w:id="10247"/>
      <w:bookmarkEnd w:id="10248"/>
      <w:bookmarkEnd w:id="10249"/>
      <w:bookmarkEnd w:id="10250"/>
      <w:bookmarkEnd w:id="10251"/>
      <w:bookmarkEnd w:id="10252"/>
      <w:bookmarkEnd w:id="10253"/>
      <w:bookmarkEnd w:id="10254"/>
      <w:bookmarkEnd w:id="10255"/>
      <w:bookmarkEnd w:id="10256"/>
      <w:bookmarkEnd w:id="10257"/>
      <w:bookmarkEnd w:id="10258"/>
      <w:bookmarkEnd w:id="10259"/>
      <w:bookmarkEnd w:id="10260"/>
      <w:bookmarkEnd w:id="10261"/>
      <w:bookmarkEnd w:id="10262"/>
      <w:bookmarkEnd w:id="10263"/>
      <w:bookmarkEnd w:id="10264"/>
      <w:bookmarkEnd w:id="10265"/>
      <w:bookmarkEnd w:id="10266"/>
      <w:bookmarkEnd w:id="10267"/>
      <w:bookmarkEnd w:id="10268"/>
      <w:bookmarkEnd w:id="10269"/>
      <w:bookmarkEnd w:id="10270"/>
      <w:bookmarkEnd w:id="10271"/>
      <w:bookmarkEnd w:id="10272"/>
      <w:bookmarkEnd w:id="10273"/>
      <w:bookmarkEnd w:id="10274"/>
      <w:bookmarkEnd w:id="10275"/>
      <w:bookmarkEnd w:id="10276"/>
      <w:bookmarkEnd w:id="10277"/>
      <w:bookmarkEnd w:id="10278"/>
      <w:bookmarkEnd w:id="10279"/>
      <w:bookmarkEnd w:id="10280"/>
      <w:bookmarkEnd w:id="10281"/>
      <w:bookmarkEnd w:id="10282"/>
      <w:bookmarkEnd w:id="10283"/>
      <w:bookmarkEnd w:id="10284"/>
      <w:bookmarkEnd w:id="10285"/>
      <w:bookmarkEnd w:id="10286"/>
      <w:bookmarkEnd w:id="10287"/>
      <w:bookmarkEnd w:id="10288"/>
      <w:bookmarkEnd w:id="10289"/>
      <w:bookmarkEnd w:id="10290"/>
      <w:bookmarkEnd w:id="10291"/>
      <w:bookmarkEnd w:id="10292"/>
      <w:bookmarkEnd w:id="10293"/>
      <w:bookmarkEnd w:id="10294"/>
      <w:bookmarkEnd w:id="10295"/>
      <w:bookmarkEnd w:id="10296"/>
      <w:bookmarkEnd w:id="10297"/>
      <w:r w:rsidRPr="00BF170C">
        <w:fldChar w:fldCharType="end"/>
      </w:r>
      <w:r w:rsidRPr="00BF170C">
        <w:tab/>
        <w:t>Net benefits to Australian Capital Territory — low realisation scenario</w:t>
      </w:r>
      <w:bookmarkEnd w:id="10298"/>
      <w:bookmarkEnd w:id="10299"/>
    </w:p>
    <w:tbl>
      <w:tblPr>
        <w:tblW w:w="7937" w:type="dxa"/>
        <w:tblLayout w:type="fixed"/>
        <w:tblLook w:val="0000" w:firstRow="0" w:lastRow="0" w:firstColumn="0" w:lastColumn="0" w:noHBand="0" w:noVBand="0"/>
        <w:tblCaption w:val="Table I1.19: Net beenfits to Australian Capital Territory - low realisation"/>
        <w:tblDescription w:val="This table shows the net benefits under a low realisation scenario of the proposed changes to NCC 2019 in Australian Capital Territory. "/>
      </w:tblPr>
      <w:tblGrid>
        <w:gridCol w:w="2456"/>
        <w:gridCol w:w="783"/>
        <w:gridCol w:w="783"/>
        <w:gridCol w:w="783"/>
        <w:gridCol w:w="783"/>
        <w:gridCol w:w="783"/>
        <w:gridCol w:w="783"/>
        <w:gridCol w:w="783"/>
      </w:tblGrid>
      <w:tr w:rsidR="00612FD3" w:rsidTr="00301B6D">
        <w:trPr>
          <w:trHeight w:val="230"/>
          <w:tblHeader/>
        </w:trPr>
        <w:tc>
          <w:tcPr>
            <w:tcW w:w="2456" w:type="dxa"/>
            <w:shd w:val="clear" w:color="auto" w:fill="6F6652"/>
            <w:tcMar>
              <w:left w:w="57" w:type="dxa"/>
              <w:right w:w="57" w:type="dxa"/>
            </w:tcMar>
          </w:tcPr>
          <w:p w:rsidR="00612FD3" w:rsidRDefault="00612FD3" w:rsidP="00301B6D">
            <w:pPr>
              <w:pStyle w:val="TableDataColumnHeading"/>
              <w:jc w:val="left"/>
              <w:rPr>
                <w:lang w:val="en-GB"/>
              </w:rPr>
            </w:pP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CZ1</w:t>
            </w: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CZ2</w:t>
            </w: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CZ3</w:t>
            </w: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CZ4</w:t>
            </w: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CZ5</w:t>
            </w: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CZ6</w:t>
            </w: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CZ7</w:t>
            </w:r>
          </w:p>
        </w:tc>
      </w:tr>
      <w:tr w:rsidR="00612FD3" w:rsidTr="00301B6D">
        <w:trPr>
          <w:trHeight w:val="230"/>
          <w:tblHeader/>
        </w:trPr>
        <w:tc>
          <w:tcPr>
            <w:tcW w:w="2456"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jc w:val="left"/>
              <w:rPr>
                <w:lang w:val="en-GB"/>
              </w:rPr>
            </w:pP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r>
      <w:tr w:rsidR="00612FD3" w:rsidTr="00301B6D">
        <w:trPr>
          <w:trHeight w:val="230"/>
        </w:trPr>
        <w:tc>
          <w:tcPr>
            <w:tcW w:w="245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r>
              <w:rPr>
                <w:lang w:val="en-GB"/>
              </w:rPr>
              <w:t>Hotels</w:t>
            </w: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20.57</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1.09</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Private costs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12.65</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BF170C" w:rsidRDefault="00BF170C" w:rsidP="00BF170C">
            <w:pPr>
              <w:pStyle w:val="TableDataEntries"/>
              <w:jc w:val="left"/>
              <w:rPr>
                <w:lang w:val="en-GB"/>
              </w:rPr>
            </w:pPr>
            <w:r>
              <w:rPr>
                <w:lang w:val="en-GB"/>
              </w:rPr>
              <w:t>Net private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xml:space="preserve"> 34.31</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7.98</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0.28</w:t>
            </w:r>
          </w:p>
        </w:tc>
      </w:tr>
      <w:tr w:rsidR="00BF170C" w:rsidRPr="00BF170C"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BF170C" w:rsidRPr="00BF170C" w:rsidRDefault="00BF170C" w:rsidP="00BF170C">
            <w:pPr>
              <w:pStyle w:val="TableDataEntries"/>
              <w:jc w:val="left"/>
              <w:rPr>
                <w:rFonts w:ascii="Franklin Gothic Demi" w:hAnsi="Franklin Gothic Demi"/>
                <w:lang w:val="en-GB"/>
              </w:rPr>
            </w:pPr>
            <w:r w:rsidRPr="00BF170C">
              <w:rPr>
                <w:rFonts w:ascii="Franklin Gothic Demi" w:hAnsi="Franklin Gothic Demi"/>
                <w:lang w:val="en-GB"/>
              </w:rPr>
              <w:t>Net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42.57</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BF170C" w:rsidRDefault="00BF170C" w:rsidP="00BF170C">
            <w:pPr>
              <w:pStyle w:val="TableHeading1"/>
              <w:rPr>
                <w:lang w:val="en-GB"/>
              </w:rPr>
            </w:pPr>
            <w:r>
              <w:rPr>
                <w:lang w:val="en-GB"/>
              </w:rPr>
              <w:t>Office building</w:t>
            </w: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4.64</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0.99</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Private costs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- 1.72</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BF170C" w:rsidRDefault="00BF170C" w:rsidP="00BF170C">
            <w:pPr>
              <w:pStyle w:val="TableDataEntries"/>
              <w:jc w:val="left"/>
              <w:rPr>
                <w:lang w:val="en-GB"/>
              </w:rPr>
            </w:pPr>
            <w:r>
              <w:rPr>
                <w:lang w:val="en-GB"/>
              </w:rPr>
              <w:t>Net private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xml:space="preserve"> 3.91</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1.80</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0.26</w:t>
            </w:r>
          </w:p>
        </w:tc>
      </w:tr>
      <w:tr w:rsidR="00BF170C" w:rsidRPr="00BF170C"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BF170C" w:rsidRPr="00BF170C" w:rsidRDefault="00BF170C" w:rsidP="00BF170C">
            <w:pPr>
              <w:pStyle w:val="TableDataEntries"/>
              <w:jc w:val="left"/>
              <w:rPr>
                <w:rFonts w:ascii="Franklin Gothic Demi" w:hAnsi="Franklin Gothic Demi"/>
                <w:lang w:val="en-GB"/>
              </w:rPr>
            </w:pPr>
            <w:r w:rsidRPr="00BF170C">
              <w:rPr>
                <w:rFonts w:ascii="Franklin Gothic Demi" w:hAnsi="Franklin Gothic Demi"/>
                <w:lang w:val="en-GB"/>
              </w:rPr>
              <w:t>Net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5.97</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BF170C" w:rsidRDefault="00BF170C" w:rsidP="00BF170C">
            <w:pPr>
              <w:pStyle w:val="TableHeading1"/>
              <w:rPr>
                <w:lang w:val="en-GB"/>
              </w:rPr>
            </w:pPr>
            <w:r>
              <w:rPr>
                <w:lang w:val="en-GB"/>
              </w:rPr>
              <w:t>Retail</w:t>
            </w: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- 3.21</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4.14</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Private costs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- 16.62</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BF170C" w:rsidRDefault="00BF170C" w:rsidP="00BF170C">
            <w:pPr>
              <w:pStyle w:val="TableDataEntries"/>
              <w:jc w:val="left"/>
              <w:rPr>
                <w:lang w:val="en-GB"/>
              </w:rPr>
            </w:pPr>
            <w:r>
              <w:rPr>
                <w:lang w:val="en-GB"/>
              </w:rPr>
              <w:t>Net private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- 15.68</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- 1.24</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1.08</w:t>
            </w:r>
          </w:p>
        </w:tc>
      </w:tr>
      <w:tr w:rsidR="00BF170C" w:rsidRPr="00BF170C"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BF170C" w:rsidRPr="00BF170C" w:rsidRDefault="00BF170C" w:rsidP="00BF170C">
            <w:pPr>
              <w:pStyle w:val="TableDataEntries"/>
              <w:jc w:val="left"/>
              <w:rPr>
                <w:rFonts w:ascii="Franklin Gothic Demi" w:hAnsi="Franklin Gothic Demi"/>
                <w:lang w:val="en-GB"/>
              </w:rPr>
            </w:pPr>
            <w:r w:rsidRPr="00BF170C">
              <w:rPr>
                <w:rFonts w:ascii="Franklin Gothic Demi" w:hAnsi="Franklin Gothic Demi"/>
                <w:lang w:val="en-GB"/>
              </w:rPr>
              <w:t>Net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- 15.84</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BF170C" w:rsidRDefault="00BF170C" w:rsidP="00BF170C">
            <w:pPr>
              <w:pStyle w:val="TableHeading1"/>
              <w:rPr>
                <w:lang w:val="en-GB"/>
              </w:rPr>
            </w:pPr>
            <w:r>
              <w:rPr>
                <w:lang w:val="en-GB"/>
              </w:rPr>
              <w:t>Healthcare</w:t>
            </w: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10.79</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- 5.30</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Private costs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- 28.34</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BF170C" w:rsidRDefault="00BF170C" w:rsidP="00BF170C">
            <w:pPr>
              <w:pStyle w:val="TableDataEntries"/>
              <w:jc w:val="left"/>
              <w:rPr>
                <w:lang w:val="en-GB"/>
              </w:rPr>
            </w:pPr>
            <w:r>
              <w:rPr>
                <w:lang w:val="en-GB"/>
              </w:rPr>
              <w:t>Net private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- 22.85</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4.18</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- 1.39</w:t>
            </w:r>
          </w:p>
        </w:tc>
      </w:tr>
      <w:tr w:rsidR="00BF170C" w:rsidRPr="00BF170C"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BF170C" w:rsidRPr="00BF170C" w:rsidRDefault="00BF170C" w:rsidP="00BF170C">
            <w:pPr>
              <w:pStyle w:val="TableDataEntries"/>
              <w:jc w:val="left"/>
              <w:rPr>
                <w:rFonts w:ascii="Franklin Gothic Demi" w:hAnsi="Franklin Gothic Demi"/>
                <w:lang w:val="en-GB"/>
              </w:rPr>
            </w:pPr>
            <w:r w:rsidRPr="00BF170C">
              <w:rPr>
                <w:rFonts w:ascii="Franklin Gothic Demi" w:hAnsi="Franklin Gothic Demi"/>
                <w:lang w:val="en-GB"/>
              </w:rPr>
              <w:t>Net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- 20.05</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BF170C" w:rsidRDefault="00BF170C" w:rsidP="00BF170C">
            <w:pPr>
              <w:pStyle w:val="TableHeading1"/>
              <w:rPr>
                <w:lang w:val="en-GB"/>
              </w:rPr>
            </w:pPr>
            <w:r>
              <w:rPr>
                <w:lang w:val="en-GB"/>
              </w:rPr>
              <w:t>School</w:t>
            </w: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26.74</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3.65</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Private costs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- 8.72</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BF170C" w:rsidRDefault="00BF170C" w:rsidP="00BF170C">
            <w:pPr>
              <w:pStyle w:val="TableDataEntries"/>
              <w:jc w:val="left"/>
              <w:rPr>
                <w:lang w:val="en-GB"/>
              </w:rPr>
            </w:pPr>
            <w:r>
              <w:rPr>
                <w:lang w:val="en-GB"/>
              </w:rPr>
              <w:t>Net private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xml:space="preserve"> 21.68</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10.37</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0.96</w:t>
            </w:r>
          </w:p>
        </w:tc>
      </w:tr>
      <w:tr w:rsidR="00BF170C" w:rsidRPr="00BF170C" w:rsidTr="00301B6D">
        <w:trPr>
          <w:trHeight w:val="230"/>
        </w:trPr>
        <w:tc>
          <w:tcPr>
            <w:tcW w:w="2456"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rsidR="00BF170C" w:rsidRPr="00BF170C" w:rsidRDefault="00BF170C" w:rsidP="00BF170C">
            <w:pPr>
              <w:pStyle w:val="TableDataEntries"/>
              <w:jc w:val="left"/>
              <w:rPr>
                <w:rFonts w:ascii="Franklin Gothic Demi" w:hAnsi="Franklin Gothic Demi"/>
                <w:lang w:val="en-GB"/>
              </w:rPr>
            </w:pPr>
            <w:r w:rsidRPr="00BF170C">
              <w:rPr>
                <w:rFonts w:ascii="Franklin Gothic Demi" w:hAnsi="Franklin Gothic Demi"/>
                <w:lang w:val="en-GB"/>
              </w:rPr>
              <w:t>Net benefit/cost</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33.00</w:t>
            </w:r>
          </w:p>
        </w:tc>
      </w:tr>
    </w:tbl>
    <w:p w:rsidR="00612FD3" w:rsidRDefault="00612FD3" w:rsidP="00612FD3">
      <w:pPr>
        <w:pStyle w:val="Note"/>
        <w:rPr>
          <w:lang w:bidi="fa-IR"/>
        </w:rPr>
      </w:pPr>
      <w:r w:rsidRPr="007D1B4F">
        <w:rPr>
          <w:i/>
        </w:rPr>
        <w:t>Note:</w:t>
      </w:r>
      <w:r w:rsidRPr="00E879B8">
        <w:t xml:space="preserve"> </w:t>
      </w:r>
      <w:r>
        <w:t>Costs and benefits are estimated over the assumed 40 year life of the building, using a discount rate of 7 per cent.</w:t>
      </w:r>
    </w:p>
    <w:p w:rsidR="00612FD3" w:rsidRDefault="00612FD3" w:rsidP="00612FD3">
      <w:pPr>
        <w:pStyle w:val="Source"/>
        <w:rPr>
          <w:lang w:bidi="fa-IR"/>
        </w:rPr>
      </w:pPr>
      <w:r w:rsidRPr="00C6138D">
        <w:rPr>
          <w:i/>
          <w:lang w:bidi="fa-IR"/>
        </w:rPr>
        <w:t>Source:</w:t>
      </w:r>
      <w:r>
        <w:rPr>
          <w:lang w:bidi="fa-IR"/>
        </w:rPr>
        <w:t xml:space="preserve"> CIE based on </w:t>
      </w:r>
      <w:r w:rsidR="00EB5964">
        <w:rPr>
          <w:lang w:bidi="fa-IR"/>
        </w:rPr>
        <w:t>EA</w:t>
      </w:r>
      <w:r>
        <w:rPr>
          <w:lang w:bidi="fa-IR"/>
        </w:rPr>
        <w:t xml:space="preserve"> modelling.</w:t>
      </w:r>
    </w:p>
    <w:p w:rsidR="00612FD3" w:rsidRDefault="00612FD3" w:rsidP="00612FD3">
      <w:pPr>
        <w:pStyle w:val="Caption"/>
      </w:pPr>
      <w:r w:rsidRPr="00BF170C">
        <w:fldChar w:fldCharType="begin"/>
      </w:r>
      <w:r w:rsidRPr="00BF170C">
        <w:instrText xml:space="preserve"> IF 1 = 1 "</w:instrText>
      </w:r>
      <w:r w:rsidRPr="00BF170C">
        <w:fldChar w:fldCharType="begin"/>
      </w:r>
      <w:r w:rsidRPr="00BF170C">
        <w:instrText xml:space="preserve"> IF </w:instrText>
      </w:r>
      <w:r w:rsidRPr="00BF170C">
        <w:rPr>
          <w:noProof/>
        </w:rPr>
        <w:fldChar w:fldCharType="begin"/>
      </w:r>
      <w:r w:rsidRPr="00BF170C">
        <w:rPr>
          <w:noProof/>
        </w:rPr>
        <w:instrText xml:space="preserve"> STYLEREF "Heading 6" \l \n </w:instrText>
      </w:r>
      <w:r w:rsidRPr="00BF170C">
        <w:rPr>
          <w:noProof/>
        </w:rPr>
        <w:fldChar w:fldCharType="separate"/>
      </w:r>
      <w:r w:rsidR="00B833F1">
        <w:rPr>
          <w:noProof/>
        </w:rPr>
        <w:instrText>I</w:instrText>
      </w:r>
      <w:r w:rsidRPr="00BF170C">
        <w:rPr>
          <w:noProof/>
        </w:rPr>
        <w:fldChar w:fldCharType="end"/>
      </w:r>
      <w:r w:rsidRPr="00BF170C">
        <w:instrText xml:space="preserve"> = 0 "</w:instrText>
      </w:r>
      <w:r w:rsidRPr="00BF170C">
        <w:fldChar w:fldCharType="begin"/>
      </w:r>
      <w:r w:rsidRPr="00BF170C">
        <w:instrText xml:space="preserve"> IF </w:instrText>
      </w:r>
      <w:r w:rsidRPr="00BF170C">
        <w:rPr>
          <w:noProof/>
        </w:rPr>
        <w:fldChar w:fldCharType="begin"/>
      </w:r>
      <w:r w:rsidRPr="00BF170C">
        <w:rPr>
          <w:noProof/>
        </w:rPr>
        <w:instrText xml:space="preserve"> STYLEREF "Heading 1" \l \n </w:instrText>
      </w:r>
      <w:r w:rsidRPr="00BF170C">
        <w:rPr>
          <w:noProof/>
        </w:rPr>
        <w:fldChar w:fldCharType="separate"/>
      </w:r>
      <w:r w:rsidRPr="00BF170C">
        <w:rPr>
          <w:noProof/>
        </w:rPr>
        <w:instrText>1</w:instrText>
      </w:r>
      <w:r w:rsidRPr="00BF170C">
        <w:rPr>
          <w:noProof/>
        </w:rPr>
        <w:fldChar w:fldCharType="end"/>
      </w:r>
      <w:r w:rsidRPr="00BF170C">
        <w:instrText xml:space="preserve"> = 0 "" "</w:instrText>
      </w:r>
      <w:r w:rsidRPr="00BF170C">
        <w:rPr>
          <w:noProof/>
        </w:rPr>
        <w:fldChar w:fldCharType="begin"/>
      </w:r>
      <w:r w:rsidRPr="00BF170C">
        <w:rPr>
          <w:noProof/>
        </w:rPr>
        <w:instrText xml:space="preserve"> STYLEREF "Heading 1" \l \n </w:instrText>
      </w:r>
      <w:r w:rsidRPr="00BF170C">
        <w:rPr>
          <w:noProof/>
        </w:rPr>
        <w:fldChar w:fldCharType="separate"/>
      </w:r>
      <w:r w:rsidRPr="00BF170C">
        <w:rPr>
          <w:noProof/>
        </w:rPr>
        <w:instrText>1</w:instrText>
      </w:r>
      <w:r w:rsidRPr="00BF170C">
        <w:rPr>
          <w:noProof/>
        </w:rPr>
        <w:fldChar w:fldCharType="end"/>
      </w:r>
      <w:r w:rsidRPr="00BF170C">
        <w:instrText xml:space="preserve">." </w:instrText>
      </w:r>
      <w:r w:rsidRPr="00BF170C">
        <w:fldChar w:fldCharType="separate"/>
      </w:r>
      <w:r w:rsidRPr="00BF170C">
        <w:rPr>
          <w:noProof/>
        </w:rPr>
        <w:instrText>1.</w:instrText>
      </w:r>
      <w:r w:rsidRPr="00BF170C">
        <w:fldChar w:fldCharType="end"/>
      </w:r>
      <w:r w:rsidRPr="00BF170C">
        <w:instrText>" "</w:instrText>
      </w:r>
      <w:r w:rsidRPr="00BF170C">
        <w:rPr>
          <w:noProof/>
        </w:rPr>
        <w:fldChar w:fldCharType="begin"/>
      </w:r>
      <w:r w:rsidRPr="00BF170C">
        <w:rPr>
          <w:noProof/>
        </w:rPr>
        <w:instrText xml:space="preserve"> STYLEREF "Heading 6" \l \n </w:instrText>
      </w:r>
      <w:r w:rsidRPr="00BF170C">
        <w:rPr>
          <w:noProof/>
        </w:rPr>
        <w:fldChar w:fldCharType="separate"/>
      </w:r>
      <w:r w:rsidR="00B833F1">
        <w:rPr>
          <w:noProof/>
        </w:rPr>
        <w:instrText>I</w:instrText>
      </w:r>
      <w:r w:rsidRPr="00BF170C">
        <w:rPr>
          <w:noProof/>
        </w:rPr>
        <w:fldChar w:fldCharType="end"/>
      </w:r>
      <w:r w:rsidRPr="00BF170C">
        <w:instrText xml:space="preserve">." </w:instrText>
      </w:r>
      <w:r w:rsidRPr="00BF170C">
        <w:fldChar w:fldCharType="separate"/>
      </w:r>
      <w:r w:rsidR="00B833F1">
        <w:rPr>
          <w:noProof/>
        </w:rPr>
        <w:instrText>I</w:instrText>
      </w:r>
      <w:r w:rsidR="00B833F1" w:rsidRPr="00BF170C">
        <w:rPr>
          <w:noProof/>
        </w:rPr>
        <w:instrText>.</w:instrText>
      </w:r>
      <w:r w:rsidRPr="00BF170C">
        <w:fldChar w:fldCharType="end"/>
      </w:r>
      <w:r w:rsidRPr="00BF170C">
        <w:fldChar w:fldCharType="begin"/>
      </w:r>
      <w:r w:rsidRPr="00BF170C">
        <w:instrText xml:space="preserve"> SEQ Item \* ARABIC \s </w:instrText>
      </w:r>
      <w:r w:rsidRPr="00BF170C">
        <w:fldChar w:fldCharType="begin"/>
      </w:r>
      <w:r w:rsidRPr="00BF170C">
        <w:instrText xml:space="preserve"> IF </w:instrText>
      </w:r>
      <w:r w:rsidRPr="00BF170C">
        <w:rPr>
          <w:noProof/>
        </w:rPr>
        <w:fldChar w:fldCharType="begin"/>
      </w:r>
      <w:r w:rsidRPr="00BF170C">
        <w:rPr>
          <w:noProof/>
        </w:rPr>
        <w:instrText xml:space="preserve"> STYLEREF "Heading 6" \l \n </w:instrText>
      </w:r>
      <w:r w:rsidRPr="00BF170C">
        <w:rPr>
          <w:noProof/>
        </w:rPr>
        <w:fldChar w:fldCharType="separate"/>
      </w:r>
      <w:r w:rsidR="00B833F1">
        <w:rPr>
          <w:noProof/>
        </w:rPr>
        <w:instrText>I</w:instrText>
      </w:r>
      <w:r w:rsidRPr="00BF170C">
        <w:rPr>
          <w:noProof/>
        </w:rPr>
        <w:fldChar w:fldCharType="end"/>
      </w:r>
      <w:r w:rsidRPr="00BF170C">
        <w:instrText xml:space="preserve"> = 0 "</w:instrText>
      </w:r>
      <w:r w:rsidRPr="00BF170C">
        <w:fldChar w:fldCharType="begin"/>
      </w:r>
      <w:r w:rsidRPr="00BF170C">
        <w:instrText xml:space="preserve"> IF </w:instrText>
      </w:r>
      <w:r w:rsidRPr="00BF170C">
        <w:rPr>
          <w:noProof/>
        </w:rPr>
        <w:fldChar w:fldCharType="begin"/>
      </w:r>
      <w:r w:rsidRPr="00BF170C">
        <w:rPr>
          <w:noProof/>
        </w:rPr>
        <w:instrText xml:space="preserve"> STYLEREF "Heading 1" \l \n </w:instrText>
      </w:r>
      <w:r w:rsidRPr="00BF170C">
        <w:rPr>
          <w:noProof/>
        </w:rPr>
        <w:fldChar w:fldCharType="separate"/>
      </w:r>
      <w:r w:rsidRPr="00BF170C">
        <w:rPr>
          <w:noProof/>
        </w:rPr>
        <w:instrText>1</w:instrText>
      </w:r>
      <w:r w:rsidRPr="00BF170C">
        <w:rPr>
          <w:noProof/>
        </w:rPr>
        <w:fldChar w:fldCharType="end"/>
      </w:r>
      <w:r w:rsidRPr="00BF170C">
        <w:instrText xml:space="preserve"> = 0 "" "1" </w:instrText>
      </w:r>
      <w:r w:rsidRPr="00BF170C">
        <w:fldChar w:fldCharType="separate"/>
      </w:r>
      <w:r w:rsidRPr="00BF170C">
        <w:rPr>
          <w:noProof/>
        </w:rPr>
        <w:instrText>1</w:instrText>
      </w:r>
      <w:r w:rsidRPr="00BF170C">
        <w:fldChar w:fldCharType="end"/>
      </w:r>
      <w:r w:rsidRPr="00BF170C">
        <w:instrText xml:space="preserve">" "6" </w:instrText>
      </w:r>
      <w:r w:rsidRPr="00BF170C">
        <w:fldChar w:fldCharType="separate"/>
      </w:r>
      <w:r w:rsidR="00B833F1" w:rsidRPr="00BF170C">
        <w:rPr>
          <w:noProof/>
        </w:rPr>
        <w:instrText>6</w:instrText>
      </w:r>
      <w:r w:rsidRPr="00BF170C">
        <w:fldChar w:fldCharType="end"/>
      </w:r>
      <w:r w:rsidRPr="00BF170C">
        <w:instrText xml:space="preserve"> </w:instrText>
      </w:r>
      <w:r w:rsidRPr="00BF170C">
        <w:fldChar w:fldCharType="separate"/>
      </w:r>
      <w:r w:rsidR="00B833F1">
        <w:rPr>
          <w:noProof/>
        </w:rPr>
        <w:instrText>20</w:instrText>
      </w:r>
      <w:r w:rsidRPr="00BF170C">
        <w:fldChar w:fldCharType="end"/>
      </w:r>
      <w:r w:rsidRPr="00BF170C">
        <w:instrText xml:space="preserve">" "" </w:instrText>
      </w:r>
      <w:r w:rsidRPr="00BF170C">
        <w:fldChar w:fldCharType="separate"/>
      </w:r>
      <w:bookmarkStart w:id="10300" w:name="_Caption7519"/>
      <w:bookmarkStart w:id="10301" w:name="_Caption8530"/>
      <w:bookmarkStart w:id="10302" w:name="_Caption2660"/>
      <w:bookmarkStart w:id="10303" w:name="_Caption9099"/>
      <w:bookmarkStart w:id="10304" w:name="_Caption8518"/>
      <w:bookmarkStart w:id="10305" w:name="_Caption3214"/>
      <w:bookmarkStart w:id="10306" w:name="_Caption5919"/>
      <w:bookmarkStart w:id="10307" w:name="_Caption5320"/>
      <w:bookmarkStart w:id="10308" w:name="_Caption8902"/>
      <w:bookmarkStart w:id="10309" w:name="_Caption5067"/>
      <w:bookmarkStart w:id="10310" w:name="_Caption8472"/>
      <w:bookmarkStart w:id="10311" w:name="_Caption5597"/>
      <w:bookmarkStart w:id="10312" w:name="_Caption7816"/>
      <w:bookmarkStart w:id="10313" w:name="_Caption1282"/>
      <w:bookmarkStart w:id="10314" w:name="_Caption3453"/>
      <w:bookmarkStart w:id="10315" w:name="_Caption5491"/>
      <w:bookmarkStart w:id="10316" w:name="_Caption6191"/>
      <w:bookmarkStart w:id="10317" w:name="_Caption0702"/>
      <w:bookmarkStart w:id="10318" w:name="_Caption7357"/>
      <w:bookmarkStart w:id="10319" w:name="_Caption6137"/>
      <w:bookmarkStart w:id="10320" w:name="_Caption8172"/>
      <w:bookmarkStart w:id="10321" w:name="_Caption6294"/>
      <w:bookmarkStart w:id="10322" w:name="_Caption2020"/>
      <w:bookmarkStart w:id="10323" w:name="_Caption4427"/>
      <w:bookmarkStart w:id="10324" w:name="_Caption6862"/>
      <w:bookmarkStart w:id="10325" w:name="_Caption0773"/>
      <w:bookmarkStart w:id="10326" w:name="_Caption3105"/>
      <w:bookmarkStart w:id="10327" w:name="_Caption2411"/>
      <w:bookmarkStart w:id="10328" w:name="_Caption4927"/>
      <w:bookmarkStart w:id="10329" w:name="_Caption7718"/>
      <w:bookmarkStart w:id="10330" w:name="_Caption2678"/>
      <w:bookmarkStart w:id="10331" w:name="_Caption7361"/>
      <w:bookmarkStart w:id="10332" w:name="_Caption7557"/>
      <w:bookmarkStart w:id="10333" w:name="_Caption4230"/>
      <w:bookmarkStart w:id="10334" w:name="_Caption6079"/>
      <w:bookmarkStart w:id="10335" w:name="_Caption4994"/>
      <w:bookmarkStart w:id="10336" w:name="_Caption6549"/>
      <w:bookmarkStart w:id="10337" w:name="_Caption3822"/>
      <w:bookmarkStart w:id="10338" w:name="_Caption2380"/>
      <w:bookmarkStart w:id="10339" w:name="_Caption3014"/>
      <w:bookmarkStart w:id="10340" w:name="_Caption0450"/>
      <w:bookmarkStart w:id="10341" w:name="_Caption6986"/>
      <w:bookmarkStart w:id="10342" w:name="_Caption6842"/>
      <w:bookmarkStart w:id="10343" w:name="_Caption7692"/>
      <w:bookmarkStart w:id="10344" w:name="_Caption1316"/>
      <w:bookmarkStart w:id="10345" w:name="_Caption4842"/>
      <w:bookmarkStart w:id="10346" w:name="_Caption8905"/>
      <w:bookmarkStart w:id="10347" w:name="_Caption8543"/>
      <w:bookmarkStart w:id="10348" w:name="_Caption7840"/>
      <w:bookmarkStart w:id="10349" w:name="_Caption4684"/>
      <w:bookmarkStart w:id="10350" w:name="_Caption1737"/>
      <w:bookmarkStart w:id="10351" w:name="_Caption7436"/>
      <w:bookmarkStart w:id="10352" w:name="_Caption3721"/>
      <w:bookmarkStart w:id="10353" w:name="_Caption1667"/>
      <w:bookmarkStart w:id="10354" w:name="_Caption9082"/>
      <w:bookmarkStart w:id="10355" w:name="_Caption1563"/>
      <w:bookmarkStart w:id="10356" w:name="_Caption4639"/>
      <w:bookmarkStart w:id="10357" w:name="_Caption3916"/>
      <w:bookmarkStart w:id="10358" w:name="_Caption3271"/>
      <w:bookmarkStart w:id="10359" w:name="_Caption5293"/>
      <w:bookmarkStart w:id="10360" w:name="_Caption9558"/>
      <w:bookmarkStart w:id="10361" w:name="_Caption9573"/>
      <w:bookmarkStart w:id="10362" w:name="_Caption8688"/>
      <w:bookmarkStart w:id="10363" w:name="_Caption7013"/>
      <w:bookmarkStart w:id="10364" w:name="_Caption3374"/>
      <w:bookmarkStart w:id="10365" w:name="_Caption6452"/>
      <w:bookmarkStart w:id="10366" w:name="_Caption7894"/>
      <w:bookmarkStart w:id="10367" w:name="_Toc529870034"/>
      <w:bookmarkStart w:id="10368" w:name="_Toc530748530"/>
      <w:r w:rsidR="00EA42ED">
        <w:rPr>
          <w:noProof/>
        </w:rPr>
        <w:t>I</w:t>
      </w:r>
      <w:r w:rsidR="00EA42ED" w:rsidRPr="00BF170C">
        <w:rPr>
          <w:noProof/>
        </w:rPr>
        <w:t>.</w:t>
      </w:r>
      <w:r w:rsidR="00EA42ED">
        <w:rPr>
          <w:noProof/>
        </w:rPr>
        <w:t>20</w:t>
      </w:r>
      <w:bookmarkEnd w:id="10300"/>
      <w:bookmarkEnd w:id="10301"/>
      <w:bookmarkEnd w:id="10302"/>
      <w:bookmarkEnd w:id="10303"/>
      <w:bookmarkEnd w:id="10304"/>
      <w:bookmarkEnd w:id="10305"/>
      <w:bookmarkEnd w:id="10306"/>
      <w:bookmarkEnd w:id="10307"/>
      <w:bookmarkEnd w:id="10308"/>
      <w:bookmarkEnd w:id="10309"/>
      <w:bookmarkEnd w:id="10310"/>
      <w:bookmarkEnd w:id="10311"/>
      <w:bookmarkEnd w:id="10312"/>
      <w:bookmarkEnd w:id="10313"/>
      <w:bookmarkEnd w:id="10314"/>
      <w:bookmarkEnd w:id="10315"/>
      <w:bookmarkEnd w:id="10316"/>
      <w:bookmarkEnd w:id="10317"/>
      <w:bookmarkEnd w:id="10318"/>
      <w:bookmarkEnd w:id="10319"/>
      <w:bookmarkEnd w:id="10320"/>
      <w:bookmarkEnd w:id="10321"/>
      <w:bookmarkEnd w:id="10322"/>
      <w:bookmarkEnd w:id="10323"/>
      <w:bookmarkEnd w:id="10324"/>
      <w:bookmarkEnd w:id="10325"/>
      <w:bookmarkEnd w:id="10326"/>
      <w:bookmarkEnd w:id="10327"/>
      <w:bookmarkEnd w:id="10328"/>
      <w:bookmarkEnd w:id="10329"/>
      <w:bookmarkEnd w:id="10330"/>
      <w:bookmarkEnd w:id="10331"/>
      <w:bookmarkEnd w:id="10332"/>
      <w:bookmarkEnd w:id="10333"/>
      <w:bookmarkEnd w:id="10334"/>
      <w:bookmarkEnd w:id="10335"/>
      <w:bookmarkEnd w:id="10336"/>
      <w:bookmarkEnd w:id="10337"/>
      <w:bookmarkEnd w:id="10338"/>
      <w:bookmarkEnd w:id="10339"/>
      <w:bookmarkEnd w:id="10340"/>
      <w:bookmarkEnd w:id="10341"/>
      <w:bookmarkEnd w:id="10342"/>
      <w:bookmarkEnd w:id="10343"/>
      <w:bookmarkEnd w:id="10344"/>
      <w:bookmarkEnd w:id="10345"/>
      <w:bookmarkEnd w:id="10346"/>
      <w:bookmarkEnd w:id="10347"/>
      <w:bookmarkEnd w:id="10348"/>
      <w:bookmarkEnd w:id="10349"/>
      <w:bookmarkEnd w:id="10350"/>
      <w:bookmarkEnd w:id="10351"/>
      <w:bookmarkEnd w:id="10352"/>
      <w:bookmarkEnd w:id="10353"/>
      <w:bookmarkEnd w:id="10354"/>
      <w:bookmarkEnd w:id="10355"/>
      <w:bookmarkEnd w:id="10356"/>
      <w:bookmarkEnd w:id="10357"/>
      <w:bookmarkEnd w:id="10358"/>
      <w:bookmarkEnd w:id="10359"/>
      <w:bookmarkEnd w:id="10360"/>
      <w:bookmarkEnd w:id="10361"/>
      <w:bookmarkEnd w:id="10362"/>
      <w:bookmarkEnd w:id="10363"/>
      <w:bookmarkEnd w:id="10364"/>
      <w:bookmarkEnd w:id="10365"/>
      <w:bookmarkEnd w:id="10366"/>
      <w:r w:rsidRPr="00BF170C">
        <w:fldChar w:fldCharType="end"/>
      </w:r>
      <w:r w:rsidRPr="00BF170C">
        <w:tab/>
        <w:t>Net benefits to Australian Capital Territory — medium realisation scenario</w:t>
      </w:r>
      <w:bookmarkEnd w:id="10367"/>
      <w:bookmarkEnd w:id="10368"/>
    </w:p>
    <w:tbl>
      <w:tblPr>
        <w:tblW w:w="7937" w:type="dxa"/>
        <w:tblLayout w:type="fixed"/>
        <w:tblLook w:val="0000" w:firstRow="0" w:lastRow="0" w:firstColumn="0" w:lastColumn="0" w:noHBand="0" w:noVBand="0"/>
        <w:tblCaption w:val="Table I.20: Net benefits to Australian Capital Territory - medium realisation scenario"/>
        <w:tblDescription w:val="This table shows the net benefits under a medium realisation scenario of the proposed changes to NCC 2019 in Australian Capital Territory. "/>
      </w:tblPr>
      <w:tblGrid>
        <w:gridCol w:w="2456"/>
        <w:gridCol w:w="783"/>
        <w:gridCol w:w="783"/>
        <w:gridCol w:w="783"/>
        <w:gridCol w:w="783"/>
        <w:gridCol w:w="783"/>
        <w:gridCol w:w="783"/>
        <w:gridCol w:w="783"/>
      </w:tblGrid>
      <w:tr w:rsidR="00612FD3" w:rsidTr="00301B6D">
        <w:trPr>
          <w:trHeight w:val="230"/>
          <w:tblHeader/>
        </w:trPr>
        <w:tc>
          <w:tcPr>
            <w:tcW w:w="2456" w:type="dxa"/>
            <w:shd w:val="clear" w:color="auto" w:fill="6F6652"/>
            <w:tcMar>
              <w:left w:w="57" w:type="dxa"/>
              <w:right w:w="57" w:type="dxa"/>
            </w:tcMar>
          </w:tcPr>
          <w:p w:rsidR="00612FD3" w:rsidRDefault="00612FD3" w:rsidP="00301B6D">
            <w:pPr>
              <w:pStyle w:val="TableDataColumnHeading"/>
              <w:jc w:val="left"/>
              <w:rPr>
                <w:lang w:val="en-GB"/>
              </w:rPr>
            </w:pP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CZ1</w:t>
            </w: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CZ2</w:t>
            </w: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CZ3</w:t>
            </w: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CZ4</w:t>
            </w: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CZ5</w:t>
            </w: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CZ6</w:t>
            </w: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CZ7</w:t>
            </w:r>
          </w:p>
        </w:tc>
      </w:tr>
      <w:tr w:rsidR="00612FD3" w:rsidTr="00301B6D">
        <w:trPr>
          <w:trHeight w:val="230"/>
          <w:tblHeader/>
        </w:trPr>
        <w:tc>
          <w:tcPr>
            <w:tcW w:w="2456"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jc w:val="left"/>
              <w:rPr>
                <w:lang w:val="en-GB"/>
              </w:rPr>
            </w:pP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r>
      <w:tr w:rsidR="00612FD3" w:rsidTr="00301B6D">
        <w:trPr>
          <w:trHeight w:val="230"/>
        </w:trPr>
        <w:tc>
          <w:tcPr>
            <w:tcW w:w="245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r>
              <w:rPr>
                <w:lang w:val="en-GB"/>
              </w:rPr>
              <w:t>Hotels</w:t>
            </w: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30.86</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1.63</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Private costs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12.65</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BF170C" w:rsidRDefault="00BF170C" w:rsidP="00BF170C">
            <w:pPr>
              <w:pStyle w:val="TableDataEntries"/>
              <w:jc w:val="left"/>
              <w:rPr>
                <w:lang w:val="en-GB"/>
              </w:rPr>
            </w:pPr>
            <w:r>
              <w:rPr>
                <w:lang w:val="en-GB"/>
              </w:rPr>
              <w:t>Net private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xml:space="preserve"> 45.14</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11.96</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0.43</w:t>
            </w:r>
          </w:p>
        </w:tc>
      </w:tr>
      <w:tr w:rsidR="00BF170C" w:rsidRPr="00BF170C"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BF170C" w:rsidRPr="00BF170C" w:rsidRDefault="00BF170C" w:rsidP="00BF170C">
            <w:pPr>
              <w:pStyle w:val="TableDataEntries"/>
              <w:jc w:val="left"/>
              <w:rPr>
                <w:rFonts w:ascii="Franklin Gothic Demi" w:hAnsi="Franklin Gothic Demi"/>
                <w:lang w:val="en-GB"/>
              </w:rPr>
            </w:pPr>
            <w:r w:rsidRPr="00BF170C">
              <w:rPr>
                <w:rFonts w:ascii="Franklin Gothic Demi" w:hAnsi="Franklin Gothic Demi"/>
                <w:lang w:val="en-GB"/>
              </w:rPr>
              <w:t>Net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57.53</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BF170C" w:rsidRDefault="00BF170C" w:rsidP="00BF170C">
            <w:pPr>
              <w:pStyle w:val="TableHeading1"/>
              <w:rPr>
                <w:lang w:val="en-GB"/>
              </w:rPr>
            </w:pPr>
            <w:r>
              <w:rPr>
                <w:lang w:val="en-GB"/>
              </w:rPr>
              <w:t>Office building</w:t>
            </w: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6.96</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1.49</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Private costs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- 1.72</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BF170C" w:rsidRDefault="00BF170C" w:rsidP="00BF170C">
            <w:pPr>
              <w:pStyle w:val="TableDataEntries"/>
              <w:jc w:val="left"/>
              <w:rPr>
                <w:lang w:val="en-GB"/>
              </w:rPr>
            </w:pPr>
            <w:r>
              <w:rPr>
                <w:lang w:val="en-GB"/>
              </w:rPr>
              <w:t>Net private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xml:space="preserve"> 6.73</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2.70</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0.39</w:t>
            </w:r>
          </w:p>
        </w:tc>
      </w:tr>
      <w:tr w:rsidR="00BF170C" w:rsidRPr="00BF170C"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BF170C" w:rsidRPr="00BF170C" w:rsidRDefault="00BF170C" w:rsidP="00BF170C">
            <w:pPr>
              <w:pStyle w:val="TableDataEntries"/>
              <w:jc w:val="left"/>
              <w:rPr>
                <w:rFonts w:ascii="Franklin Gothic Demi" w:hAnsi="Franklin Gothic Demi"/>
                <w:lang w:val="en-GB"/>
              </w:rPr>
            </w:pPr>
            <w:r w:rsidRPr="00BF170C">
              <w:rPr>
                <w:rFonts w:ascii="Franklin Gothic Demi" w:hAnsi="Franklin Gothic Demi"/>
                <w:lang w:val="en-GB"/>
              </w:rPr>
              <w:t>Net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9.82</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BF170C" w:rsidRDefault="00BF170C" w:rsidP="00BF170C">
            <w:pPr>
              <w:pStyle w:val="TableHeading1"/>
              <w:rPr>
                <w:lang w:val="en-GB"/>
              </w:rPr>
            </w:pPr>
            <w:r>
              <w:rPr>
                <w:lang w:val="en-GB"/>
              </w:rPr>
              <w:t>Retail</w:t>
            </w: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- 4.81</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6.21</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Private costs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- 16.62</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BF170C" w:rsidRDefault="00BF170C" w:rsidP="00BF170C">
            <w:pPr>
              <w:pStyle w:val="TableDataEntries"/>
              <w:jc w:val="left"/>
              <w:rPr>
                <w:lang w:val="en-GB"/>
              </w:rPr>
            </w:pPr>
            <w:r>
              <w:rPr>
                <w:lang w:val="en-GB"/>
              </w:rPr>
              <w:t>Net private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- 15.21</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- 1.86</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1.63</w:t>
            </w:r>
          </w:p>
        </w:tc>
      </w:tr>
      <w:tr w:rsidR="00BF170C" w:rsidRPr="00BF170C"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BF170C" w:rsidRPr="00BF170C" w:rsidRDefault="00BF170C" w:rsidP="00BF170C">
            <w:pPr>
              <w:pStyle w:val="TableDataEntries"/>
              <w:jc w:val="left"/>
              <w:rPr>
                <w:rFonts w:ascii="Franklin Gothic Demi" w:hAnsi="Franklin Gothic Demi"/>
                <w:lang w:val="en-GB"/>
              </w:rPr>
            </w:pPr>
            <w:r w:rsidRPr="00BF170C">
              <w:rPr>
                <w:rFonts w:ascii="Franklin Gothic Demi" w:hAnsi="Franklin Gothic Demi"/>
                <w:lang w:val="en-GB"/>
              </w:rPr>
              <w:t>Net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- 15.45</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BF170C" w:rsidRDefault="00BF170C" w:rsidP="00BF170C">
            <w:pPr>
              <w:pStyle w:val="TableHeading1"/>
              <w:rPr>
                <w:lang w:val="en-GB"/>
              </w:rPr>
            </w:pPr>
            <w:r>
              <w:rPr>
                <w:lang w:val="en-GB"/>
              </w:rPr>
              <w:t>Healthcare</w:t>
            </w: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16.19</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- 7.95</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Private costs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- 28.34</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BF170C" w:rsidRDefault="00BF170C" w:rsidP="00BF170C">
            <w:pPr>
              <w:pStyle w:val="TableDataEntries"/>
              <w:jc w:val="left"/>
              <w:rPr>
                <w:lang w:val="en-GB"/>
              </w:rPr>
            </w:pPr>
            <w:r>
              <w:rPr>
                <w:lang w:val="en-GB"/>
              </w:rPr>
              <w:t>Net private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- 20.11</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6.28</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- 2.08</w:t>
            </w:r>
          </w:p>
        </w:tc>
      </w:tr>
      <w:tr w:rsidR="00BF170C" w:rsidRPr="00BF170C"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BF170C" w:rsidRPr="00BF170C" w:rsidRDefault="00BF170C" w:rsidP="00BF170C">
            <w:pPr>
              <w:pStyle w:val="TableDataEntries"/>
              <w:jc w:val="left"/>
              <w:rPr>
                <w:rFonts w:ascii="Franklin Gothic Demi" w:hAnsi="Franklin Gothic Demi"/>
                <w:lang w:val="en-GB"/>
              </w:rPr>
            </w:pPr>
            <w:r w:rsidRPr="00BF170C">
              <w:rPr>
                <w:rFonts w:ascii="Franklin Gothic Demi" w:hAnsi="Franklin Gothic Demi"/>
                <w:lang w:val="en-GB"/>
              </w:rPr>
              <w:t>Net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- 15.91</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BF170C" w:rsidRDefault="00BF170C" w:rsidP="00BF170C">
            <w:pPr>
              <w:pStyle w:val="TableHeading1"/>
              <w:rPr>
                <w:lang w:val="en-GB"/>
              </w:rPr>
            </w:pPr>
            <w:r>
              <w:rPr>
                <w:lang w:val="en-GB"/>
              </w:rPr>
              <w:t>School</w:t>
            </w: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40.11</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5.48</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Private costs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- 8.72</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BF170C" w:rsidRDefault="00BF170C" w:rsidP="00BF170C">
            <w:pPr>
              <w:pStyle w:val="TableDataEntries"/>
              <w:jc w:val="left"/>
              <w:rPr>
                <w:lang w:val="en-GB"/>
              </w:rPr>
            </w:pPr>
            <w:r>
              <w:rPr>
                <w:lang w:val="en-GB"/>
              </w:rPr>
              <w:t>Net private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xml:space="preserve"> 36.87</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15.55</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1.43</w:t>
            </w:r>
          </w:p>
        </w:tc>
      </w:tr>
      <w:tr w:rsidR="00BF170C" w:rsidRPr="00BF170C" w:rsidTr="00301B6D">
        <w:trPr>
          <w:trHeight w:val="230"/>
        </w:trPr>
        <w:tc>
          <w:tcPr>
            <w:tcW w:w="2456"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rsidR="00BF170C" w:rsidRPr="00BF170C" w:rsidRDefault="00BF170C" w:rsidP="00BF170C">
            <w:pPr>
              <w:pStyle w:val="TableDataEntries"/>
              <w:jc w:val="left"/>
              <w:rPr>
                <w:rFonts w:ascii="Franklin Gothic Demi" w:hAnsi="Franklin Gothic Demi"/>
                <w:lang w:val="en-GB"/>
              </w:rPr>
            </w:pPr>
            <w:r w:rsidRPr="00BF170C">
              <w:rPr>
                <w:rFonts w:ascii="Franklin Gothic Demi" w:hAnsi="Franklin Gothic Demi"/>
                <w:lang w:val="en-GB"/>
              </w:rPr>
              <w:t>Net benefit/cost</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53.86</w:t>
            </w:r>
          </w:p>
        </w:tc>
      </w:tr>
    </w:tbl>
    <w:p w:rsidR="00612FD3" w:rsidRDefault="00612FD3" w:rsidP="00612FD3">
      <w:pPr>
        <w:pStyle w:val="Note"/>
        <w:rPr>
          <w:lang w:bidi="fa-IR"/>
        </w:rPr>
      </w:pPr>
      <w:r w:rsidRPr="007D1B4F">
        <w:rPr>
          <w:i/>
        </w:rPr>
        <w:t>Note:</w:t>
      </w:r>
      <w:r w:rsidRPr="00E879B8">
        <w:t xml:space="preserve"> </w:t>
      </w:r>
      <w:r>
        <w:t>Costs and benefits are estimated over the assumed 40 year life of the building, using a discount rate of 7 per cent.</w:t>
      </w:r>
    </w:p>
    <w:p w:rsidR="00612FD3" w:rsidRDefault="00612FD3" w:rsidP="00612FD3">
      <w:pPr>
        <w:pStyle w:val="Source"/>
        <w:rPr>
          <w:lang w:bidi="fa-IR"/>
        </w:rPr>
      </w:pPr>
      <w:r w:rsidRPr="00C6138D">
        <w:rPr>
          <w:i/>
          <w:lang w:bidi="fa-IR"/>
        </w:rPr>
        <w:t>Source:</w:t>
      </w:r>
      <w:r>
        <w:rPr>
          <w:lang w:bidi="fa-IR"/>
        </w:rPr>
        <w:t xml:space="preserve"> CIE based on </w:t>
      </w:r>
      <w:r w:rsidR="00EB5964">
        <w:rPr>
          <w:lang w:bidi="fa-IR"/>
        </w:rPr>
        <w:t>EA</w:t>
      </w:r>
      <w:r>
        <w:rPr>
          <w:lang w:bidi="fa-IR"/>
        </w:rPr>
        <w:t xml:space="preserve"> modelling.</w:t>
      </w:r>
    </w:p>
    <w:p w:rsidR="00D364DA" w:rsidRDefault="00D364DA" w:rsidP="00612FD3">
      <w:pPr>
        <w:pStyle w:val="Caption"/>
      </w:pPr>
      <w:r>
        <w:br w:type="page"/>
      </w:r>
    </w:p>
    <w:p w:rsidR="00612FD3" w:rsidRDefault="00612FD3" w:rsidP="00612FD3">
      <w:pPr>
        <w:pStyle w:val="Caption"/>
      </w:pPr>
      <w:r w:rsidRPr="00BF170C">
        <w:fldChar w:fldCharType="begin"/>
      </w:r>
      <w:r w:rsidRPr="00BF170C">
        <w:instrText xml:space="preserve"> IF 1 = 1 "</w:instrText>
      </w:r>
      <w:r w:rsidRPr="00BF170C">
        <w:fldChar w:fldCharType="begin"/>
      </w:r>
      <w:r w:rsidRPr="00BF170C">
        <w:instrText xml:space="preserve"> IF </w:instrText>
      </w:r>
      <w:r w:rsidRPr="00BF170C">
        <w:rPr>
          <w:noProof/>
        </w:rPr>
        <w:fldChar w:fldCharType="begin"/>
      </w:r>
      <w:r w:rsidRPr="00BF170C">
        <w:rPr>
          <w:noProof/>
        </w:rPr>
        <w:instrText xml:space="preserve"> STYLEREF "Heading 6" \l \n </w:instrText>
      </w:r>
      <w:r w:rsidRPr="00BF170C">
        <w:rPr>
          <w:noProof/>
        </w:rPr>
        <w:fldChar w:fldCharType="separate"/>
      </w:r>
      <w:r w:rsidR="00B833F1">
        <w:rPr>
          <w:noProof/>
        </w:rPr>
        <w:instrText>I</w:instrText>
      </w:r>
      <w:r w:rsidRPr="00BF170C">
        <w:rPr>
          <w:noProof/>
        </w:rPr>
        <w:fldChar w:fldCharType="end"/>
      </w:r>
      <w:r w:rsidRPr="00BF170C">
        <w:instrText xml:space="preserve"> = 0 "</w:instrText>
      </w:r>
      <w:r w:rsidRPr="00BF170C">
        <w:fldChar w:fldCharType="begin"/>
      </w:r>
      <w:r w:rsidRPr="00BF170C">
        <w:instrText xml:space="preserve"> IF </w:instrText>
      </w:r>
      <w:r w:rsidRPr="00BF170C">
        <w:rPr>
          <w:noProof/>
        </w:rPr>
        <w:fldChar w:fldCharType="begin"/>
      </w:r>
      <w:r w:rsidRPr="00BF170C">
        <w:rPr>
          <w:noProof/>
        </w:rPr>
        <w:instrText xml:space="preserve"> STYLEREF "Heading 1" \l \n </w:instrText>
      </w:r>
      <w:r w:rsidRPr="00BF170C">
        <w:rPr>
          <w:noProof/>
        </w:rPr>
        <w:fldChar w:fldCharType="separate"/>
      </w:r>
      <w:r w:rsidRPr="00BF170C">
        <w:rPr>
          <w:noProof/>
        </w:rPr>
        <w:instrText>1</w:instrText>
      </w:r>
      <w:r w:rsidRPr="00BF170C">
        <w:rPr>
          <w:noProof/>
        </w:rPr>
        <w:fldChar w:fldCharType="end"/>
      </w:r>
      <w:r w:rsidRPr="00BF170C">
        <w:instrText xml:space="preserve"> = 0 "" "</w:instrText>
      </w:r>
      <w:r w:rsidRPr="00BF170C">
        <w:rPr>
          <w:noProof/>
        </w:rPr>
        <w:fldChar w:fldCharType="begin"/>
      </w:r>
      <w:r w:rsidRPr="00BF170C">
        <w:rPr>
          <w:noProof/>
        </w:rPr>
        <w:instrText xml:space="preserve"> STYLEREF "Heading 1" \l \n </w:instrText>
      </w:r>
      <w:r w:rsidRPr="00BF170C">
        <w:rPr>
          <w:noProof/>
        </w:rPr>
        <w:fldChar w:fldCharType="separate"/>
      </w:r>
      <w:r w:rsidRPr="00BF170C">
        <w:rPr>
          <w:noProof/>
        </w:rPr>
        <w:instrText>1</w:instrText>
      </w:r>
      <w:r w:rsidRPr="00BF170C">
        <w:rPr>
          <w:noProof/>
        </w:rPr>
        <w:fldChar w:fldCharType="end"/>
      </w:r>
      <w:r w:rsidRPr="00BF170C">
        <w:instrText xml:space="preserve">." </w:instrText>
      </w:r>
      <w:r w:rsidRPr="00BF170C">
        <w:fldChar w:fldCharType="separate"/>
      </w:r>
      <w:r w:rsidRPr="00BF170C">
        <w:rPr>
          <w:noProof/>
        </w:rPr>
        <w:instrText>1.</w:instrText>
      </w:r>
      <w:r w:rsidRPr="00BF170C">
        <w:fldChar w:fldCharType="end"/>
      </w:r>
      <w:r w:rsidRPr="00BF170C">
        <w:instrText>" "</w:instrText>
      </w:r>
      <w:r w:rsidRPr="00BF170C">
        <w:rPr>
          <w:noProof/>
        </w:rPr>
        <w:fldChar w:fldCharType="begin"/>
      </w:r>
      <w:r w:rsidRPr="00BF170C">
        <w:rPr>
          <w:noProof/>
        </w:rPr>
        <w:instrText xml:space="preserve"> STYLEREF "Heading 6" \l \n </w:instrText>
      </w:r>
      <w:r w:rsidRPr="00BF170C">
        <w:rPr>
          <w:noProof/>
        </w:rPr>
        <w:fldChar w:fldCharType="separate"/>
      </w:r>
      <w:r w:rsidR="00B833F1">
        <w:rPr>
          <w:noProof/>
        </w:rPr>
        <w:instrText>I</w:instrText>
      </w:r>
      <w:r w:rsidRPr="00BF170C">
        <w:rPr>
          <w:noProof/>
        </w:rPr>
        <w:fldChar w:fldCharType="end"/>
      </w:r>
      <w:r w:rsidRPr="00BF170C">
        <w:instrText xml:space="preserve">." </w:instrText>
      </w:r>
      <w:r w:rsidRPr="00BF170C">
        <w:fldChar w:fldCharType="separate"/>
      </w:r>
      <w:r w:rsidR="00B833F1">
        <w:rPr>
          <w:noProof/>
        </w:rPr>
        <w:instrText>I</w:instrText>
      </w:r>
      <w:r w:rsidR="00B833F1" w:rsidRPr="00BF170C">
        <w:rPr>
          <w:noProof/>
        </w:rPr>
        <w:instrText>.</w:instrText>
      </w:r>
      <w:r w:rsidRPr="00BF170C">
        <w:fldChar w:fldCharType="end"/>
      </w:r>
      <w:r w:rsidRPr="00BF170C">
        <w:fldChar w:fldCharType="begin"/>
      </w:r>
      <w:r w:rsidRPr="00BF170C">
        <w:instrText xml:space="preserve"> SEQ Item \* ARABIC \s </w:instrText>
      </w:r>
      <w:r w:rsidRPr="00BF170C">
        <w:fldChar w:fldCharType="begin"/>
      </w:r>
      <w:r w:rsidRPr="00BF170C">
        <w:instrText xml:space="preserve"> IF </w:instrText>
      </w:r>
      <w:r w:rsidRPr="00BF170C">
        <w:rPr>
          <w:noProof/>
        </w:rPr>
        <w:fldChar w:fldCharType="begin"/>
      </w:r>
      <w:r w:rsidRPr="00BF170C">
        <w:rPr>
          <w:noProof/>
        </w:rPr>
        <w:instrText xml:space="preserve"> STYLEREF "Heading 6" \l \n </w:instrText>
      </w:r>
      <w:r w:rsidRPr="00BF170C">
        <w:rPr>
          <w:noProof/>
        </w:rPr>
        <w:fldChar w:fldCharType="separate"/>
      </w:r>
      <w:r w:rsidR="00B833F1">
        <w:rPr>
          <w:noProof/>
        </w:rPr>
        <w:instrText>I</w:instrText>
      </w:r>
      <w:r w:rsidRPr="00BF170C">
        <w:rPr>
          <w:noProof/>
        </w:rPr>
        <w:fldChar w:fldCharType="end"/>
      </w:r>
      <w:r w:rsidRPr="00BF170C">
        <w:instrText xml:space="preserve"> = 0 "</w:instrText>
      </w:r>
      <w:r w:rsidRPr="00BF170C">
        <w:fldChar w:fldCharType="begin"/>
      </w:r>
      <w:r w:rsidRPr="00BF170C">
        <w:instrText xml:space="preserve"> IF </w:instrText>
      </w:r>
      <w:r w:rsidRPr="00BF170C">
        <w:rPr>
          <w:noProof/>
        </w:rPr>
        <w:fldChar w:fldCharType="begin"/>
      </w:r>
      <w:r w:rsidRPr="00BF170C">
        <w:rPr>
          <w:noProof/>
        </w:rPr>
        <w:instrText xml:space="preserve"> STYLEREF "Heading 1" \l \n </w:instrText>
      </w:r>
      <w:r w:rsidRPr="00BF170C">
        <w:rPr>
          <w:noProof/>
        </w:rPr>
        <w:fldChar w:fldCharType="separate"/>
      </w:r>
      <w:r w:rsidRPr="00BF170C">
        <w:rPr>
          <w:noProof/>
        </w:rPr>
        <w:instrText>1</w:instrText>
      </w:r>
      <w:r w:rsidRPr="00BF170C">
        <w:rPr>
          <w:noProof/>
        </w:rPr>
        <w:fldChar w:fldCharType="end"/>
      </w:r>
      <w:r w:rsidRPr="00BF170C">
        <w:instrText xml:space="preserve"> = 0 "" "1" </w:instrText>
      </w:r>
      <w:r w:rsidRPr="00BF170C">
        <w:fldChar w:fldCharType="separate"/>
      </w:r>
      <w:r w:rsidRPr="00BF170C">
        <w:rPr>
          <w:noProof/>
        </w:rPr>
        <w:instrText>1</w:instrText>
      </w:r>
      <w:r w:rsidRPr="00BF170C">
        <w:fldChar w:fldCharType="end"/>
      </w:r>
      <w:r w:rsidRPr="00BF170C">
        <w:instrText xml:space="preserve">" "6" </w:instrText>
      </w:r>
      <w:r w:rsidRPr="00BF170C">
        <w:fldChar w:fldCharType="separate"/>
      </w:r>
      <w:r w:rsidR="00B833F1" w:rsidRPr="00BF170C">
        <w:rPr>
          <w:noProof/>
        </w:rPr>
        <w:instrText>6</w:instrText>
      </w:r>
      <w:r w:rsidRPr="00BF170C">
        <w:fldChar w:fldCharType="end"/>
      </w:r>
      <w:r w:rsidRPr="00BF170C">
        <w:instrText xml:space="preserve"> </w:instrText>
      </w:r>
      <w:r w:rsidRPr="00BF170C">
        <w:fldChar w:fldCharType="separate"/>
      </w:r>
      <w:r w:rsidR="00B833F1">
        <w:rPr>
          <w:noProof/>
        </w:rPr>
        <w:instrText>21</w:instrText>
      </w:r>
      <w:r w:rsidRPr="00BF170C">
        <w:fldChar w:fldCharType="end"/>
      </w:r>
      <w:r w:rsidRPr="00BF170C">
        <w:instrText xml:space="preserve">" "" </w:instrText>
      </w:r>
      <w:r w:rsidRPr="00BF170C">
        <w:fldChar w:fldCharType="separate"/>
      </w:r>
      <w:bookmarkStart w:id="10369" w:name="_Caption2517"/>
      <w:bookmarkStart w:id="10370" w:name="_Caption3835"/>
      <w:bookmarkStart w:id="10371" w:name="_Caption4145"/>
      <w:bookmarkStart w:id="10372" w:name="_Caption2655"/>
      <w:bookmarkStart w:id="10373" w:name="_Caption3187"/>
      <w:bookmarkStart w:id="10374" w:name="_Caption5452"/>
      <w:bookmarkStart w:id="10375" w:name="_Caption5600"/>
      <w:bookmarkStart w:id="10376" w:name="_Caption0021"/>
      <w:bookmarkStart w:id="10377" w:name="_Caption3332"/>
      <w:bookmarkStart w:id="10378" w:name="_Caption5095"/>
      <w:bookmarkStart w:id="10379" w:name="_Caption0053"/>
      <w:bookmarkStart w:id="10380" w:name="_Caption1165"/>
      <w:bookmarkStart w:id="10381" w:name="_Caption3489"/>
      <w:bookmarkStart w:id="10382" w:name="_Caption9569"/>
      <w:bookmarkStart w:id="10383" w:name="_Caption0491"/>
      <w:bookmarkStart w:id="10384" w:name="_Caption7006"/>
      <w:bookmarkStart w:id="10385" w:name="_Caption7985"/>
      <w:bookmarkStart w:id="10386" w:name="_Caption5169"/>
      <w:bookmarkStart w:id="10387" w:name="_Caption8762"/>
      <w:bookmarkStart w:id="10388" w:name="_Caption0075"/>
      <w:bookmarkStart w:id="10389" w:name="_Caption5577"/>
      <w:bookmarkStart w:id="10390" w:name="_Caption3746"/>
      <w:bookmarkStart w:id="10391" w:name="_Caption0729"/>
      <w:bookmarkStart w:id="10392" w:name="_Caption0789"/>
      <w:bookmarkStart w:id="10393" w:name="_Caption2864"/>
      <w:bookmarkStart w:id="10394" w:name="_Caption2681"/>
      <w:bookmarkStart w:id="10395" w:name="_Caption6101"/>
      <w:bookmarkStart w:id="10396" w:name="_Caption2244"/>
      <w:bookmarkStart w:id="10397" w:name="_Caption7888"/>
      <w:bookmarkStart w:id="10398" w:name="_Caption4458"/>
      <w:bookmarkStart w:id="10399" w:name="_Caption2241"/>
      <w:bookmarkStart w:id="10400" w:name="_Caption9406"/>
      <w:bookmarkStart w:id="10401" w:name="_Caption5243"/>
      <w:bookmarkStart w:id="10402" w:name="_Caption6064"/>
      <w:bookmarkStart w:id="10403" w:name="_Caption4359"/>
      <w:bookmarkStart w:id="10404" w:name="_Caption7285"/>
      <w:bookmarkStart w:id="10405" w:name="_Caption2228"/>
      <w:bookmarkStart w:id="10406" w:name="_Caption2566"/>
      <w:bookmarkStart w:id="10407" w:name="_Caption6355"/>
      <w:bookmarkStart w:id="10408" w:name="_Caption2203"/>
      <w:bookmarkStart w:id="10409" w:name="_Caption6463"/>
      <w:bookmarkStart w:id="10410" w:name="_Caption4431"/>
      <w:bookmarkStart w:id="10411" w:name="_Caption7936"/>
      <w:bookmarkStart w:id="10412" w:name="_Caption6462"/>
      <w:bookmarkStart w:id="10413" w:name="_Caption3370"/>
      <w:bookmarkStart w:id="10414" w:name="_Caption0920"/>
      <w:bookmarkStart w:id="10415" w:name="_Caption6506"/>
      <w:bookmarkStart w:id="10416" w:name="_Caption8403"/>
      <w:bookmarkStart w:id="10417" w:name="_Caption6457"/>
      <w:bookmarkStart w:id="10418" w:name="_Caption0941"/>
      <w:bookmarkStart w:id="10419" w:name="_Caption6362"/>
      <w:bookmarkStart w:id="10420" w:name="_Caption1917"/>
      <w:bookmarkStart w:id="10421" w:name="_Caption4912"/>
      <w:bookmarkStart w:id="10422" w:name="_Caption7804"/>
      <w:bookmarkStart w:id="10423" w:name="_Caption2855"/>
      <w:bookmarkStart w:id="10424" w:name="_Caption6217"/>
      <w:bookmarkStart w:id="10425" w:name="_Caption9186"/>
      <w:bookmarkStart w:id="10426" w:name="_Caption4771"/>
      <w:bookmarkStart w:id="10427" w:name="_Caption0753"/>
      <w:bookmarkStart w:id="10428" w:name="_Caption3366"/>
      <w:bookmarkStart w:id="10429" w:name="_Caption2126"/>
      <w:bookmarkStart w:id="10430" w:name="_Caption8966"/>
      <w:bookmarkStart w:id="10431" w:name="_Caption7946"/>
      <w:bookmarkStart w:id="10432" w:name="_Caption6225"/>
      <w:bookmarkStart w:id="10433" w:name="_Caption5288"/>
      <w:bookmarkStart w:id="10434" w:name="_Caption9839"/>
      <w:bookmarkStart w:id="10435" w:name="_Caption7329"/>
      <w:bookmarkStart w:id="10436" w:name="_Toc529870035"/>
      <w:bookmarkStart w:id="10437" w:name="_Toc530748531"/>
      <w:r w:rsidR="00EA42ED">
        <w:rPr>
          <w:noProof/>
        </w:rPr>
        <w:t>I</w:t>
      </w:r>
      <w:r w:rsidR="00EA42ED" w:rsidRPr="00BF170C">
        <w:rPr>
          <w:noProof/>
        </w:rPr>
        <w:t>.</w:t>
      </w:r>
      <w:r w:rsidR="00EA42ED">
        <w:rPr>
          <w:noProof/>
        </w:rPr>
        <w:t>21</w:t>
      </w:r>
      <w:bookmarkEnd w:id="10369"/>
      <w:bookmarkEnd w:id="10370"/>
      <w:bookmarkEnd w:id="10371"/>
      <w:bookmarkEnd w:id="10372"/>
      <w:bookmarkEnd w:id="10373"/>
      <w:bookmarkEnd w:id="10374"/>
      <w:bookmarkEnd w:id="10375"/>
      <w:bookmarkEnd w:id="10376"/>
      <w:bookmarkEnd w:id="10377"/>
      <w:bookmarkEnd w:id="10378"/>
      <w:bookmarkEnd w:id="10379"/>
      <w:bookmarkEnd w:id="10380"/>
      <w:bookmarkEnd w:id="10381"/>
      <w:bookmarkEnd w:id="10382"/>
      <w:bookmarkEnd w:id="10383"/>
      <w:bookmarkEnd w:id="10384"/>
      <w:bookmarkEnd w:id="10385"/>
      <w:bookmarkEnd w:id="10386"/>
      <w:bookmarkEnd w:id="10387"/>
      <w:bookmarkEnd w:id="10388"/>
      <w:bookmarkEnd w:id="10389"/>
      <w:bookmarkEnd w:id="10390"/>
      <w:bookmarkEnd w:id="10391"/>
      <w:bookmarkEnd w:id="10392"/>
      <w:bookmarkEnd w:id="10393"/>
      <w:bookmarkEnd w:id="10394"/>
      <w:bookmarkEnd w:id="10395"/>
      <w:bookmarkEnd w:id="10396"/>
      <w:bookmarkEnd w:id="10397"/>
      <w:bookmarkEnd w:id="10398"/>
      <w:bookmarkEnd w:id="10399"/>
      <w:bookmarkEnd w:id="10400"/>
      <w:bookmarkEnd w:id="10401"/>
      <w:bookmarkEnd w:id="10402"/>
      <w:bookmarkEnd w:id="10403"/>
      <w:bookmarkEnd w:id="10404"/>
      <w:bookmarkEnd w:id="10405"/>
      <w:bookmarkEnd w:id="10406"/>
      <w:bookmarkEnd w:id="10407"/>
      <w:bookmarkEnd w:id="10408"/>
      <w:bookmarkEnd w:id="10409"/>
      <w:bookmarkEnd w:id="10410"/>
      <w:bookmarkEnd w:id="10411"/>
      <w:bookmarkEnd w:id="10412"/>
      <w:bookmarkEnd w:id="10413"/>
      <w:bookmarkEnd w:id="10414"/>
      <w:bookmarkEnd w:id="10415"/>
      <w:bookmarkEnd w:id="10416"/>
      <w:bookmarkEnd w:id="10417"/>
      <w:bookmarkEnd w:id="10418"/>
      <w:bookmarkEnd w:id="10419"/>
      <w:bookmarkEnd w:id="10420"/>
      <w:bookmarkEnd w:id="10421"/>
      <w:bookmarkEnd w:id="10422"/>
      <w:bookmarkEnd w:id="10423"/>
      <w:bookmarkEnd w:id="10424"/>
      <w:bookmarkEnd w:id="10425"/>
      <w:bookmarkEnd w:id="10426"/>
      <w:bookmarkEnd w:id="10427"/>
      <w:bookmarkEnd w:id="10428"/>
      <w:bookmarkEnd w:id="10429"/>
      <w:bookmarkEnd w:id="10430"/>
      <w:bookmarkEnd w:id="10431"/>
      <w:bookmarkEnd w:id="10432"/>
      <w:bookmarkEnd w:id="10433"/>
      <w:bookmarkEnd w:id="10434"/>
      <w:bookmarkEnd w:id="10435"/>
      <w:r w:rsidRPr="00BF170C">
        <w:fldChar w:fldCharType="end"/>
      </w:r>
      <w:r w:rsidRPr="00BF170C">
        <w:tab/>
        <w:t>Net benefits to Australian Capital Territory — high realisation scenario</w:t>
      </w:r>
      <w:bookmarkEnd w:id="10436"/>
      <w:bookmarkEnd w:id="10437"/>
    </w:p>
    <w:tbl>
      <w:tblPr>
        <w:tblW w:w="7937" w:type="dxa"/>
        <w:tblLayout w:type="fixed"/>
        <w:tblLook w:val="0000" w:firstRow="0" w:lastRow="0" w:firstColumn="0" w:lastColumn="0" w:noHBand="0" w:noVBand="0"/>
        <w:tblCaption w:val="Table I.21: Net benefits to Australian Capital Territory- high realisation scenario"/>
        <w:tblDescription w:val="This table shows the net benefits under a high realisation scenario of the proposed changes to NCC 2019 in Australian Capital Territory. "/>
      </w:tblPr>
      <w:tblGrid>
        <w:gridCol w:w="2456"/>
        <w:gridCol w:w="783"/>
        <w:gridCol w:w="783"/>
        <w:gridCol w:w="783"/>
        <w:gridCol w:w="783"/>
        <w:gridCol w:w="783"/>
        <w:gridCol w:w="783"/>
        <w:gridCol w:w="783"/>
      </w:tblGrid>
      <w:tr w:rsidR="00612FD3" w:rsidTr="00301B6D">
        <w:trPr>
          <w:trHeight w:val="230"/>
          <w:tblHeader/>
        </w:trPr>
        <w:tc>
          <w:tcPr>
            <w:tcW w:w="2456" w:type="dxa"/>
            <w:shd w:val="clear" w:color="auto" w:fill="6F6652"/>
            <w:tcMar>
              <w:left w:w="57" w:type="dxa"/>
              <w:right w:w="57" w:type="dxa"/>
            </w:tcMar>
          </w:tcPr>
          <w:p w:rsidR="00612FD3" w:rsidRDefault="00612FD3" w:rsidP="00301B6D">
            <w:pPr>
              <w:pStyle w:val="TableDataColumnHeading"/>
              <w:jc w:val="left"/>
              <w:rPr>
                <w:lang w:val="en-GB"/>
              </w:rPr>
            </w:pP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CZ1</w:t>
            </w: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CZ2</w:t>
            </w: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CZ3</w:t>
            </w: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CZ4</w:t>
            </w: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CZ5</w:t>
            </w: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CZ6</w:t>
            </w: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CZ7</w:t>
            </w:r>
          </w:p>
        </w:tc>
      </w:tr>
      <w:tr w:rsidR="00612FD3" w:rsidTr="00301B6D">
        <w:trPr>
          <w:trHeight w:val="230"/>
          <w:tblHeader/>
        </w:trPr>
        <w:tc>
          <w:tcPr>
            <w:tcW w:w="2456"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jc w:val="left"/>
              <w:rPr>
                <w:lang w:val="en-GB"/>
              </w:rPr>
            </w:pP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r>
      <w:tr w:rsidR="00612FD3" w:rsidTr="00301B6D">
        <w:trPr>
          <w:trHeight w:val="230"/>
        </w:trPr>
        <w:tc>
          <w:tcPr>
            <w:tcW w:w="245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r>
              <w:rPr>
                <w:lang w:val="en-GB"/>
              </w:rPr>
              <w:t>Hotels</w:t>
            </w: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41.14</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2.17</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Private costs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12.65</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BF170C" w:rsidRDefault="00BF170C" w:rsidP="00BF170C">
            <w:pPr>
              <w:pStyle w:val="TableDataEntries"/>
              <w:jc w:val="left"/>
              <w:rPr>
                <w:lang w:val="en-GB"/>
              </w:rPr>
            </w:pPr>
            <w:r>
              <w:rPr>
                <w:lang w:val="en-GB"/>
              </w:rPr>
              <w:t>Net private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xml:space="preserve"> 55.97</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15.95</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0.57</w:t>
            </w:r>
          </w:p>
        </w:tc>
      </w:tr>
      <w:tr w:rsidR="00BF170C" w:rsidRPr="00BF170C"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BF170C" w:rsidRPr="00BF170C" w:rsidRDefault="00BF170C" w:rsidP="00BF170C">
            <w:pPr>
              <w:pStyle w:val="TableDataEntries"/>
              <w:jc w:val="left"/>
              <w:rPr>
                <w:rFonts w:ascii="Franklin Gothic Demi" w:hAnsi="Franklin Gothic Demi"/>
                <w:lang w:val="en-GB"/>
              </w:rPr>
            </w:pPr>
            <w:r w:rsidRPr="00BF170C">
              <w:rPr>
                <w:rFonts w:ascii="Franklin Gothic Demi" w:hAnsi="Franklin Gothic Demi"/>
                <w:lang w:val="en-GB"/>
              </w:rPr>
              <w:t>Net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72.49</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BF170C" w:rsidRDefault="00BF170C" w:rsidP="00BF170C">
            <w:pPr>
              <w:pStyle w:val="TableHeading1"/>
              <w:rPr>
                <w:lang w:val="en-GB"/>
              </w:rPr>
            </w:pPr>
            <w:r>
              <w:rPr>
                <w:lang w:val="en-GB"/>
              </w:rPr>
              <w:t>Office building</w:t>
            </w: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9.28</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1.99</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Private costs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- 1.72</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BF170C" w:rsidRDefault="00BF170C" w:rsidP="00BF170C">
            <w:pPr>
              <w:pStyle w:val="TableDataEntries"/>
              <w:jc w:val="left"/>
              <w:rPr>
                <w:lang w:val="en-GB"/>
              </w:rPr>
            </w:pPr>
            <w:r>
              <w:rPr>
                <w:lang w:val="en-GB"/>
              </w:rPr>
              <w:t>Net private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xml:space="preserve"> 9.55</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3.60</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0.52</w:t>
            </w:r>
          </w:p>
        </w:tc>
      </w:tr>
      <w:tr w:rsidR="00BF170C" w:rsidRPr="00BF170C"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BF170C" w:rsidRPr="00BF170C" w:rsidRDefault="00BF170C" w:rsidP="00BF170C">
            <w:pPr>
              <w:pStyle w:val="TableDataEntries"/>
              <w:jc w:val="left"/>
              <w:rPr>
                <w:rFonts w:ascii="Franklin Gothic Demi" w:hAnsi="Franklin Gothic Demi"/>
                <w:lang w:val="en-GB"/>
              </w:rPr>
            </w:pPr>
            <w:r w:rsidRPr="00BF170C">
              <w:rPr>
                <w:rFonts w:ascii="Franklin Gothic Demi" w:hAnsi="Franklin Gothic Demi"/>
                <w:lang w:val="en-GB"/>
              </w:rPr>
              <w:t>Net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13.67</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BF170C" w:rsidRDefault="00BF170C" w:rsidP="00BF170C">
            <w:pPr>
              <w:pStyle w:val="TableHeading1"/>
              <w:rPr>
                <w:lang w:val="en-GB"/>
              </w:rPr>
            </w:pPr>
            <w:r>
              <w:rPr>
                <w:lang w:val="en-GB"/>
              </w:rPr>
              <w:t>Retail</w:t>
            </w: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- 6.41</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8.28</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Private costs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- 16.62</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BF170C" w:rsidRDefault="00BF170C" w:rsidP="00BF170C">
            <w:pPr>
              <w:pStyle w:val="TableDataEntries"/>
              <w:jc w:val="left"/>
              <w:rPr>
                <w:lang w:val="en-GB"/>
              </w:rPr>
            </w:pPr>
            <w:r>
              <w:rPr>
                <w:lang w:val="en-GB"/>
              </w:rPr>
              <w:t>Net private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- 14.75</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- 2.49</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2.17</w:t>
            </w:r>
          </w:p>
        </w:tc>
      </w:tr>
      <w:tr w:rsidR="00BF170C" w:rsidRPr="00BF170C"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BF170C" w:rsidRPr="00BF170C" w:rsidRDefault="00BF170C" w:rsidP="00BF170C">
            <w:pPr>
              <w:pStyle w:val="TableDataEntries"/>
              <w:jc w:val="left"/>
              <w:rPr>
                <w:rFonts w:ascii="Franklin Gothic Demi" w:hAnsi="Franklin Gothic Demi"/>
                <w:lang w:val="en-GB"/>
              </w:rPr>
            </w:pPr>
            <w:r w:rsidRPr="00BF170C">
              <w:rPr>
                <w:rFonts w:ascii="Franklin Gothic Demi" w:hAnsi="Franklin Gothic Demi"/>
                <w:lang w:val="en-GB"/>
              </w:rPr>
              <w:t>Net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- 15.07</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BF170C" w:rsidRDefault="00BF170C" w:rsidP="00BF170C">
            <w:pPr>
              <w:pStyle w:val="TableHeading1"/>
              <w:rPr>
                <w:lang w:val="en-GB"/>
              </w:rPr>
            </w:pPr>
            <w:r>
              <w:rPr>
                <w:lang w:val="en-GB"/>
              </w:rPr>
              <w:t>Healthcare</w:t>
            </w: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21.58</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- 10.61</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Private costs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- 28.34</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BF170C" w:rsidRDefault="00BF170C" w:rsidP="00BF170C">
            <w:pPr>
              <w:pStyle w:val="TableDataEntries"/>
              <w:jc w:val="left"/>
              <w:rPr>
                <w:lang w:val="en-GB"/>
              </w:rPr>
            </w:pPr>
            <w:r>
              <w:rPr>
                <w:lang w:val="en-GB"/>
              </w:rPr>
              <w:t>Net private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- 17.36</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8.37</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- 2.78</w:t>
            </w:r>
          </w:p>
        </w:tc>
      </w:tr>
      <w:tr w:rsidR="00BF170C" w:rsidRPr="00BF170C"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BF170C" w:rsidRPr="00BF170C" w:rsidRDefault="00BF170C" w:rsidP="00BF170C">
            <w:pPr>
              <w:pStyle w:val="TableDataEntries"/>
              <w:jc w:val="left"/>
              <w:rPr>
                <w:rFonts w:ascii="Franklin Gothic Demi" w:hAnsi="Franklin Gothic Demi"/>
                <w:lang w:val="en-GB"/>
              </w:rPr>
            </w:pPr>
            <w:r w:rsidRPr="00BF170C">
              <w:rPr>
                <w:rFonts w:ascii="Franklin Gothic Demi" w:hAnsi="Franklin Gothic Demi"/>
                <w:lang w:val="en-GB"/>
              </w:rPr>
              <w:t>Net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- 11.77</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BF170C" w:rsidRDefault="00BF170C" w:rsidP="00BF170C">
            <w:pPr>
              <w:pStyle w:val="TableHeading1"/>
              <w:rPr>
                <w:lang w:val="en-GB"/>
              </w:rPr>
            </w:pPr>
            <w:r>
              <w:rPr>
                <w:lang w:val="en-GB"/>
              </w:rPr>
              <w:t>School</w:t>
            </w: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53.49</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7.31</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Private costs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- 8.72</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BF170C" w:rsidRDefault="00BF170C" w:rsidP="00BF170C">
            <w:pPr>
              <w:pStyle w:val="TableDataEntries"/>
              <w:jc w:val="left"/>
              <w:rPr>
                <w:lang w:val="en-GB"/>
              </w:rPr>
            </w:pPr>
            <w:r>
              <w:rPr>
                <w:lang w:val="en-GB"/>
              </w:rPr>
              <w:t>Net private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xml:space="preserve"> 52.07</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20.74</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1.91</w:t>
            </w:r>
          </w:p>
        </w:tc>
      </w:tr>
      <w:tr w:rsidR="00BF170C" w:rsidRPr="00BF170C" w:rsidTr="00301B6D">
        <w:trPr>
          <w:trHeight w:val="230"/>
        </w:trPr>
        <w:tc>
          <w:tcPr>
            <w:tcW w:w="2456"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rsidR="00BF170C" w:rsidRPr="00BF170C" w:rsidRDefault="00BF170C" w:rsidP="00BF170C">
            <w:pPr>
              <w:pStyle w:val="TableDataEntries"/>
              <w:jc w:val="left"/>
              <w:rPr>
                <w:rFonts w:ascii="Franklin Gothic Demi" w:hAnsi="Franklin Gothic Demi"/>
                <w:lang w:val="en-GB"/>
              </w:rPr>
            </w:pPr>
            <w:r w:rsidRPr="00BF170C">
              <w:rPr>
                <w:rFonts w:ascii="Franklin Gothic Demi" w:hAnsi="Franklin Gothic Demi"/>
                <w:lang w:val="en-GB"/>
              </w:rPr>
              <w:t>Net benefit/cost</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74.72</w:t>
            </w:r>
          </w:p>
        </w:tc>
      </w:tr>
    </w:tbl>
    <w:p w:rsidR="00612FD3" w:rsidRDefault="00612FD3" w:rsidP="00612FD3">
      <w:pPr>
        <w:pStyle w:val="Note"/>
        <w:rPr>
          <w:lang w:bidi="fa-IR"/>
        </w:rPr>
      </w:pPr>
      <w:r w:rsidRPr="007D1B4F">
        <w:rPr>
          <w:i/>
        </w:rPr>
        <w:t>Note:</w:t>
      </w:r>
      <w:r w:rsidRPr="00E879B8">
        <w:t xml:space="preserve"> </w:t>
      </w:r>
      <w:r>
        <w:t>Costs and benefits are estimated over the assumed 40 year life of the building, using a discount rate of 7 per cent.</w:t>
      </w:r>
    </w:p>
    <w:p w:rsidR="00612FD3" w:rsidRDefault="00612FD3" w:rsidP="00612FD3">
      <w:pPr>
        <w:pStyle w:val="Source"/>
        <w:rPr>
          <w:lang w:bidi="fa-IR"/>
        </w:rPr>
      </w:pPr>
      <w:r w:rsidRPr="00C6138D">
        <w:rPr>
          <w:i/>
          <w:lang w:bidi="fa-IR"/>
        </w:rPr>
        <w:t>Source:</w:t>
      </w:r>
      <w:r>
        <w:rPr>
          <w:lang w:bidi="fa-IR"/>
        </w:rPr>
        <w:t xml:space="preserve"> CIE based on </w:t>
      </w:r>
      <w:r w:rsidR="00EB5964">
        <w:rPr>
          <w:lang w:bidi="fa-IR"/>
        </w:rPr>
        <w:t>EA</w:t>
      </w:r>
      <w:r>
        <w:rPr>
          <w:lang w:bidi="fa-IR"/>
        </w:rPr>
        <w:t xml:space="preserve"> modelling.</w:t>
      </w:r>
    </w:p>
    <w:p w:rsidR="00612FD3" w:rsidRDefault="00612FD3" w:rsidP="00612FD3">
      <w:pPr>
        <w:pStyle w:val="Heading7"/>
        <w:numPr>
          <w:ilvl w:val="6"/>
          <w:numId w:val="5"/>
        </w:numPr>
      </w:pPr>
      <w:r>
        <w:t>Northern Territory</w:t>
      </w:r>
    </w:p>
    <w:p w:rsidR="00612FD3" w:rsidRDefault="00612FD3" w:rsidP="00612FD3">
      <w:pPr>
        <w:pStyle w:val="Caption"/>
      </w:pPr>
      <w:r w:rsidRPr="00BF170C">
        <w:fldChar w:fldCharType="begin"/>
      </w:r>
      <w:r w:rsidRPr="00BF170C">
        <w:instrText xml:space="preserve"> IF 1 = 1 "</w:instrText>
      </w:r>
      <w:r w:rsidRPr="00BF170C">
        <w:fldChar w:fldCharType="begin"/>
      </w:r>
      <w:r w:rsidRPr="00BF170C">
        <w:instrText xml:space="preserve"> IF </w:instrText>
      </w:r>
      <w:r w:rsidRPr="00BF170C">
        <w:rPr>
          <w:noProof/>
        </w:rPr>
        <w:fldChar w:fldCharType="begin"/>
      </w:r>
      <w:r w:rsidRPr="00BF170C">
        <w:rPr>
          <w:noProof/>
        </w:rPr>
        <w:instrText xml:space="preserve"> STYLEREF "Heading 6" \l \n </w:instrText>
      </w:r>
      <w:r w:rsidRPr="00BF170C">
        <w:rPr>
          <w:noProof/>
        </w:rPr>
        <w:fldChar w:fldCharType="separate"/>
      </w:r>
      <w:r w:rsidR="00B833F1">
        <w:rPr>
          <w:noProof/>
        </w:rPr>
        <w:instrText>I</w:instrText>
      </w:r>
      <w:r w:rsidRPr="00BF170C">
        <w:rPr>
          <w:noProof/>
        </w:rPr>
        <w:fldChar w:fldCharType="end"/>
      </w:r>
      <w:r w:rsidRPr="00BF170C">
        <w:instrText xml:space="preserve"> = 0 "</w:instrText>
      </w:r>
      <w:r w:rsidRPr="00BF170C">
        <w:fldChar w:fldCharType="begin"/>
      </w:r>
      <w:r w:rsidRPr="00BF170C">
        <w:instrText xml:space="preserve"> IF </w:instrText>
      </w:r>
      <w:r w:rsidRPr="00BF170C">
        <w:rPr>
          <w:noProof/>
        </w:rPr>
        <w:fldChar w:fldCharType="begin"/>
      </w:r>
      <w:r w:rsidRPr="00BF170C">
        <w:rPr>
          <w:noProof/>
        </w:rPr>
        <w:instrText xml:space="preserve"> STYLEREF "Heading 1" \l \n </w:instrText>
      </w:r>
      <w:r w:rsidRPr="00BF170C">
        <w:rPr>
          <w:noProof/>
        </w:rPr>
        <w:fldChar w:fldCharType="separate"/>
      </w:r>
      <w:r w:rsidRPr="00BF170C">
        <w:rPr>
          <w:noProof/>
        </w:rPr>
        <w:instrText>1</w:instrText>
      </w:r>
      <w:r w:rsidRPr="00BF170C">
        <w:rPr>
          <w:noProof/>
        </w:rPr>
        <w:fldChar w:fldCharType="end"/>
      </w:r>
      <w:r w:rsidRPr="00BF170C">
        <w:instrText xml:space="preserve"> = 0 "" "</w:instrText>
      </w:r>
      <w:r w:rsidRPr="00BF170C">
        <w:rPr>
          <w:noProof/>
        </w:rPr>
        <w:fldChar w:fldCharType="begin"/>
      </w:r>
      <w:r w:rsidRPr="00BF170C">
        <w:rPr>
          <w:noProof/>
        </w:rPr>
        <w:instrText xml:space="preserve"> STYLEREF "Heading 1" \l \n </w:instrText>
      </w:r>
      <w:r w:rsidRPr="00BF170C">
        <w:rPr>
          <w:noProof/>
        </w:rPr>
        <w:fldChar w:fldCharType="separate"/>
      </w:r>
      <w:r w:rsidRPr="00BF170C">
        <w:rPr>
          <w:noProof/>
        </w:rPr>
        <w:instrText>1</w:instrText>
      </w:r>
      <w:r w:rsidRPr="00BF170C">
        <w:rPr>
          <w:noProof/>
        </w:rPr>
        <w:fldChar w:fldCharType="end"/>
      </w:r>
      <w:r w:rsidRPr="00BF170C">
        <w:instrText xml:space="preserve">." </w:instrText>
      </w:r>
      <w:r w:rsidRPr="00BF170C">
        <w:fldChar w:fldCharType="separate"/>
      </w:r>
      <w:r w:rsidRPr="00BF170C">
        <w:rPr>
          <w:noProof/>
        </w:rPr>
        <w:instrText>1.</w:instrText>
      </w:r>
      <w:r w:rsidRPr="00BF170C">
        <w:fldChar w:fldCharType="end"/>
      </w:r>
      <w:r w:rsidRPr="00BF170C">
        <w:instrText>" "</w:instrText>
      </w:r>
      <w:r w:rsidRPr="00BF170C">
        <w:rPr>
          <w:noProof/>
        </w:rPr>
        <w:fldChar w:fldCharType="begin"/>
      </w:r>
      <w:r w:rsidRPr="00BF170C">
        <w:rPr>
          <w:noProof/>
        </w:rPr>
        <w:instrText xml:space="preserve"> STYLEREF "Heading 6" \l \n </w:instrText>
      </w:r>
      <w:r w:rsidRPr="00BF170C">
        <w:rPr>
          <w:noProof/>
        </w:rPr>
        <w:fldChar w:fldCharType="separate"/>
      </w:r>
      <w:r w:rsidR="00B833F1">
        <w:rPr>
          <w:noProof/>
        </w:rPr>
        <w:instrText>I</w:instrText>
      </w:r>
      <w:r w:rsidRPr="00BF170C">
        <w:rPr>
          <w:noProof/>
        </w:rPr>
        <w:fldChar w:fldCharType="end"/>
      </w:r>
      <w:r w:rsidRPr="00BF170C">
        <w:instrText xml:space="preserve">." </w:instrText>
      </w:r>
      <w:r w:rsidRPr="00BF170C">
        <w:fldChar w:fldCharType="separate"/>
      </w:r>
      <w:r w:rsidR="00B833F1">
        <w:rPr>
          <w:noProof/>
        </w:rPr>
        <w:instrText>I</w:instrText>
      </w:r>
      <w:r w:rsidR="00B833F1" w:rsidRPr="00BF170C">
        <w:rPr>
          <w:noProof/>
        </w:rPr>
        <w:instrText>.</w:instrText>
      </w:r>
      <w:r w:rsidRPr="00BF170C">
        <w:fldChar w:fldCharType="end"/>
      </w:r>
      <w:r w:rsidRPr="00BF170C">
        <w:fldChar w:fldCharType="begin"/>
      </w:r>
      <w:r w:rsidRPr="00BF170C">
        <w:instrText xml:space="preserve"> SEQ Item \* ARABIC \s </w:instrText>
      </w:r>
      <w:r w:rsidRPr="00BF170C">
        <w:fldChar w:fldCharType="begin"/>
      </w:r>
      <w:r w:rsidRPr="00BF170C">
        <w:instrText xml:space="preserve"> IF </w:instrText>
      </w:r>
      <w:r w:rsidRPr="00BF170C">
        <w:rPr>
          <w:noProof/>
        </w:rPr>
        <w:fldChar w:fldCharType="begin"/>
      </w:r>
      <w:r w:rsidRPr="00BF170C">
        <w:rPr>
          <w:noProof/>
        </w:rPr>
        <w:instrText xml:space="preserve"> STYLEREF "Heading 6" \l \n </w:instrText>
      </w:r>
      <w:r w:rsidRPr="00BF170C">
        <w:rPr>
          <w:noProof/>
        </w:rPr>
        <w:fldChar w:fldCharType="separate"/>
      </w:r>
      <w:r w:rsidR="00B833F1">
        <w:rPr>
          <w:noProof/>
        </w:rPr>
        <w:instrText>I</w:instrText>
      </w:r>
      <w:r w:rsidRPr="00BF170C">
        <w:rPr>
          <w:noProof/>
        </w:rPr>
        <w:fldChar w:fldCharType="end"/>
      </w:r>
      <w:r w:rsidRPr="00BF170C">
        <w:instrText xml:space="preserve"> = 0 "</w:instrText>
      </w:r>
      <w:r w:rsidRPr="00BF170C">
        <w:fldChar w:fldCharType="begin"/>
      </w:r>
      <w:r w:rsidRPr="00BF170C">
        <w:instrText xml:space="preserve"> IF </w:instrText>
      </w:r>
      <w:r w:rsidRPr="00BF170C">
        <w:rPr>
          <w:noProof/>
        </w:rPr>
        <w:fldChar w:fldCharType="begin"/>
      </w:r>
      <w:r w:rsidRPr="00BF170C">
        <w:rPr>
          <w:noProof/>
        </w:rPr>
        <w:instrText xml:space="preserve"> STYLEREF "Heading 1" \l \n </w:instrText>
      </w:r>
      <w:r w:rsidRPr="00BF170C">
        <w:rPr>
          <w:noProof/>
        </w:rPr>
        <w:fldChar w:fldCharType="separate"/>
      </w:r>
      <w:r w:rsidRPr="00BF170C">
        <w:rPr>
          <w:noProof/>
        </w:rPr>
        <w:instrText>1</w:instrText>
      </w:r>
      <w:r w:rsidRPr="00BF170C">
        <w:rPr>
          <w:noProof/>
        </w:rPr>
        <w:fldChar w:fldCharType="end"/>
      </w:r>
      <w:r w:rsidRPr="00BF170C">
        <w:instrText xml:space="preserve"> = 0 "" "1" </w:instrText>
      </w:r>
      <w:r w:rsidRPr="00BF170C">
        <w:fldChar w:fldCharType="separate"/>
      </w:r>
      <w:r w:rsidRPr="00BF170C">
        <w:rPr>
          <w:noProof/>
        </w:rPr>
        <w:instrText>1</w:instrText>
      </w:r>
      <w:r w:rsidRPr="00BF170C">
        <w:fldChar w:fldCharType="end"/>
      </w:r>
      <w:r w:rsidRPr="00BF170C">
        <w:instrText xml:space="preserve">" "6" </w:instrText>
      </w:r>
      <w:r w:rsidRPr="00BF170C">
        <w:fldChar w:fldCharType="separate"/>
      </w:r>
      <w:r w:rsidR="00B833F1" w:rsidRPr="00BF170C">
        <w:rPr>
          <w:noProof/>
        </w:rPr>
        <w:instrText>6</w:instrText>
      </w:r>
      <w:r w:rsidRPr="00BF170C">
        <w:fldChar w:fldCharType="end"/>
      </w:r>
      <w:r w:rsidRPr="00BF170C">
        <w:instrText xml:space="preserve"> </w:instrText>
      </w:r>
      <w:r w:rsidRPr="00BF170C">
        <w:fldChar w:fldCharType="separate"/>
      </w:r>
      <w:r w:rsidR="00B833F1">
        <w:rPr>
          <w:noProof/>
        </w:rPr>
        <w:instrText>22</w:instrText>
      </w:r>
      <w:r w:rsidRPr="00BF170C">
        <w:fldChar w:fldCharType="end"/>
      </w:r>
      <w:r w:rsidRPr="00BF170C">
        <w:instrText xml:space="preserve">" "" </w:instrText>
      </w:r>
      <w:r w:rsidRPr="00BF170C">
        <w:fldChar w:fldCharType="separate"/>
      </w:r>
      <w:bookmarkStart w:id="10438" w:name="_Caption4988"/>
      <w:bookmarkStart w:id="10439" w:name="_Caption5503"/>
      <w:bookmarkStart w:id="10440" w:name="_Caption4755"/>
      <w:bookmarkStart w:id="10441" w:name="_Caption8425"/>
      <w:bookmarkStart w:id="10442" w:name="_Caption5350"/>
      <w:bookmarkStart w:id="10443" w:name="_Caption2043"/>
      <w:bookmarkStart w:id="10444" w:name="_Caption7705"/>
      <w:bookmarkStart w:id="10445" w:name="_Caption8587"/>
      <w:bookmarkStart w:id="10446" w:name="_Caption9126"/>
      <w:bookmarkStart w:id="10447" w:name="_Caption8481"/>
      <w:bookmarkStart w:id="10448" w:name="_Caption3500"/>
      <w:bookmarkStart w:id="10449" w:name="_Caption5233"/>
      <w:bookmarkStart w:id="10450" w:name="_Caption5921"/>
      <w:bookmarkStart w:id="10451" w:name="_Caption9370"/>
      <w:bookmarkStart w:id="10452" w:name="_Caption5688"/>
      <w:bookmarkStart w:id="10453" w:name="_Caption0102"/>
      <w:bookmarkStart w:id="10454" w:name="_Caption6691"/>
      <w:bookmarkStart w:id="10455" w:name="_Caption3155"/>
      <w:bookmarkStart w:id="10456" w:name="_Caption6031"/>
      <w:bookmarkStart w:id="10457" w:name="_Caption7503"/>
      <w:bookmarkStart w:id="10458" w:name="_Caption1232"/>
      <w:bookmarkStart w:id="10459" w:name="_Caption9801"/>
      <w:bookmarkStart w:id="10460" w:name="_Caption5226"/>
      <w:bookmarkStart w:id="10461" w:name="_Caption1983"/>
      <w:bookmarkStart w:id="10462" w:name="_Caption2946"/>
      <w:bookmarkStart w:id="10463" w:name="_Caption1482"/>
      <w:bookmarkStart w:id="10464" w:name="_Caption0711"/>
      <w:bookmarkStart w:id="10465" w:name="_Caption4971"/>
      <w:bookmarkStart w:id="10466" w:name="_Caption6378"/>
      <w:bookmarkStart w:id="10467" w:name="_Caption4795"/>
      <w:bookmarkStart w:id="10468" w:name="_Caption0569"/>
      <w:bookmarkStart w:id="10469" w:name="_Caption3283"/>
      <w:bookmarkStart w:id="10470" w:name="_Caption9788"/>
      <w:bookmarkStart w:id="10471" w:name="_Caption5487"/>
      <w:bookmarkStart w:id="10472" w:name="_Caption4017"/>
      <w:bookmarkStart w:id="10473" w:name="_Caption5957"/>
      <w:bookmarkStart w:id="10474" w:name="_Caption4804"/>
      <w:bookmarkStart w:id="10475" w:name="_Caption1216"/>
      <w:bookmarkStart w:id="10476" w:name="_Caption8038"/>
      <w:bookmarkStart w:id="10477" w:name="_Caption9610"/>
      <w:bookmarkStart w:id="10478" w:name="_Caption9797"/>
      <w:bookmarkStart w:id="10479" w:name="_Caption7712"/>
      <w:bookmarkStart w:id="10480" w:name="_Caption5905"/>
      <w:bookmarkStart w:id="10481" w:name="_Caption1432"/>
      <w:bookmarkStart w:id="10482" w:name="_Caption2326"/>
      <w:bookmarkStart w:id="10483" w:name="_Caption8214"/>
      <w:bookmarkStart w:id="10484" w:name="_Caption4785"/>
      <w:bookmarkStart w:id="10485" w:name="_Caption8891"/>
      <w:bookmarkStart w:id="10486" w:name="_Caption3999"/>
      <w:bookmarkStart w:id="10487" w:name="_Caption9913"/>
      <w:bookmarkStart w:id="10488" w:name="_Caption8467"/>
      <w:bookmarkStart w:id="10489" w:name="_Caption0823"/>
      <w:bookmarkStart w:id="10490" w:name="_Caption6190"/>
      <w:bookmarkStart w:id="10491" w:name="_Caption0822"/>
      <w:bookmarkStart w:id="10492" w:name="_Caption5898"/>
      <w:bookmarkStart w:id="10493" w:name="_Caption2728"/>
      <w:bookmarkStart w:id="10494" w:name="_Caption9929"/>
      <w:bookmarkStart w:id="10495" w:name="_Caption6342"/>
      <w:bookmarkStart w:id="10496" w:name="_Caption8082"/>
      <w:bookmarkStart w:id="10497" w:name="_Caption4229"/>
      <w:bookmarkStart w:id="10498" w:name="_Caption7818"/>
      <w:bookmarkStart w:id="10499" w:name="_Caption5481"/>
      <w:bookmarkStart w:id="10500" w:name="_Caption4522"/>
      <w:bookmarkStart w:id="10501" w:name="_Caption0141"/>
      <w:bookmarkStart w:id="10502" w:name="_Caption3202"/>
      <w:bookmarkStart w:id="10503" w:name="_Caption0007"/>
      <w:bookmarkStart w:id="10504" w:name="_Caption5396"/>
      <w:bookmarkStart w:id="10505" w:name="_Toc529870036"/>
      <w:bookmarkStart w:id="10506" w:name="_Toc530748532"/>
      <w:r w:rsidR="00EA42ED">
        <w:rPr>
          <w:noProof/>
        </w:rPr>
        <w:t>I</w:t>
      </w:r>
      <w:r w:rsidR="00EA42ED" w:rsidRPr="00BF170C">
        <w:rPr>
          <w:noProof/>
        </w:rPr>
        <w:t>.</w:t>
      </w:r>
      <w:r w:rsidR="00EA42ED">
        <w:rPr>
          <w:noProof/>
        </w:rPr>
        <w:t>22</w:t>
      </w:r>
      <w:bookmarkEnd w:id="10438"/>
      <w:bookmarkEnd w:id="10439"/>
      <w:bookmarkEnd w:id="10440"/>
      <w:bookmarkEnd w:id="10441"/>
      <w:bookmarkEnd w:id="10442"/>
      <w:bookmarkEnd w:id="10443"/>
      <w:bookmarkEnd w:id="10444"/>
      <w:bookmarkEnd w:id="10445"/>
      <w:bookmarkEnd w:id="10446"/>
      <w:bookmarkEnd w:id="10447"/>
      <w:bookmarkEnd w:id="10448"/>
      <w:bookmarkEnd w:id="10449"/>
      <w:bookmarkEnd w:id="10450"/>
      <w:bookmarkEnd w:id="10451"/>
      <w:bookmarkEnd w:id="10452"/>
      <w:bookmarkEnd w:id="10453"/>
      <w:bookmarkEnd w:id="10454"/>
      <w:bookmarkEnd w:id="10455"/>
      <w:bookmarkEnd w:id="10456"/>
      <w:bookmarkEnd w:id="10457"/>
      <w:bookmarkEnd w:id="10458"/>
      <w:bookmarkEnd w:id="10459"/>
      <w:bookmarkEnd w:id="10460"/>
      <w:bookmarkEnd w:id="10461"/>
      <w:bookmarkEnd w:id="10462"/>
      <w:bookmarkEnd w:id="10463"/>
      <w:bookmarkEnd w:id="10464"/>
      <w:bookmarkEnd w:id="10465"/>
      <w:bookmarkEnd w:id="10466"/>
      <w:bookmarkEnd w:id="10467"/>
      <w:bookmarkEnd w:id="10468"/>
      <w:bookmarkEnd w:id="10469"/>
      <w:bookmarkEnd w:id="10470"/>
      <w:bookmarkEnd w:id="10471"/>
      <w:bookmarkEnd w:id="10472"/>
      <w:bookmarkEnd w:id="10473"/>
      <w:bookmarkEnd w:id="10474"/>
      <w:bookmarkEnd w:id="10475"/>
      <w:bookmarkEnd w:id="10476"/>
      <w:bookmarkEnd w:id="10477"/>
      <w:bookmarkEnd w:id="10478"/>
      <w:bookmarkEnd w:id="10479"/>
      <w:bookmarkEnd w:id="10480"/>
      <w:bookmarkEnd w:id="10481"/>
      <w:bookmarkEnd w:id="10482"/>
      <w:bookmarkEnd w:id="10483"/>
      <w:bookmarkEnd w:id="10484"/>
      <w:bookmarkEnd w:id="10485"/>
      <w:bookmarkEnd w:id="10486"/>
      <w:bookmarkEnd w:id="10487"/>
      <w:bookmarkEnd w:id="10488"/>
      <w:bookmarkEnd w:id="10489"/>
      <w:bookmarkEnd w:id="10490"/>
      <w:bookmarkEnd w:id="10491"/>
      <w:bookmarkEnd w:id="10492"/>
      <w:bookmarkEnd w:id="10493"/>
      <w:bookmarkEnd w:id="10494"/>
      <w:bookmarkEnd w:id="10495"/>
      <w:bookmarkEnd w:id="10496"/>
      <w:bookmarkEnd w:id="10497"/>
      <w:bookmarkEnd w:id="10498"/>
      <w:bookmarkEnd w:id="10499"/>
      <w:bookmarkEnd w:id="10500"/>
      <w:bookmarkEnd w:id="10501"/>
      <w:bookmarkEnd w:id="10502"/>
      <w:bookmarkEnd w:id="10503"/>
      <w:bookmarkEnd w:id="10504"/>
      <w:r w:rsidRPr="00BF170C">
        <w:fldChar w:fldCharType="end"/>
      </w:r>
      <w:r w:rsidRPr="00BF170C">
        <w:tab/>
        <w:t>Net benefits to Northern Territory — low realisation scenario</w:t>
      </w:r>
      <w:bookmarkEnd w:id="10505"/>
      <w:bookmarkEnd w:id="10506"/>
    </w:p>
    <w:tbl>
      <w:tblPr>
        <w:tblW w:w="7937" w:type="dxa"/>
        <w:tblLayout w:type="fixed"/>
        <w:tblLook w:val="0000" w:firstRow="0" w:lastRow="0" w:firstColumn="0" w:lastColumn="0" w:noHBand="0" w:noVBand="0"/>
        <w:tblCaption w:val="Table I.22: Net benefits to Northern Teritory - low realisation scenario"/>
        <w:tblDescription w:val="This table shows the net benefits under a low realisation scenario of the proposed changes to NCC 2019 in Northern Territory. "/>
      </w:tblPr>
      <w:tblGrid>
        <w:gridCol w:w="2456"/>
        <w:gridCol w:w="783"/>
        <w:gridCol w:w="783"/>
        <w:gridCol w:w="783"/>
        <w:gridCol w:w="783"/>
        <w:gridCol w:w="783"/>
        <w:gridCol w:w="783"/>
        <w:gridCol w:w="783"/>
      </w:tblGrid>
      <w:tr w:rsidR="00612FD3" w:rsidTr="00301B6D">
        <w:trPr>
          <w:trHeight w:val="230"/>
          <w:tblHeader/>
        </w:trPr>
        <w:tc>
          <w:tcPr>
            <w:tcW w:w="2456" w:type="dxa"/>
            <w:shd w:val="clear" w:color="auto" w:fill="6F6652"/>
            <w:tcMar>
              <w:left w:w="57" w:type="dxa"/>
              <w:right w:w="57" w:type="dxa"/>
            </w:tcMar>
          </w:tcPr>
          <w:p w:rsidR="00612FD3" w:rsidRDefault="00612FD3" w:rsidP="00301B6D">
            <w:pPr>
              <w:pStyle w:val="TableDataColumnHeading"/>
              <w:jc w:val="left"/>
              <w:rPr>
                <w:lang w:val="en-GB"/>
              </w:rPr>
            </w:pP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CZ1</w:t>
            </w: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CZ2</w:t>
            </w: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CZ3</w:t>
            </w: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CZ4</w:t>
            </w: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CZ5</w:t>
            </w: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CZ6</w:t>
            </w: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CZ7</w:t>
            </w:r>
          </w:p>
        </w:tc>
      </w:tr>
      <w:tr w:rsidR="00612FD3" w:rsidTr="00301B6D">
        <w:trPr>
          <w:trHeight w:val="230"/>
          <w:tblHeader/>
        </w:trPr>
        <w:tc>
          <w:tcPr>
            <w:tcW w:w="2456"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jc w:val="left"/>
              <w:rPr>
                <w:lang w:val="en-GB"/>
              </w:rPr>
            </w:pP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r>
      <w:tr w:rsidR="00612FD3" w:rsidTr="00301B6D">
        <w:trPr>
          <w:trHeight w:val="230"/>
        </w:trPr>
        <w:tc>
          <w:tcPr>
            <w:tcW w:w="245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r>
              <w:rPr>
                <w:lang w:val="en-GB"/>
              </w:rPr>
              <w:t>Hotels</w:t>
            </w: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14.82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24.11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0.00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0.06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Private costs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10.26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0.97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BF170C" w:rsidRDefault="00BF170C" w:rsidP="00BF170C">
            <w:pPr>
              <w:pStyle w:val="TableDataEntries"/>
              <w:jc w:val="left"/>
              <w:rPr>
                <w:lang w:val="en-GB"/>
              </w:rPr>
            </w:pPr>
            <w:r>
              <w:rPr>
                <w:lang w:val="en-GB"/>
              </w:rPr>
              <w:t>Net private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xml:space="preserve"> 25.07</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xml:space="preserve"> 25.14</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3.82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6.22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0.00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0.01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RPr="00BF170C"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BF170C" w:rsidRPr="00BF170C" w:rsidRDefault="00BF170C" w:rsidP="00BF170C">
            <w:pPr>
              <w:pStyle w:val="TableDataEntries"/>
              <w:jc w:val="left"/>
              <w:rPr>
                <w:rFonts w:ascii="Franklin Gothic Demi" w:hAnsi="Franklin Gothic Demi"/>
                <w:lang w:val="en-GB"/>
              </w:rPr>
            </w:pPr>
            <w:r w:rsidRPr="00BF170C">
              <w:rPr>
                <w:rFonts w:ascii="Franklin Gothic Demi" w:hAnsi="Franklin Gothic Demi"/>
                <w:lang w:val="en-GB"/>
              </w:rPr>
              <w:t>Net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28.90</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31.37</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BF170C" w:rsidRDefault="00BF170C" w:rsidP="00BF170C">
            <w:pPr>
              <w:pStyle w:val="TableHeading1"/>
              <w:rPr>
                <w:lang w:val="en-GB"/>
              </w:rPr>
            </w:pPr>
            <w:r>
              <w:rPr>
                <w:lang w:val="en-GB"/>
              </w:rPr>
              <w:t>Office building</w:t>
            </w: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9.71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0.00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Private costs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- 9.71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BF170C" w:rsidRDefault="00BF170C" w:rsidP="00BF170C">
            <w:pPr>
              <w:pStyle w:val="TableDataEntries"/>
              <w:jc w:val="left"/>
              <w:rPr>
                <w:lang w:val="en-GB"/>
              </w:rPr>
            </w:pPr>
            <w:r>
              <w:rPr>
                <w:lang w:val="en-GB"/>
              </w:rPr>
              <w:t>Net private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xml:space="preserve"> 0.00</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2.51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0.00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RPr="00BF170C"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BF170C" w:rsidRPr="00BF170C" w:rsidRDefault="00BF170C" w:rsidP="00BF170C">
            <w:pPr>
              <w:pStyle w:val="TableDataEntries"/>
              <w:jc w:val="left"/>
              <w:rPr>
                <w:rFonts w:ascii="Franklin Gothic Demi" w:hAnsi="Franklin Gothic Demi"/>
                <w:lang w:val="en-GB"/>
              </w:rPr>
            </w:pPr>
            <w:r w:rsidRPr="00BF170C">
              <w:rPr>
                <w:rFonts w:ascii="Franklin Gothic Demi" w:hAnsi="Franklin Gothic Demi"/>
                <w:lang w:val="en-GB"/>
              </w:rPr>
              <w:t>Net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2.51</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BF170C" w:rsidRDefault="00BF170C" w:rsidP="00BF170C">
            <w:pPr>
              <w:pStyle w:val="TableHeading1"/>
              <w:rPr>
                <w:lang w:val="en-GB"/>
              </w:rPr>
            </w:pPr>
            <w:r>
              <w:rPr>
                <w:lang w:val="en-GB"/>
              </w:rPr>
              <w:t>Retail</w:t>
            </w: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35.40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37.01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- 0.01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- 1.31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Private costs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- 0.45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- 14.17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BF170C" w:rsidRDefault="00BF170C" w:rsidP="00BF170C">
            <w:pPr>
              <w:pStyle w:val="TableDataEntries"/>
              <w:jc w:val="left"/>
              <w:rPr>
                <w:lang w:val="en-GB"/>
              </w:rPr>
            </w:pPr>
            <w:r>
              <w:rPr>
                <w:lang w:val="en-GB"/>
              </w:rPr>
              <w:t>Net private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xml:space="preserve"> 34.94</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xml:space="preserve"> 21.53</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9.14</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9.55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0.00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- 0.30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RPr="00BF170C"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BF170C" w:rsidRPr="00BF170C" w:rsidRDefault="00BF170C" w:rsidP="00BF170C">
            <w:pPr>
              <w:pStyle w:val="TableDataEntries"/>
              <w:jc w:val="left"/>
              <w:rPr>
                <w:rFonts w:ascii="Franklin Gothic Demi" w:hAnsi="Franklin Gothic Demi"/>
                <w:lang w:val="en-GB"/>
              </w:rPr>
            </w:pPr>
            <w:r w:rsidRPr="00BF170C">
              <w:rPr>
                <w:rFonts w:ascii="Franklin Gothic Demi" w:hAnsi="Franklin Gothic Demi"/>
                <w:lang w:val="en-GB"/>
              </w:rPr>
              <w:t>Net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44.07</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30.78</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BF170C" w:rsidRDefault="00BF170C" w:rsidP="00BF170C">
            <w:pPr>
              <w:pStyle w:val="TableHeading1"/>
              <w:rPr>
                <w:lang w:val="en-GB"/>
              </w:rPr>
            </w:pPr>
            <w:r>
              <w:rPr>
                <w:lang w:val="en-GB"/>
              </w:rPr>
              <w:t>Healthcare</w:t>
            </w: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28.59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21.14</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0.00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0.46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Private costs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- 14.62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- 15.98</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BF170C" w:rsidRDefault="00BF170C" w:rsidP="00BF170C">
            <w:pPr>
              <w:pStyle w:val="TableDataEntries"/>
              <w:jc w:val="left"/>
              <w:rPr>
                <w:lang w:val="en-GB"/>
              </w:rPr>
            </w:pPr>
            <w:r>
              <w:rPr>
                <w:lang w:val="en-GB"/>
              </w:rPr>
              <w:t>Net private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xml:space="preserve"> 13.97</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xml:space="preserve"> 5.63</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7.38</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5.46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0.00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0.11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RPr="00BF170C"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BF170C" w:rsidRPr="00BF170C" w:rsidRDefault="00BF170C" w:rsidP="00BF170C">
            <w:pPr>
              <w:pStyle w:val="TableDataEntries"/>
              <w:jc w:val="left"/>
              <w:rPr>
                <w:rFonts w:ascii="Franklin Gothic Demi" w:hAnsi="Franklin Gothic Demi"/>
                <w:lang w:val="en-GB"/>
              </w:rPr>
            </w:pPr>
            <w:r w:rsidRPr="00BF170C">
              <w:rPr>
                <w:rFonts w:ascii="Franklin Gothic Demi" w:hAnsi="Franklin Gothic Demi"/>
                <w:lang w:val="en-GB"/>
              </w:rPr>
              <w:t>Net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21.35</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11.19</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BF170C" w:rsidRDefault="00BF170C" w:rsidP="00BF170C">
            <w:pPr>
              <w:pStyle w:val="TableHeading1"/>
              <w:rPr>
                <w:lang w:val="en-GB"/>
              </w:rPr>
            </w:pPr>
            <w:r>
              <w:rPr>
                <w:lang w:val="en-GB"/>
              </w:rPr>
              <w:t>School</w:t>
            </w: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64.35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40.51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0.04</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2.04</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Private costs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- 5.61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- 12.16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BF170C" w:rsidRDefault="00BF170C" w:rsidP="00BF170C">
            <w:pPr>
              <w:pStyle w:val="TableDataEntries"/>
              <w:jc w:val="left"/>
              <w:rPr>
                <w:lang w:val="en-GB"/>
              </w:rPr>
            </w:pPr>
            <w:r>
              <w:rPr>
                <w:lang w:val="en-GB"/>
              </w:rPr>
              <w:t>Net private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xml:space="preserve"> 58.78</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xml:space="preserve"> 30.39</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16.61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10.46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0.01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0.47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RPr="00BF170C" w:rsidTr="00301B6D">
        <w:trPr>
          <w:trHeight w:val="230"/>
        </w:trPr>
        <w:tc>
          <w:tcPr>
            <w:tcW w:w="2456"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rsidR="00BF170C" w:rsidRPr="00BF170C" w:rsidRDefault="00BF170C" w:rsidP="00BF170C">
            <w:pPr>
              <w:pStyle w:val="TableDataEntries"/>
              <w:jc w:val="left"/>
              <w:rPr>
                <w:rFonts w:ascii="Franklin Gothic Demi" w:hAnsi="Franklin Gothic Demi"/>
                <w:lang w:val="en-GB"/>
              </w:rPr>
            </w:pPr>
            <w:r w:rsidRPr="00BF170C">
              <w:rPr>
                <w:rFonts w:ascii="Franklin Gothic Demi" w:hAnsi="Franklin Gothic Demi"/>
                <w:lang w:val="en-GB"/>
              </w:rPr>
              <w:t>Net benefit/cost</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75.40</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41.31</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r>
    </w:tbl>
    <w:p w:rsidR="00612FD3" w:rsidRDefault="00612FD3" w:rsidP="00612FD3">
      <w:pPr>
        <w:pStyle w:val="Note"/>
        <w:rPr>
          <w:lang w:bidi="fa-IR"/>
        </w:rPr>
      </w:pPr>
      <w:r w:rsidRPr="007D1B4F">
        <w:rPr>
          <w:i/>
        </w:rPr>
        <w:t>Note:</w:t>
      </w:r>
      <w:r w:rsidRPr="00E879B8">
        <w:t xml:space="preserve"> </w:t>
      </w:r>
      <w:r>
        <w:t>Costs and benefits are estimated over the assumed 40 year life of the building, using a discount rate of 7 per cent.</w:t>
      </w:r>
    </w:p>
    <w:p w:rsidR="00612FD3" w:rsidRDefault="00612FD3" w:rsidP="00612FD3">
      <w:pPr>
        <w:pStyle w:val="Source"/>
        <w:rPr>
          <w:lang w:bidi="fa-IR"/>
        </w:rPr>
      </w:pPr>
      <w:r w:rsidRPr="00C6138D">
        <w:rPr>
          <w:i/>
          <w:lang w:bidi="fa-IR"/>
        </w:rPr>
        <w:t>Source:</w:t>
      </w:r>
      <w:r>
        <w:rPr>
          <w:lang w:bidi="fa-IR"/>
        </w:rPr>
        <w:t xml:space="preserve"> CIE based on </w:t>
      </w:r>
      <w:r w:rsidR="00EB5964">
        <w:rPr>
          <w:lang w:bidi="fa-IR"/>
        </w:rPr>
        <w:t>EA</w:t>
      </w:r>
      <w:r>
        <w:rPr>
          <w:lang w:bidi="fa-IR"/>
        </w:rPr>
        <w:t xml:space="preserve"> modelling.</w:t>
      </w:r>
    </w:p>
    <w:p w:rsidR="00612FD3" w:rsidRDefault="00612FD3" w:rsidP="00612FD3">
      <w:pPr>
        <w:pStyle w:val="Caption"/>
      </w:pPr>
      <w:r w:rsidRPr="00BF170C">
        <w:fldChar w:fldCharType="begin"/>
      </w:r>
      <w:r w:rsidRPr="00BF170C">
        <w:instrText xml:space="preserve"> IF 1 = 1 "</w:instrText>
      </w:r>
      <w:r w:rsidRPr="00BF170C">
        <w:fldChar w:fldCharType="begin"/>
      </w:r>
      <w:r w:rsidRPr="00BF170C">
        <w:instrText xml:space="preserve"> IF </w:instrText>
      </w:r>
      <w:r w:rsidRPr="00BF170C">
        <w:rPr>
          <w:noProof/>
        </w:rPr>
        <w:fldChar w:fldCharType="begin"/>
      </w:r>
      <w:r w:rsidRPr="00BF170C">
        <w:rPr>
          <w:noProof/>
        </w:rPr>
        <w:instrText xml:space="preserve"> STYLEREF "Heading 6" \l \n </w:instrText>
      </w:r>
      <w:r w:rsidRPr="00BF170C">
        <w:rPr>
          <w:noProof/>
        </w:rPr>
        <w:fldChar w:fldCharType="separate"/>
      </w:r>
      <w:r w:rsidR="00B833F1">
        <w:rPr>
          <w:noProof/>
        </w:rPr>
        <w:instrText>I</w:instrText>
      </w:r>
      <w:r w:rsidRPr="00BF170C">
        <w:rPr>
          <w:noProof/>
        </w:rPr>
        <w:fldChar w:fldCharType="end"/>
      </w:r>
      <w:r w:rsidRPr="00BF170C">
        <w:instrText xml:space="preserve"> = 0 "</w:instrText>
      </w:r>
      <w:r w:rsidRPr="00BF170C">
        <w:fldChar w:fldCharType="begin"/>
      </w:r>
      <w:r w:rsidRPr="00BF170C">
        <w:instrText xml:space="preserve"> IF </w:instrText>
      </w:r>
      <w:r w:rsidRPr="00BF170C">
        <w:rPr>
          <w:noProof/>
        </w:rPr>
        <w:fldChar w:fldCharType="begin"/>
      </w:r>
      <w:r w:rsidRPr="00BF170C">
        <w:rPr>
          <w:noProof/>
        </w:rPr>
        <w:instrText xml:space="preserve"> STYLEREF "Heading 1" \l \n </w:instrText>
      </w:r>
      <w:r w:rsidRPr="00BF170C">
        <w:rPr>
          <w:noProof/>
        </w:rPr>
        <w:fldChar w:fldCharType="separate"/>
      </w:r>
      <w:r w:rsidRPr="00BF170C">
        <w:rPr>
          <w:noProof/>
        </w:rPr>
        <w:instrText>1</w:instrText>
      </w:r>
      <w:r w:rsidRPr="00BF170C">
        <w:rPr>
          <w:noProof/>
        </w:rPr>
        <w:fldChar w:fldCharType="end"/>
      </w:r>
      <w:r w:rsidRPr="00BF170C">
        <w:instrText xml:space="preserve"> = 0 "" "</w:instrText>
      </w:r>
      <w:r w:rsidRPr="00BF170C">
        <w:rPr>
          <w:noProof/>
        </w:rPr>
        <w:fldChar w:fldCharType="begin"/>
      </w:r>
      <w:r w:rsidRPr="00BF170C">
        <w:rPr>
          <w:noProof/>
        </w:rPr>
        <w:instrText xml:space="preserve"> STYLEREF "Heading 1" \l \n </w:instrText>
      </w:r>
      <w:r w:rsidRPr="00BF170C">
        <w:rPr>
          <w:noProof/>
        </w:rPr>
        <w:fldChar w:fldCharType="separate"/>
      </w:r>
      <w:r w:rsidRPr="00BF170C">
        <w:rPr>
          <w:noProof/>
        </w:rPr>
        <w:instrText>1</w:instrText>
      </w:r>
      <w:r w:rsidRPr="00BF170C">
        <w:rPr>
          <w:noProof/>
        </w:rPr>
        <w:fldChar w:fldCharType="end"/>
      </w:r>
      <w:r w:rsidRPr="00BF170C">
        <w:instrText xml:space="preserve">." </w:instrText>
      </w:r>
      <w:r w:rsidRPr="00BF170C">
        <w:fldChar w:fldCharType="separate"/>
      </w:r>
      <w:r w:rsidRPr="00BF170C">
        <w:rPr>
          <w:noProof/>
        </w:rPr>
        <w:instrText>1.</w:instrText>
      </w:r>
      <w:r w:rsidRPr="00BF170C">
        <w:fldChar w:fldCharType="end"/>
      </w:r>
      <w:r w:rsidRPr="00BF170C">
        <w:instrText>" "</w:instrText>
      </w:r>
      <w:r w:rsidRPr="00BF170C">
        <w:rPr>
          <w:noProof/>
        </w:rPr>
        <w:fldChar w:fldCharType="begin"/>
      </w:r>
      <w:r w:rsidRPr="00BF170C">
        <w:rPr>
          <w:noProof/>
        </w:rPr>
        <w:instrText xml:space="preserve"> STYLEREF "Heading 6" \l \n </w:instrText>
      </w:r>
      <w:r w:rsidRPr="00BF170C">
        <w:rPr>
          <w:noProof/>
        </w:rPr>
        <w:fldChar w:fldCharType="separate"/>
      </w:r>
      <w:r w:rsidR="00B833F1">
        <w:rPr>
          <w:noProof/>
        </w:rPr>
        <w:instrText>I</w:instrText>
      </w:r>
      <w:r w:rsidRPr="00BF170C">
        <w:rPr>
          <w:noProof/>
        </w:rPr>
        <w:fldChar w:fldCharType="end"/>
      </w:r>
      <w:r w:rsidRPr="00BF170C">
        <w:instrText xml:space="preserve">." </w:instrText>
      </w:r>
      <w:r w:rsidRPr="00BF170C">
        <w:fldChar w:fldCharType="separate"/>
      </w:r>
      <w:r w:rsidR="00B833F1">
        <w:rPr>
          <w:noProof/>
        </w:rPr>
        <w:instrText>I</w:instrText>
      </w:r>
      <w:r w:rsidR="00B833F1" w:rsidRPr="00BF170C">
        <w:rPr>
          <w:noProof/>
        </w:rPr>
        <w:instrText>.</w:instrText>
      </w:r>
      <w:r w:rsidRPr="00BF170C">
        <w:fldChar w:fldCharType="end"/>
      </w:r>
      <w:r w:rsidRPr="00BF170C">
        <w:fldChar w:fldCharType="begin"/>
      </w:r>
      <w:r w:rsidRPr="00BF170C">
        <w:instrText xml:space="preserve"> SEQ Item \* ARABIC \s </w:instrText>
      </w:r>
      <w:r w:rsidRPr="00BF170C">
        <w:fldChar w:fldCharType="begin"/>
      </w:r>
      <w:r w:rsidRPr="00BF170C">
        <w:instrText xml:space="preserve"> IF </w:instrText>
      </w:r>
      <w:r w:rsidRPr="00BF170C">
        <w:rPr>
          <w:noProof/>
        </w:rPr>
        <w:fldChar w:fldCharType="begin"/>
      </w:r>
      <w:r w:rsidRPr="00BF170C">
        <w:rPr>
          <w:noProof/>
        </w:rPr>
        <w:instrText xml:space="preserve"> STYLEREF "Heading 6" \l \n </w:instrText>
      </w:r>
      <w:r w:rsidRPr="00BF170C">
        <w:rPr>
          <w:noProof/>
        </w:rPr>
        <w:fldChar w:fldCharType="separate"/>
      </w:r>
      <w:r w:rsidR="00B833F1">
        <w:rPr>
          <w:noProof/>
        </w:rPr>
        <w:instrText>I</w:instrText>
      </w:r>
      <w:r w:rsidRPr="00BF170C">
        <w:rPr>
          <w:noProof/>
        </w:rPr>
        <w:fldChar w:fldCharType="end"/>
      </w:r>
      <w:r w:rsidRPr="00BF170C">
        <w:instrText xml:space="preserve"> = 0 "</w:instrText>
      </w:r>
      <w:r w:rsidRPr="00BF170C">
        <w:fldChar w:fldCharType="begin"/>
      </w:r>
      <w:r w:rsidRPr="00BF170C">
        <w:instrText xml:space="preserve"> IF </w:instrText>
      </w:r>
      <w:r w:rsidRPr="00BF170C">
        <w:rPr>
          <w:noProof/>
        </w:rPr>
        <w:fldChar w:fldCharType="begin"/>
      </w:r>
      <w:r w:rsidRPr="00BF170C">
        <w:rPr>
          <w:noProof/>
        </w:rPr>
        <w:instrText xml:space="preserve"> STYLEREF "Heading 1" \l \n </w:instrText>
      </w:r>
      <w:r w:rsidRPr="00BF170C">
        <w:rPr>
          <w:noProof/>
        </w:rPr>
        <w:fldChar w:fldCharType="separate"/>
      </w:r>
      <w:r w:rsidRPr="00BF170C">
        <w:rPr>
          <w:noProof/>
        </w:rPr>
        <w:instrText>1</w:instrText>
      </w:r>
      <w:r w:rsidRPr="00BF170C">
        <w:rPr>
          <w:noProof/>
        </w:rPr>
        <w:fldChar w:fldCharType="end"/>
      </w:r>
      <w:r w:rsidRPr="00BF170C">
        <w:instrText xml:space="preserve"> = 0 "" "1" </w:instrText>
      </w:r>
      <w:r w:rsidRPr="00BF170C">
        <w:fldChar w:fldCharType="separate"/>
      </w:r>
      <w:r w:rsidRPr="00BF170C">
        <w:rPr>
          <w:noProof/>
        </w:rPr>
        <w:instrText>1</w:instrText>
      </w:r>
      <w:r w:rsidRPr="00BF170C">
        <w:fldChar w:fldCharType="end"/>
      </w:r>
      <w:r w:rsidRPr="00BF170C">
        <w:instrText xml:space="preserve">" "6" </w:instrText>
      </w:r>
      <w:r w:rsidRPr="00BF170C">
        <w:fldChar w:fldCharType="separate"/>
      </w:r>
      <w:r w:rsidR="00B833F1" w:rsidRPr="00BF170C">
        <w:rPr>
          <w:noProof/>
        </w:rPr>
        <w:instrText>6</w:instrText>
      </w:r>
      <w:r w:rsidRPr="00BF170C">
        <w:fldChar w:fldCharType="end"/>
      </w:r>
      <w:r w:rsidRPr="00BF170C">
        <w:instrText xml:space="preserve"> </w:instrText>
      </w:r>
      <w:r w:rsidRPr="00BF170C">
        <w:fldChar w:fldCharType="separate"/>
      </w:r>
      <w:r w:rsidR="00B833F1">
        <w:rPr>
          <w:noProof/>
        </w:rPr>
        <w:instrText>23</w:instrText>
      </w:r>
      <w:r w:rsidRPr="00BF170C">
        <w:fldChar w:fldCharType="end"/>
      </w:r>
      <w:r w:rsidRPr="00BF170C">
        <w:instrText xml:space="preserve">" "" </w:instrText>
      </w:r>
      <w:r w:rsidRPr="00BF170C">
        <w:fldChar w:fldCharType="separate"/>
      </w:r>
      <w:bookmarkStart w:id="10507" w:name="_Caption5972"/>
      <w:bookmarkStart w:id="10508" w:name="_Caption4613"/>
      <w:bookmarkStart w:id="10509" w:name="_Caption1838"/>
      <w:bookmarkStart w:id="10510" w:name="_Caption2769"/>
      <w:bookmarkStart w:id="10511" w:name="_Caption5492"/>
      <w:bookmarkStart w:id="10512" w:name="_Caption5360"/>
      <w:bookmarkStart w:id="10513" w:name="_Caption1017"/>
      <w:bookmarkStart w:id="10514" w:name="_Caption3313"/>
      <w:bookmarkStart w:id="10515" w:name="_Caption6556"/>
      <w:bookmarkStart w:id="10516" w:name="_Caption7048"/>
      <w:bookmarkStart w:id="10517" w:name="_Caption2385"/>
      <w:bookmarkStart w:id="10518" w:name="_Caption7229"/>
      <w:bookmarkStart w:id="10519" w:name="_Caption4009"/>
      <w:bookmarkStart w:id="10520" w:name="_Caption2804"/>
      <w:bookmarkStart w:id="10521" w:name="_Caption4274"/>
      <w:bookmarkStart w:id="10522" w:name="_Caption3603"/>
      <w:bookmarkStart w:id="10523" w:name="_Caption5897"/>
      <w:bookmarkStart w:id="10524" w:name="_Caption7007"/>
      <w:bookmarkStart w:id="10525" w:name="_Caption6297"/>
      <w:bookmarkStart w:id="10526" w:name="_Caption8200"/>
      <w:bookmarkStart w:id="10527" w:name="_Caption4527"/>
      <w:bookmarkStart w:id="10528" w:name="_Caption5656"/>
      <w:bookmarkStart w:id="10529" w:name="_Caption4642"/>
      <w:bookmarkStart w:id="10530" w:name="_Caption0731"/>
      <w:bookmarkStart w:id="10531" w:name="_Caption8633"/>
      <w:bookmarkStart w:id="10532" w:name="_Caption1014"/>
      <w:bookmarkStart w:id="10533" w:name="_Caption6557"/>
      <w:bookmarkStart w:id="10534" w:name="_Caption7612"/>
      <w:bookmarkStart w:id="10535" w:name="_Caption5433"/>
      <w:bookmarkStart w:id="10536" w:name="_Caption5762"/>
      <w:bookmarkStart w:id="10537" w:name="_Caption8521"/>
      <w:bookmarkStart w:id="10538" w:name="_Caption3208"/>
      <w:bookmarkStart w:id="10539" w:name="_Caption4997"/>
      <w:bookmarkStart w:id="10540" w:name="_Caption1878"/>
      <w:bookmarkStart w:id="10541" w:name="_Caption4174"/>
      <w:bookmarkStart w:id="10542" w:name="_Caption0392"/>
      <w:bookmarkStart w:id="10543" w:name="_Caption1114"/>
      <w:bookmarkStart w:id="10544" w:name="_Caption5476"/>
      <w:bookmarkStart w:id="10545" w:name="_Caption8329"/>
      <w:bookmarkStart w:id="10546" w:name="_Caption1484"/>
      <w:bookmarkStart w:id="10547" w:name="_Caption0603"/>
      <w:bookmarkStart w:id="10548" w:name="_Caption7620"/>
      <w:bookmarkStart w:id="10549" w:name="_Caption6409"/>
      <w:bookmarkStart w:id="10550" w:name="_Caption7973"/>
      <w:bookmarkStart w:id="10551" w:name="_Caption5261"/>
      <w:bookmarkStart w:id="10552" w:name="_Caption2014"/>
      <w:bookmarkStart w:id="10553" w:name="_Caption9074"/>
      <w:bookmarkStart w:id="10554" w:name="_Caption5072"/>
      <w:bookmarkStart w:id="10555" w:name="_Caption9625"/>
      <w:bookmarkStart w:id="10556" w:name="_Caption7919"/>
      <w:bookmarkStart w:id="10557" w:name="_Caption0278"/>
      <w:bookmarkStart w:id="10558" w:name="_Caption9363"/>
      <w:bookmarkStart w:id="10559" w:name="_Caption6389"/>
      <w:bookmarkStart w:id="10560" w:name="_Caption8347"/>
      <w:bookmarkStart w:id="10561" w:name="_Caption3745"/>
      <w:bookmarkStart w:id="10562" w:name="_Caption9853"/>
      <w:bookmarkStart w:id="10563" w:name="_Caption9751"/>
      <w:bookmarkStart w:id="10564" w:name="_Caption3907"/>
      <w:bookmarkStart w:id="10565" w:name="_Caption2626"/>
      <w:bookmarkStart w:id="10566" w:name="_Caption0246"/>
      <w:bookmarkStart w:id="10567" w:name="_Caption3831"/>
      <w:bookmarkStart w:id="10568" w:name="_Caption1807"/>
      <w:bookmarkStart w:id="10569" w:name="_Caption5234"/>
      <w:bookmarkStart w:id="10570" w:name="_Caption2634"/>
      <w:bookmarkStart w:id="10571" w:name="_Caption8773"/>
      <w:bookmarkStart w:id="10572" w:name="_Caption0164"/>
      <w:bookmarkStart w:id="10573" w:name="_Caption8982"/>
      <w:bookmarkStart w:id="10574" w:name="_Toc529870037"/>
      <w:bookmarkStart w:id="10575" w:name="_Toc530748533"/>
      <w:r w:rsidR="00EA42ED">
        <w:rPr>
          <w:noProof/>
        </w:rPr>
        <w:t>I</w:t>
      </w:r>
      <w:r w:rsidR="00EA42ED" w:rsidRPr="00BF170C">
        <w:rPr>
          <w:noProof/>
        </w:rPr>
        <w:t>.</w:t>
      </w:r>
      <w:r w:rsidR="00EA42ED">
        <w:rPr>
          <w:noProof/>
        </w:rPr>
        <w:t>23</w:t>
      </w:r>
      <w:bookmarkEnd w:id="10507"/>
      <w:bookmarkEnd w:id="10508"/>
      <w:bookmarkEnd w:id="10509"/>
      <w:bookmarkEnd w:id="10510"/>
      <w:bookmarkEnd w:id="10511"/>
      <w:bookmarkEnd w:id="10512"/>
      <w:bookmarkEnd w:id="10513"/>
      <w:bookmarkEnd w:id="10514"/>
      <w:bookmarkEnd w:id="10515"/>
      <w:bookmarkEnd w:id="10516"/>
      <w:bookmarkEnd w:id="10517"/>
      <w:bookmarkEnd w:id="10518"/>
      <w:bookmarkEnd w:id="10519"/>
      <w:bookmarkEnd w:id="10520"/>
      <w:bookmarkEnd w:id="10521"/>
      <w:bookmarkEnd w:id="10522"/>
      <w:bookmarkEnd w:id="10523"/>
      <w:bookmarkEnd w:id="10524"/>
      <w:bookmarkEnd w:id="10525"/>
      <w:bookmarkEnd w:id="10526"/>
      <w:bookmarkEnd w:id="10527"/>
      <w:bookmarkEnd w:id="10528"/>
      <w:bookmarkEnd w:id="10529"/>
      <w:bookmarkEnd w:id="10530"/>
      <w:bookmarkEnd w:id="10531"/>
      <w:bookmarkEnd w:id="10532"/>
      <w:bookmarkEnd w:id="10533"/>
      <w:bookmarkEnd w:id="10534"/>
      <w:bookmarkEnd w:id="10535"/>
      <w:bookmarkEnd w:id="10536"/>
      <w:bookmarkEnd w:id="10537"/>
      <w:bookmarkEnd w:id="10538"/>
      <w:bookmarkEnd w:id="10539"/>
      <w:bookmarkEnd w:id="10540"/>
      <w:bookmarkEnd w:id="10541"/>
      <w:bookmarkEnd w:id="10542"/>
      <w:bookmarkEnd w:id="10543"/>
      <w:bookmarkEnd w:id="10544"/>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bookmarkEnd w:id="10558"/>
      <w:bookmarkEnd w:id="10559"/>
      <w:bookmarkEnd w:id="10560"/>
      <w:bookmarkEnd w:id="10561"/>
      <w:bookmarkEnd w:id="10562"/>
      <w:bookmarkEnd w:id="10563"/>
      <w:bookmarkEnd w:id="10564"/>
      <w:bookmarkEnd w:id="10565"/>
      <w:bookmarkEnd w:id="10566"/>
      <w:bookmarkEnd w:id="10567"/>
      <w:bookmarkEnd w:id="10568"/>
      <w:bookmarkEnd w:id="10569"/>
      <w:bookmarkEnd w:id="10570"/>
      <w:bookmarkEnd w:id="10571"/>
      <w:bookmarkEnd w:id="10572"/>
      <w:bookmarkEnd w:id="10573"/>
      <w:r w:rsidRPr="00BF170C">
        <w:fldChar w:fldCharType="end"/>
      </w:r>
      <w:r w:rsidRPr="00BF170C">
        <w:tab/>
        <w:t>Net benefits to Northern Territory — medium realisation scenario</w:t>
      </w:r>
      <w:bookmarkEnd w:id="10574"/>
      <w:bookmarkEnd w:id="10575"/>
    </w:p>
    <w:tbl>
      <w:tblPr>
        <w:tblW w:w="7937" w:type="dxa"/>
        <w:tblLayout w:type="fixed"/>
        <w:tblLook w:val="0000" w:firstRow="0" w:lastRow="0" w:firstColumn="0" w:lastColumn="0" w:noHBand="0" w:noVBand="0"/>
        <w:tblCaption w:val="Table I.23: Net benefits to Northern Territory - medium realisation scenario"/>
        <w:tblDescription w:val="This table shows the net benefits under a medium realisation scenario of the proposed changes to NCC 2019 in Northern Territory. "/>
      </w:tblPr>
      <w:tblGrid>
        <w:gridCol w:w="2456"/>
        <w:gridCol w:w="783"/>
        <w:gridCol w:w="783"/>
        <w:gridCol w:w="783"/>
        <w:gridCol w:w="783"/>
        <w:gridCol w:w="783"/>
        <w:gridCol w:w="783"/>
        <w:gridCol w:w="783"/>
      </w:tblGrid>
      <w:tr w:rsidR="00612FD3" w:rsidTr="00301B6D">
        <w:trPr>
          <w:trHeight w:val="230"/>
          <w:tblHeader/>
        </w:trPr>
        <w:tc>
          <w:tcPr>
            <w:tcW w:w="2456" w:type="dxa"/>
            <w:shd w:val="clear" w:color="auto" w:fill="6F6652"/>
            <w:tcMar>
              <w:left w:w="57" w:type="dxa"/>
              <w:right w:w="57" w:type="dxa"/>
            </w:tcMar>
          </w:tcPr>
          <w:p w:rsidR="00612FD3" w:rsidRDefault="00612FD3" w:rsidP="00301B6D">
            <w:pPr>
              <w:pStyle w:val="TableDataColumnHeading"/>
              <w:jc w:val="left"/>
              <w:rPr>
                <w:lang w:val="en-GB"/>
              </w:rPr>
            </w:pP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CZ1</w:t>
            </w: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CZ2</w:t>
            </w: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CZ3</w:t>
            </w: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CZ4</w:t>
            </w: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CZ5</w:t>
            </w: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CZ6</w:t>
            </w: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CZ7</w:t>
            </w:r>
          </w:p>
        </w:tc>
      </w:tr>
      <w:tr w:rsidR="00612FD3" w:rsidTr="00301B6D">
        <w:trPr>
          <w:trHeight w:val="230"/>
          <w:tblHeader/>
        </w:trPr>
        <w:tc>
          <w:tcPr>
            <w:tcW w:w="2456"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jc w:val="left"/>
              <w:rPr>
                <w:lang w:val="en-GB"/>
              </w:rPr>
            </w:pP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r>
      <w:tr w:rsidR="00612FD3" w:rsidTr="00301B6D">
        <w:trPr>
          <w:trHeight w:val="230"/>
        </w:trPr>
        <w:tc>
          <w:tcPr>
            <w:tcW w:w="245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r>
              <w:rPr>
                <w:lang w:val="en-GB"/>
              </w:rPr>
              <w:t>Hotels</w:t>
            </w: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22.23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36.17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0.00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0.09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Private costs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10.26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0.97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BF170C" w:rsidRDefault="00BF170C" w:rsidP="00BF170C">
            <w:pPr>
              <w:pStyle w:val="TableDataEntries"/>
              <w:jc w:val="left"/>
              <w:rPr>
                <w:lang w:val="en-GB"/>
              </w:rPr>
            </w:pPr>
            <w:r>
              <w:rPr>
                <w:lang w:val="en-GB"/>
              </w:rPr>
              <w:t>Net private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xml:space="preserve"> 32.48</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xml:space="preserve"> 37.22</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5.74</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9.33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0.00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0.02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RPr="00BF170C"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BF170C" w:rsidRPr="00BF170C" w:rsidRDefault="00BF170C" w:rsidP="00BF170C">
            <w:pPr>
              <w:pStyle w:val="TableDataEntries"/>
              <w:jc w:val="left"/>
              <w:rPr>
                <w:rFonts w:ascii="Franklin Gothic Demi" w:hAnsi="Franklin Gothic Demi"/>
                <w:lang w:val="en-GB"/>
              </w:rPr>
            </w:pPr>
            <w:r w:rsidRPr="00BF170C">
              <w:rPr>
                <w:rFonts w:ascii="Franklin Gothic Demi" w:hAnsi="Franklin Gothic Demi"/>
                <w:lang w:val="en-GB"/>
              </w:rPr>
              <w:t>Net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38.22</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46.58</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BF170C" w:rsidRDefault="00BF170C" w:rsidP="00BF170C">
            <w:pPr>
              <w:pStyle w:val="TableHeading1"/>
              <w:rPr>
                <w:lang w:val="en-GB"/>
              </w:rPr>
            </w:pPr>
            <w:r>
              <w:rPr>
                <w:lang w:val="en-GB"/>
              </w:rPr>
              <w:t>Office building</w:t>
            </w: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14.57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0.00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Private costs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- 9.71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BF170C" w:rsidRDefault="00BF170C" w:rsidP="00BF170C">
            <w:pPr>
              <w:pStyle w:val="TableDataEntries"/>
              <w:jc w:val="left"/>
              <w:rPr>
                <w:lang w:val="en-GB"/>
              </w:rPr>
            </w:pPr>
            <w:r>
              <w:rPr>
                <w:lang w:val="en-GB"/>
              </w:rPr>
              <w:t>Net private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xml:space="preserve"> 4.86</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3.76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0.00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RPr="00BF170C"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BF170C" w:rsidRPr="00BF170C" w:rsidRDefault="00BF170C" w:rsidP="00BF170C">
            <w:pPr>
              <w:pStyle w:val="TableDataEntries"/>
              <w:jc w:val="left"/>
              <w:rPr>
                <w:rFonts w:ascii="Franklin Gothic Demi" w:hAnsi="Franklin Gothic Demi"/>
                <w:lang w:val="en-GB"/>
              </w:rPr>
            </w:pPr>
            <w:r w:rsidRPr="00BF170C">
              <w:rPr>
                <w:rFonts w:ascii="Franklin Gothic Demi" w:hAnsi="Franklin Gothic Demi"/>
                <w:lang w:val="en-GB"/>
              </w:rPr>
              <w:t>Net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8.62</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BF170C" w:rsidRDefault="00BF170C" w:rsidP="00BF170C">
            <w:pPr>
              <w:pStyle w:val="TableHeading1"/>
              <w:rPr>
                <w:lang w:val="en-GB"/>
              </w:rPr>
            </w:pPr>
            <w:r>
              <w:rPr>
                <w:lang w:val="en-GB"/>
              </w:rPr>
              <w:t>Retail</w:t>
            </w: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53.09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55.51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- 0.02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- 1.96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Private costs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- 0.45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- 14.17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BF170C" w:rsidRDefault="00BF170C" w:rsidP="00BF170C">
            <w:pPr>
              <w:pStyle w:val="TableDataEntries"/>
              <w:jc w:val="left"/>
              <w:rPr>
                <w:lang w:val="en-GB"/>
              </w:rPr>
            </w:pPr>
            <w:r>
              <w:rPr>
                <w:lang w:val="en-GB"/>
              </w:rPr>
              <w:t>Net private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xml:space="preserve"> 52.63</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xml:space="preserve"> 39.38</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13.70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14.33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0.00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- 0.46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RPr="00BF170C"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BF170C" w:rsidRPr="00BF170C" w:rsidRDefault="00BF170C" w:rsidP="00BF170C">
            <w:pPr>
              <w:pStyle w:val="TableDataEntries"/>
              <w:jc w:val="left"/>
              <w:rPr>
                <w:rFonts w:ascii="Franklin Gothic Demi" w:hAnsi="Franklin Gothic Demi"/>
                <w:lang w:val="en-GB"/>
              </w:rPr>
            </w:pPr>
            <w:r w:rsidRPr="00BF170C">
              <w:rPr>
                <w:rFonts w:ascii="Franklin Gothic Demi" w:hAnsi="Franklin Gothic Demi"/>
                <w:lang w:val="en-GB"/>
              </w:rPr>
              <w:t>Net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66.33</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53.25</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BF170C" w:rsidRDefault="00BF170C" w:rsidP="00BF170C">
            <w:pPr>
              <w:pStyle w:val="TableHeading1"/>
              <w:rPr>
                <w:lang w:val="en-GB"/>
              </w:rPr>
            </w:pPr>
            <w:r>
              <w:rPr>
                <w:lang w:val="en-GB"/>
              </w:rPr>
              <w:t>Healthcare</w:t>
            </w: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42.89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31.71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- 0.01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0.70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Private costs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- 14.62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- 15.98</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BF170C" w:rsidRDefault="00BF170C" w:rsidP="00BF170C">
            <w:pPr>
              <w:pStyle w:val="TableDataEntries"/>
              <w:jc w:val="left"/>
              <w:rPr>
                <w:lang w:val="en-GB"/>
              </w:rPr>
            </w:pPr>
            <w:r>
              <w:rPr>
                <w:lang w:val="en-GB"/>
              </w:rPr>
              <w:t>Net private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xml:space="preserve"> 28.26</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xml:space="preserve"> 16.43</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11.07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8.19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0.00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0.16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RPr="00BF170C"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BF170C" w:rsidRPr="00BF170C" w:rsidRDefault="00BF170C" w:rsidP="00BF170C">
            <w:pPr>
              <w:pStyle w:val="TableDataEntries"/>
              <w:jc w:val="left"/>
              <w:rPr>
                <w:rFonts w:ascii="Franklin Gothic Demi" w:hAnsi="Franklin Gothic Demi"/>
                <w:lang w:val="en-GB"/>
              </w:rPr>
            </w:pPr>
            <w:r w:rsidRPr="00BF170C">
              <w:rPr>
                <w:rFonts w:ascii="Franklin Gothic Demi" w:hAnsi="Franklin Gothic Demi"/>
                <w:lang w:val="en-GB"/>
              </w:rPr>
              <w:t>Net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39.33</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24.78</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BF170C" w:rsidRDefault="00BF170C" w:rsidP="00BF170C">
            <w:pPr>
              <w:pStyle w:val="TableHeading1"/>
              <w:rPr>
                <w:lang w:val="en-GB"/>
              </w:rPr>
            </w:pPr>
            <w:r>
              <w:rPr>
                <w:lang w:val="en-GB"/>
              </w:rPr>
              <w:t>School</w:t>
            </w: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BF170C" w:rsidRDefault="00BF170C" w:rsidP="00BF170C">
            <w:pPr>
              <w:pStyle w:val="TableDataEntries"/>
              <w:rPr>
                <w:lang w:val="en-GB"/>
              </w:rPr>
            </w:pP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96.52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60.77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Bill savings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0.07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3.05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Private costs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- 5.61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- 12.16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BF170C" w:rsidRDefault="00BF170C" w:rsidP="00BF170C">
            <w:pPr>
              <w:pStyle w:val="TableDataEntries"/>
              <w:jc w:val="left"/>
              <w:rPr>
                <w:lang w:val="en-GB"/>
              </w:rPr>
            </w:pPr>
            <w:r>
              <w:rPr>
                <w:lang w:val="en-GB"/>
              </w:rPr>
              <w:t>Net private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xml:space="preserve"> 90.97</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 xml:space="preserve"> 51.66</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24.91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15.68</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BF170C" w:rsidRDefault="00BF170C" w:rsidP="00BF170C">
            <w:pPr>
              <w:pStyle w:val="TableDataEntries"/>
              <w:jc w:val="left"/>
              <w:rPr>
                <w:lang w:val="en-GB"/>
              </w:rPr>
            </w:pPr>
            <w:r>
              <w:rPr>
                <w:lang w:val="en-GB"/>
              </w:rPr>
              <w:t>Avoided GHG emissions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0.02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 xml:space="preserve"> 0.71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BF170C" w:rsidRDefault="00BF170C" w:rsidP="00BF170C">
            <w:pPr>
              <w:pStyle w:val="TableDataEntries"/>
              <w:rPr>
                <w:lang w:val="en-GB"/>
              </w:rPr>
            </w:pPr>
            <w:r>
              <w:t>n.a.</w:t>
            </w:r>
          </w:p>
        </w:tc>
      </w:tr>
      <w:tr w:rsidR="00BF170C" w:rsidRPr="00BF170C" w:rsidTr="00301B6D">
        <w:trPr>
          <w:trHeight w:val="230"/>
        </w:trPr>
        <w:tc>
          <w:tcPr>
            <w:tcW w:w="2456"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rsidR="00BF170C" w:rsidRPr="00BF170C" w:rsidRDefault="00BF170C" w:rsidP="00BF170C">
            <w:pPr>
              <w:pStyle w:val="TableDataEntries"/>
              <w:jc w:val="left"/>
              <w:rPr>
                <w:rFonts w:ascii="Franklin Gothic Demi" w:hAnsi="Franklin Gothic Demi"/>
                <w:lang w:val="en-GB"/>
              </w:rPr>
            </w:pPr>
            <w:r w:rsidRPr="00BF170C">
              <w:rPr>
                <w:rFonts w:ascii="Franklin Gothic Demi" w:hAnsi="Franklin Gothic Demi"/>
                <w:lang w:val="en-GB"/>
              </w:rPr>
              <w:t>Net benefit/cost</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115.90</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 xml:space="preserve"> 68.05</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BF170C" w:rsidRPr="00BF170C" w:rsidRDefault="00BF170C" w:rsidP="00BF170C">
            <w:pPr>
              <w:pStyle w:val="TableDataEntries"/>
              <w:rPr>
                <w:rFonts w:ascii="Franklin Gothic Demi" w:hAnsi="Franklin Gothic Demi"/>
                <w:lang w:val="en-GB"/>
              </w:rPr>
            </w:pPr>
            <w:r w:rsidRPr="00BF170C">
              <w:rPr>
                <w:rFonts w:ascii="Franklin Gothic Demi" w:hAnsi="Franklin Gothic Demi"/>
              </w:rPr>
              <w:t>n.a.</w:t>
            </w:r>
          </w:p>
        </w:tc>
      </w:tr>
    </w:tbl>
    <w:p w:rsidR="00612FD3" w:rsidRDefault="00612FD3" w:rsidP="00612FD3">
      <w:pPr>
        <w:pStyle w:val="Note"/>
        <w:rPr>
          <w:lang w:bidi="fa-IR"/>
        </w:rPr>
      </w:pPr>
      <w:r w:rsidRPr="007D1B4F">
        <w:rPr>
          <w:i/>
        </w:rPr>
        <w:t>Note:</w:t>
      </w:r>
      <w:r w:rsidRPr="00E879B8">
        <w:t xml:space="preserve"> </w:t>
      </w:r>
      <w:r>
        <w:t>Costs and benefits are estimated over the assumed 40 year life of the building, using a discount rate of 7 per cent.</w:t>
      </w:r>
    </w:p>
    <w:p w:rsidR="00612FD3" w:rsidRDefault="00612FD3" w:rsidP="00612FD3">
      <w:pPr>
        <w:pStyle w:val="Source"/>
        <w:rPr>
          <w:lang w:bidi="fa-IR"/>
        </w:rPr>
      </w:pPr>
      <w:r w:rsidRPr="00C6138D">
        <w:rPr>
          <w:i/>
          <w:lang w:bidi="fa-IR"/>
        </w:rPr>
        <w:t>Source:</w:t>
      </w:r>
      <w:r>
        <w:rPr>
          <w:lang w:bidi="fa-IR"/>
        </w:rPr>
        <w:t xml:space="preserve"> CIE based on </w:t>
      </w:r>
      <w:r w:rsidR="00EB5964">
        <w:rPr>
          <w:lang w:bidi="fa-IR"/>
        </w:rPr>
        <w:t>EA</w:t>
      </w:r>
      <w:r>
        <w:rPr>
          <w:lang w:bidi="fa-IR"/>
        </w:rPr>
        <w:t xml:space="preserve"> modelling.</w:t>
      </w:r>
    </w:p>
    <w:p w:rsidR="00D364DA" w:rsidRDefault="00D364DA" w:rsidP="00612FD3">
      <w:pPr>
        <w:pStyle w:val="Caption"/>
      </w:pPr>
      <w:r>
        <w:br w:type="page"/>
      </w:r>
    </w:p>
    <w:p w:rsidR="00612FD3" w:rsidRDefault="00612FD3" w:rsidP="00612FD3">
      <w:pPr>
        <w:pStyle w:val="Caption"/>
      </w:pPr>
      <w:r w:rsidRPr="005206C5">
        <w:fldChar w:fldCharType="begin"/>
      </w:r>
      <w:r w:rsidRPr="005206C5">
        <w:instrText xml:space="preserve"> IF 1 = 1 "</w:instrText>
      </w:r>
      <w:r w:rsidRPr="005206C5">
        <w:fldChar w:fldCharType="begin"/>
      </w:r>
      <w:r w:rsidRPr="005206C5">
        <w:instrText xml:space="preserve"> IF </w:instrText>
      </w:r>
      <w:r w:rsidRPr="005206C5">
        <w:rPr>
          <w:noProof/>
        </w:rPr>
        <w:fldChar w:fldCharType="begin"/>
      </w:r>
      <w:r w:rsidRPr="005206C5">
        <w:rPr>
          <w:noProof/>
        </w:rPr>
        <w:instrText xml:space="preserve"> STYLEREF "Heading 6" \l \n </w:instrText>
      </w:r>
      <w:r w:rsidRPr="005206C5">
        <w:rPr>
          <w:noProof/>
        </w:rPr>
        <w:fldChar w:fldCharType="separate"/>
      </w:r>
      <w:r w:rsidR="006B79B8">
        <w:rPr>
          <w:noProof/>
        </w:rPr>
        <w:instrText>I</w:instrText>
      </w:r>
      <w:r w:rsidRPr="005206C5">
        <w:rPr>
          <w:noProof/>
        </w:rPr>
        <w:fldChar w:fldCharType="end"/>
      </w:r>
      <w:r w:rsidRPr="005206C5">
        <w:instrText xml:space="preserve"> = 0 "</w:instrText>
      </w:r>
      <w:r w:rsidRPr="005206C5">
        <w:fldChar w:fldCharType="begin"/>
      </w:r>
      <w:r w:rsidRPr="005206C5">
        <w:instrText xml:space="preserve"> IF </w:instrText>
      </w:r>
      <w:r w:rsidRPr="005206C5">
        <w:rPr>
          <w:noProof/>
        </w:rPr>
        <w:fldChar w:fldCharType="begin"/>
      </w:r>
      <w:r w:rsidRPr="005206C5">
        <w:rPr>
          <w:noProof/>
        </w:rPr>
        <w:instrText xml:space="preserve"> STYLEREF "Heading 1" \l \n </w:instrText>
      </w:r>
      <w:r w:rsidRPr="005206C5">
        <w:rPr>
          <w:noProof/>
        </w:rPr>
        <w:fldChar w:fldCharType="separate"/>
      </w:r>
      <w:r w:rsidRPr="005206C5">
        <w:rPr>
          <w:noProof/>
        </w:rPr>
        <w:instrText>1</w:instrText>
      </w:r>
      <w:r w:rsidRPr="005206C5">
        <w:rPr>
          <w:noProof/>
        </w:rPr>
        <w:fldChar w:fldCharType="end"/>
      </w:r>
      <w:r w:rsidRPr="005206C5">
        <w:instrText xml:space="preserve"> = 0 "" "</w:instrText>
      </w:r>
      <w:r w:rsidRPr="005206C5">
        <w:rPr>
          <w:noProof/>
        </w:rPr>
        <w:fldChar w:fldCharType="begin"/>
      </w:r>
      <w:r w:rsidRPr="005206C5">
        <w:rPr>
          <w:noProof/>
        </w:rPr>
        <w:instrText xml:space="preserve"> STYLEREF "Heading 1" \l \n </w:instrText>
      </w:r>
      <w:r w:rsidRPr="005206C5">
        <w:rPr>
          <w:noProof/>
        </w:rPr>
        <w:fldChar w:fldCharType="separate"/>
      </w:r>
      <w:r w:rsidRPr="005206C5">
        <w:rPr>
          <w:noProof/>
        </w:rPr>
        <w:instrText>1</w:instrText>
      </w:r>
      <w:r w:rsidRPr="005206C5">
        <w:rPr>
          <w:noProof/>
        </w:rPr>
        <w:fldChar w:fldCharType="end"/>
      </w:r>
      <w:r w:rsidRPr="005206C5">
        <w:instrText xml:space="preserve">." </w:instrText>
      </w:r>
      <w:r w:rsidRPr="005206C5">
        <w:fldChar w:fldCharType="separate"/>
      </w:r>
      <w:r w:rsidRPr="005206C5">
        <w:rPr>
          <w:noProof/>
        </w:rPr>
        <w:instrText>1.</w:instrText>
      </w:r>
      <w:r w:rsidRPr="005206C5">
        <w:fldChar w:fldCharType="end"/>
      </w:r>
      <w:r w:rsidRPr="005206C5">
        <w:instrText>" "</w:instrText>
      </w:r>
      <w:r w:rsidRPr="005206C5">
        <w:rPr>
          <w:noProof/>
        </w:rPr>
        <w:fldChar w:fldCharType="begin"/>
      </w:r>
      <w:r w:rsidRPr="005206C5">
        <w:rPr>
          <w:noProof/>
        </w:rPr>
        <w:instrText xml:space="preserve"> STYLEREF "Heading 6" \l \n </w:instrText>
      </w:r>
      <w:r w:rsidRPr="005206C5">
        <w:rPr>
          <w:noProof/>
        </w:rPr>
        <w:fldChar w:fldCharType="separate"/>
      </w:r>
      <w:r w:rsidR="006B79B8">
        <w:rPr>
          <w:noProof/>
        </w:rPr>
        <w:instrText>I</w:instrText>
      </w:r>
      <w:r w:rsidRPr="005206C5">
        <w:rPr>
          <w:noProof/>
        </w:rPr>
        <w:fldChar w:fldCharType="end"/>
      </w:r>
      <w:r w:rsidRPr="005206C5">
        <w:instrText xml:space="preserve">." </w:instrText>
      </w:r>
      <w:r w:rsidRPr="005206C5">
        <w:fldChar w:fldCharType="separate"/>
      </w:r>
      <w:r w:rsidR="006B79B8">
        <w:rPr>
          <w:noProof/>
        </w:rPr>
        <w:instrText>I</w:instrText>
      </w:r>
      <w:r w:rsidR="006B79B8" w:rsidRPr="005206C5">
        <w:rPr>
          <w:noProof/>
        </w:rPr>
        <w:instrText>.</w:instrText>
      </w:r>
      <w:r w:rsidRPr="005206C5">
        <w:fldChar w:fldCharType="end"/>
      </w:r>
      <w:r w:rsidRPr="005206C5">
        <w:fldChar w:fldCharType="begin"/>
      </w:r>
      <w:r w:rsidRPr="005206C5">
        <w:instrText xml:space="preserve"> SEQ Item \* ARABIC \s </w:instrText>
      </w:r>
      <w:r w:rsidRPr="005206C5">
        <w:fldChar w:fldCharType="begin"/>
      </w:r>
      <w:r w:rsidRPr="005206C5">
        <w:instrText xml:space="preserve"> IF </w:instrText>
      </w:r>
      <w:r w:rsidRPr="005206C5">
        <w:rPr>
          <w:noProof/>
        </w:rPr>
        <w:fldChar w:fldCharType="begin"/>
      </w:r>
      <w:r w:rsidRPr="005206C5">
        <w:rPr>
          <w:noProof/>
        </w:rPr>
        <w:instrText xml:space="preserve"> STYLEREF "Heading 6" \l \n </w:instrText>
      </w:r>
      <w:r w:rsidRPr="005206C5">
        <w:rPr>
          <w:noProof/>
        </w:rPr>
        <w:fldChar w:fldCharType="separate"/>
      </w:r>
      <w:r w:rsidR="006B79B8">
        <w:rPr>
          <w:noProof/>
        </w:rPr>
        <w:instrText>I</w:instrText>
      </w:r>
      <w:r w:rsidRPr="005206C5">
        <w:rPr>
          <w:noProof/>
        </w:rPr>
        <w:fldChar w:fldCharType="end"/>
      </w:r>
      <w:r w:rsidRPr="005206C5">
        <w:instrText xml:space="preserve"> = 0 "</w:instrText>
      </w:r>
      <w:r w:rsidRPr="005206C5">
        <w:fldChar w:fldCharType="begin"/>
      </w:r>
      <w:r w:rsidRPr="005206C5">
        <w:instrText xml:space="preserve"> IF </w:instrText>
      </w:r>
      <w:r w:rsidRPr="005206C5">
        <w:rPr>
          <w:noProof/>
        </w:rPr>
        <w:fldChar w:fldCharType="begin"/>
      </w:r>
      <w:r w:rsidRPr="005206C5">
        <w:rPr>
          <w:noProof/>
        </w:rPr>
        <w:instrText xml:space="preserve"> STYLEREF "Heading 1" \l \n </w:instrText>
      </w:r>
      <w:r w:rsidRPr="005206C5">
        <w:rPr>
          <w:noProof/>
        </w:rPr>
        <w:fldChar w:fldCharType="separate"/>
      </w:r>
      <w:r w:rsidRPr="005206C5">
        <w:rPr>
          <w:noProof/>
        </w:rPr>
        <w:instrText>1</w:instrText>
      </w:r>
      <w:r w:rsidRPr="005206C5">
        <w:rPr>
          <w:noProof/>
        </w:rPr>
        <w:fldChar w:fldCharType="end"/>
      </w:r>
      <w:r w:rsidRPr="005206C5">
        <w:instrText xml:space="preserve"> = 0 "" "1" </w:instrText>
      </w:r>
      <w:r w:rsidRPr="005206C5">
        <w:fldChar w:fldCharType="separate"/>
      </w:r>
      <w:r w:rsidRPr="005206C5">
        <w:rPr>
          <w:noProof/>
        </w:rPr>
        <w:instrText>1</w:instrText>
      </w:r>
      <w:r w:rsidRPr="005206C5">
        <w:fldChar w:fldCharType="end"/>
      </w:r>
      <w:r w:rsidRPr="005206C5">
        <w:instrText xml:space="preserve">" "6" </w:instrText>
      </w:r>
      <w:r w:rsidRPr="005206C5">
        <w:fldChar w:fldCharType="separate"/>
      </w:r>
      <w:r w:rsidR="006B79B8" w:rsidRPr="005206C5">
        <w:rPr>
          <w:noProof/>
        </w:rPr>
        <w:instrText>6</w:instrText>
      </w:r>
      <w:r w:rsidRPr="005206C5">
        <w:fldChar w:fldCharType="end"/>
      </w:r>
      <w:r w:rsidRPr="005206C5">
        <w:instrText xml:space="preserve"> </w:instrText>
      </w:r>
      <w:r w:rsidRPr="005206C5">
        <w:fldChar w:fldCharType="separate"/>
      </w:r>
      <w:r w:rsidR="006B79B8">
        <w:rPr>
          <w:noProof/>
        </w:rPr>
        <w:instrText>24</w:instrText>
      </w:r>
      <w:r w:rsidRPr="005206C5">
        <w:fldChar w:fldCharType="end"/>
      </w:r>
      <w:r w:rsidRPr="005206C5">
        <w:instrText xml:space="preserve">" "" </w:instrText>
      </w:r>
      <w:r w:rsidRPr="005206C5">
        <w:fldChar w:fldCharType="separate"/>
      </w:r>
      <w:bookmarkStart w:id="10576" w:name="_Caption3492"/>
      <w:bookmarkStart w:id="10577" w:name="_Caption3077"/>
      <w:bookmarkStart w:id="10578" w:name="_Caption7139"/>
      <w:bookmarkStart w:id="10579" w:name="_Caption8074"/>
      <w:bookmarkStart w:id="10580" w:name="_Caption7525"/>
      <w:bookmarkStart w:id="10581" w:name="_Caption5930"/>
      <w:bookmarkStart w:id="10582" w:name="_Caption4816"/>
      <w:bookmarkStart w:id="10583" w:name="_Caption3602"/>
      <w:bookmarkStart w:id="10584" w:name="_Caption9597"/>
      <w:bookmarkStart w:id="10585" w:name="_Caption1100"/>
      <w:bookmarkStart w:id="10586" w:name="_Caption9561"/>
      <w:bookmarkStart w:id="10587" w:name="_Caption0974"/>
      <w:bookmarkStart w:id="10588" w:name="_Caption6544"/>
      <w:bookmarkStart w:id="10589" w:name="_Caption0532"/>
      <w:bookmarkStart w:id="10590" w:name="_Caption4800"/>
      <w:bookmarkStart w:id="10591" w:name="_Caption6024"/>
      <w:bookmarkStart w:id="10592" w:name="_Caption5178"/>
      <w:bookmarkStart w:id="10593" w:name="_Caption9608"/>
      <w:bookmarkStart w:id="10594" w:name="_Caption8160"/>
      <w:bookmarkStart w:id="10595" w:name="_Caption5470"/>
      <w:bookmarkStart w:id="10596" w:name="_Caption1067"/>
      <w:bookmarkStart w:id="10597" w:name="_Caption1628"/>
      <w:bookmarkStart w:id="10598" w:name="_Caption3183"/>
      <w:bookmarkStart w:id="10599" w:name="_Caption3522"/>
      <w:bookmarkStart w:id="10600" w:name="_Caption8324"/>
      <w:bookmarkStart w:id="10601" w:name="_Caption5390"/>
      <w:bookmarkStart w:id="10602" w:name="_Caption3871"/>
      <w:bookmarkStart w:id="10603" w:name="_Caption6047"/>
      <w:bookmarkStart w:id="10604" w:name="_Caption5495"/>
      <w:bookmarkStart w:id="10605" w:name="_Caption8088"/>
      <w:bookmarkStart w:id="10606" w:name="_Caption5048"/>
      <w:bookmarkStart w:id="10607" w:name="_Caption8652"/>
      <w:bookmarkStart w:id="10608" w:name="_Caption4030"/>
      <w:bookmarkStart w:id="10609" w:name="_Caption2706"/>
      <w:bookmarkStart w:id="10610" w:name="_Caption3120"/>
      <w:bookmarkStart w:id="10611" w:name="_Caption9877"/>
      <w:bookmarkStart w:id="10612" w:name="_Caption4840"/>
      <w:bookmarkStart w:id="10613" w:name="_Caption7622"/>
      <w:bookmarkStart w:id="10614" w:name="_Caption3390"/>
      <w:bookmarkStart w:id="10615" w:name="_Caption9304"/>
      <w:bookmarkStart w:id="10616" w:name="_Caption1160"/>
      <w:bookmarkStart w:id="10617" w:name="_Caption6387"/>
      <w:bookmarkStart w:id="10618" w:name="_Caption2338"/>
      <w:bookmarkStart w:id="10619" w:name="_Caption5040"/>
      <w:bookmarkStart w:id="10620" w:name="_Caption8637"/>
      <w:bookmarkStart w:id="10621" w:name="_Caption2644"/>
      <w:bookmarkStart w:id="10622" w:name="_Caption6320"/>
      <w:bookmarkStart w:id="10623" w:name="_Caption4787"/>
      <w:bookmarkStart w:id="10624" w:name="_Caption2748"/>
      <w:bookmarkStart w:id="10625" w:name="_Caption4288"/>
      <w:bookmarkStart w:id="10626" w:name="_Caption8604"/>
      <w:bookmarkStart w:id="10627" w:name="_Caption7084"/>
      <w:bookmarkStart w:id="10628" w:name="_Caption2781"/>
      <w:bookmarkStart w:id="10629" w:name="_Caption6798"/>
      <w:bookmarkStart w:id="10630" w:name="_Caption7466"/>
      <w:bookmarkStart w:id="10631" w:name="_Caption2206"/>
      <w:bookmarkStart w:id="10632" w:name="_Caption2762"/>
      <w:bookmarkStart w:id="10633" w:name="_Caption8896"/>
      <w:bookmarkStart w:id="10634" w:name="_Caption0388"/>
      <w:bookmarkStart w:id="10635" w:name="_Caption1442"/>
      <w:bookmarkStart w:id="10636" w:name="_Caption2410"/>
      <w:bookmarkStart w:id="10637" w:name="_Caption9215"/>
      <w:bookmarkStart w:id="10638" w:name="_Caption6267"/>
      <w:bookmarkStart w:id="10639" w:name="_Caption0650"/>
      <w:bookmarkStart w:id="10640" w:name="_Caption3539"/>
      <w:bookmarkStart w:id="10641" w:name="_Caption7540"/>
      <w:bookmarkStart w:id="10642" w:name="_Caption8051"/>
      <w:bookmarkStart w:id="10643" w:name="_Toc529870038"/>
      <w:bookmarkStart w:id="10644" w:name="_Toc530748534"/>
      <w:r w:rsidR="006B79B8">
        <w:rPr>
          <w:noProof/>
        </w:rPr>
        <w:t>I</w:t>
      </w:r>
      <w:r w:rsidR="006B79B8" w:rsidRPr="005206C5">
        <w:rPr>
          <w:noProof/>
        </w:rPr>
        <w:t>.</w:t>
      </w:r>
      <w:r w:rsidR="006B79B8">
        <w:rPr>
          <w:noProof/>
        </w:rPr>
        <w:t>24</w:t>
      </w:r>
      <w:bookmarkEnd w:id="10576"/>
      <w:bookmarkEnd w:id="10577"/>
      <w:bookmarkEnd w:id="10578"/>
      <w:bookmarkEnd w:id="10579"/>
      <w:bookmarkEnd w:id="10580"/>
      <w:bookmarkEnd w:id="10581"/>
      <w:bookmarkEnd w:id="10582"/>
      <w:bookmarkEnd w:id="10583"/>
      <w:bookmarkEnd w:id="10584"/>
      <w:bookmarkEnd w:id="10585"/>
      <w:bookmarkEnd w:id="10586"/>
      <w:bookmarkEnd w:id="10587"/>
      <w:bookmarkEnd w:id="10588"/>
      <w:bookmarkEnd w:id="10589"/>
      <w:bookmarkEnd w:id="10590"/>
      <w:bookmarkEnd w:id="10591"/>
      <w:bookmarkEnd w:id="10592"/>
      <w:bookmarkEnd w:id="10593"/>
      <w:bookmarkEnd w:id="10594"/>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bookmarkEnd w:id="10608"/>
      <w:bookmarkEnd w:id="10609"/>
      <w:bookmarkEnd w:id="10610"/>
      <w:bookmarkEnd w:id="10611"/>
      <w:bookmarkEnd w:id="10612"/>
      <w:bookmarkEnd w:id="10613"/>
      <w:bookmarkEnd w:id="10614"/>
      <w:bookmarkEnd w:id="10615"/>
      <w:bookmarkEnd w:id="10616"/>
      <w:bookmarkEnd w:id="10617"/>
      <w:bookmarkEnd w:id="10618"/>
      <w:bookmarkEnd w:id="10619"/>
      <w:bookmarkEnd w:id="10620"/>
      <w:bookmarkEnd w:id="10621"/>
      <w:bookmarkEnd w:id="10622"/>
      <w:bookmarkEnd w:id="10623"/>
      <w:bookmarkEnd w:id="10624"/>
      <w:bookmarkEnd w:id="10625"/>
      <w:bookmarkEnd w:id="10626"/>
      <w:bookmarkEnd w:id="10627"/>
      <w:bookmarkEnd w:id="10628"/>
      <w:bookmarkEnd w:id="10629"/>
      <w:bookmarkEnd w:id="10630"/>
      <w:bookmarkEnd w:id="10631"/>
      <w:bookmarkEnd w:id="10632"/>
      <w:bookmarkEnd w:id="10633"/>
      <w:bookmarkEnd w:id="10634"/>
      <w:bookmarkEnd w:id="10635"/>
      <w:bookmarkEnd w:id="10636"/>
      <w:bookmarkEnd w:id="10637"/>
      <w:bookmarkEnd w:id="10638"/>
      <w:bookmarkEnd w:id="10639"/>
      <w:bookmarkEnd w:id="10640"/>
      <w:bookmarkEnd w:id="10641"/>
      <w:bookmarkEnd w:id="10642"/>
      <w:r w:rsidRPr="005206C5">
        <w:fldChar w:fldCharType="end"/>
      </w:r>
      <w:r w:rsidRPr="005206C5">
        <w:tab/>
        <w:t>Net benefits to Northern Territory — high realisation scenario</w:t>
      </w:r>
      <w:bookmarkEnd w:id="10643"/>
      <w:bookmarkEnd w:id="10644"/>
    </w:p>
    <w:tbl>
      <w:tblPr>
        <w:tblW w:w="7937" w:type="dxa"/>
        <w:tblLayout w:type="fixed"/>
        <w:tblLook w:val="0000" w:firstRow="0" w:lastRow="0" w:firstColumn="0" w:lastColumn="0" w:noHBand="0" w:noVBand="0"/>
        <w:tblCaption w:val="Table I.24: Net benefits to Northern Territory- high realisation scenario"/>
        <w:tblDescription w:val="This table shows the net benefits under a high realisation scenario of the proposed changes to NCC 2019 in Northern Territory. "/>
      </w:tblPr>
      <w:tblGrid>
        <w:gridCol w:w="2456"/>
        <w:gridCol w:w="783"/>
        <w:gridCol w:w="783"/>
        <w:gridCol w:w="783"/>
        <w:gridCol w:w="783"/>
        <w:gridCol w:w="783"/>
        <w:gridCol w:w="783"/>
        <w:gridCol w:w="783"/>
      </w:tblGrid>
      <w:tr w:rsidR="00612FD3" w:rsidTr="00301B6D">
        <w:trPr>
          <w:trHeight w:val="230"/>
          <w:tblHeader/>
        </w:trPr>
        <w:tc>
          <w:tcPr>
            <w:tcW w:w="2456" w:type="dxa"/>
            <w:shd w:val="clear" w:color="auto" w:fill="6F6652"/>
            <w:tcMar>
              <w:left w:w="57" w:type="dxa"/>
              <w:right w:w="57" w:type="dxa"/>
            </w:tcMar>
          </w:tcPr>
          <w:p w:rsidR="00612FD3" w:rsidRDefault="00612FD3" w:rsidP="00301B6D">
            <w:pPr>
              <w:pStyle w:val="TableDataColumnHeading"/>
              <w:jc w:val="left"/>
              <w:rPr>
                <w:lang w:val="en-GB"/>
              </w:rPr>
            </w:pP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CZ1</w:t>
            </w: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CZ2</w:t>
            </w: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CZ3</w:t>
            </w: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CZ4</w:t>
            </w: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CZ5</w:t>
            </w: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CZ6</w:t>
            </w:r>
          </w:p>
        </w:tc>
        <w:tc>
          <w:tcPr>
            <w:tcW w:w="783" w:type="dxa"/>
            <w:shd w:val="clear" w:color="auto" w:fill="6F6652"/>
            <w:tcMar>
              <w:left w:w="57" w:type="dxa"/>
              <w:right w:w="57" w:type="dxa"/>
            </w:tcMar>
          </w:tcPr>
          <w:p w:rsidR="00612FD3" w:rsidRDefault="00612FD3" w:rsidP="00301B6D">
            <w:pPr>
              <w:pStyle w:val="TableDataColumnHeading"/>
              <w:rPr>
                <w:lang w:val="en-GB"/>
              </w:rPr>
            </w:pPr>
            <w:r>
              <w:rPr>
                <w:lang w:val="en-GB"/>
              </w:rPr>
              <w:t>CZ7</w:t>
            </w:r>
          </w:p>
        </w:tc>
      </w:tr>
      <w:tr w:rsidR="00612FD3" w:rsidTr="00301B6D">
        <w:trPr>
          <w:trHeight w:val="230"/>
          <w:tblHeader/>
        </w:trPr>
        <w:tc>
          <w:tcPr>
            <w:tcW w:w="2456"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jc w:val="left"/>
              <w:rPr>
                <w:lang w:val="en-GB"/>
              </w:rPr>
            </w:pP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c>
          <w:tcPr>
            <w:tcW w:w="783" w:type="dxa"/>
            <w:tcBorders>
              <w:bottom w:val="single" w:sz="8" w:space="0" w:color="FFFFFF" w:themeColor="background1"/>
            </w:tcBorders>
            <w:shd w:val="clear" w:color="auto" w:fill="auto"/>
            <w:tcMar>
              <w:left w:w="57" w:type="dxa"/>
              <w:right w:w="57" w:type="dxa"/>
            </w:tcMar>
          </w:tcPr>
          <w:p w:rsidR="00612FD3" w:rsidRDefault="00612FD3" w:rsidP="00301B6D">
            <w:pPr>
              <w:pStyle w:val="TableUnit"/>
              <w:rPr>
                <w:lang w:val="en-GB"/>
              </w:rPr>
            </w:pPr>
            <w:r>
              <w:rPr>
                <w:lang w:val="en-GB"/>
              </w:rPr>
              <w:t>$ per m</w:t>
            </w:r>
            <w:r w:rsidRPr="00C207CA">
              <w:rPr>
                <w:vertAlign w:val="superscript"/>
                <w:lang w:val="en-GB"/>
              </w:rPr>
              <w:t>2</w:t>
            </w:r>
          </w:p>
        </w:tc>
      </w:tr>
      <w:tr w:rsidR="00612FD3" w:rsidTr="00301B6D">
        <w:trPr>
          <w:trHeight w:val="230"/>
        </w:trPr>
        <w:tc>
          <w:tcPr>
            <w:tcW w:w="245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r>
              <w:rPr>
                <w:lang w:val="en-GB"/>
              </w:rPr>
              <w:t>Hotels</w:t>
            </w: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612FD3" w:rsidRDefault="00612FD3" w:rsidP="00301B6D">
            <w:pPr>
              <w:pStyle w:val="TableHeading1"/>
              <w:rPr>
                <w:lang w:val="en-GB"/>
              </w:rPr>
            </w:pPr>
          </w:p>
        </w:tc>
      </w:tr>
      <w:tr w:rsidR="005206C5"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5206C5" w:rsidRDefault="005206C5" w:rsidP="005206C5">
            <w:pPr>
              <w:pStyle w:val="TableDataEntries"/>
              <w:jc w:val="left"/>
              <w:rPr>
                <w:lang w:val="en-GB"/>
              </w:rPr>
            </w:pPr>
            <w:r>
              <w:rPr>
                <w:lang w:val="en-GB"/>
              </w:rPr>
              <w:t>Bill savings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 xml:space="preserve"> 29.63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 xml:space="preserve"> 48.22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n.a.</w:t>
            </w:r>
          </w:p>
        </w:tc>
      </w:tr>
      <w:tr w:rsidR="005206C5"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5206C5" w:rsidRDefault="005206C5" w:rsidP="005206C5">
            <w:pPr>
              <w:pStyle w:val="TableDataEntries"/>
              <w:jc w:val="left"/>
              <w:rPr>
                <w:lang w:val="en-GB"/>
              </w:rPr>
            </w:pPr>
            <w:r>
              <w:rPr>
                <w:lang w:val="en-GB"/>
              </w:rPr>
              <w:t>Bill savings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 xml:space="preserve"> 0.00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 xml:space="preserve"> 0.12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n.a.</w:t>
            </w:r>
          </w:p>
        </w:tc>
      </w:tr>
      <w:tr w:rsidR="005206C5"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5206C5" w:rsidRDefault="005206C5" w:rsidP="005206C5">
            <w:pPr>
              <w:pStyle w:val="TableDataEntries"/>
              <w:jc w:val="left"/>
              <w:rPr>
                <w:lang w:val="en-GB"/>
              </w:rPr>
            </w:pPr>
            <w:r>
              <w:rPr>
                <w:lang w:val="en-GB"/>
              </w:rPr>
              <w:t>Private costs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 xml:space="preserve"> 10.26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 xml:space="preserve"> 0.97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n.a.</w:t>
            </w:r>
          </w:p>
        </w:tc>
      </w:tr>
      <w:tr w:rsidR="005206C5"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5206C5" w:rsidRDefault="005206C5" w:rsidP="005206C5">
            <w:pPr>
              <w:pStyle w:val="TableDataEntries"/>
              <w:jc w:val="left"/>
              <w:rPr>
                <w:lang w:val="en-GB"/>
              </w:rPr>
            </w:pPr>
            <w:r>
              <w:rPr>
                <w:lang w:val="en-GB"/>
              </w:rPr>
              <w:t>Net private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5206C5" w:rsidRDefault="005206C5" w:rsidP="005206C5">
            <w:pPr>
              <w:pStyle w:val="TableDataEntries"/>
              <w:rPr>
                <w:lang w:val="en-GB"/>
              </w:rPr>
            </w:pPr>
            <w:r>
              <w:t xml:space="preserve"> 39.89</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5206C5" w:rsidRDefault="005206C5" w:rsidP="005206C5">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5206C5" w:rsidRDefault="005206C5" w:rsidP="005206C5">
            <w:pPr>
              <w:pStyle w:val="TableDataEntries"/>
              <w:rPr>
                <w:lang w:val="en-GB"/>
              </w:rPr>
            </w:pPr>
            <w:r>
              <w:t xml:space="preserve"> 49.31</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5206C5" w:rsidRDefault="005206C5" w:rsidP="005206C5">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5206C5" w:rsidRDefault="005206C5" w:rsidP="005206C5">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5206C5" w:rsidRDefault="005206C5" w:rsidP="005206C5">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5206C5" w:rsidRDefault="005206C5" w:rsidP="005206C5">
            <w:pPr>
              <w:pStyle w:val="TableDataEntries"/>
              <w:rPr>
                <w:lang w:val="en-GB"/>
              </w:rPr>
            </w:pPr>
            <w:r>
              <w:t>n.a.</w:t>
            </w:r>
          </w:p>
        </w:tc>
      </w:tr>
      <w:tr w:rsidR="005206C5"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5206C5" w:rsidRDefault="005206C5" w:rsidP="005206C5">
            <w:pPr>
              <w:pStyle w:val="TableDataEntries"/>
              <w:jc w:val="left"/>
              <w:rPr>
                <w:lang w:val="en-GB"/>
              </w:rPr>
            </w:pPr>
            <w:r>
              <w:rPr>
                <w:lang w:val="en-GB"/>
              </w:rPr>
              <w:t>Avoided GHG emissions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 xml:space="preserve"> 7.65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 xml:space="preserve"> 12.45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n.a.</w:t>
            </w:r>
          </w:p>
        </w:tc>
      </w:tr>
      <w:tr w:rsidR="005206C5"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5206C5" w:rsidRDefault="005206C5" w:rsidP="005206C5">
            <w:pPr>
              <w:pStyle w:val="TableDataEntries"/>
              <w:jc w:val="left"/>
              <w:rPr>
                <w:lang w:val="en-GB"/>
              </w:rPr>
            </w:pPr>
            <w:r>
              <w:rPr>
                <w:lang w:val="en-GB"/>
              </w:rPr>
              <w:t>Avoided GHG emissions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 xml:space="preserve"> 0.00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 xml:space="preserve"> 0.03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n.a.</w:t>
            </w:r>
          </w:p>
        </w:tc>
      </w:tr>
      <w:tr w:rsidR="005206C5" w:rsidRPr="005206C5"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5206C5" w:rsidRPr="005206C5" w:rsidRDefault="005206C5" w:rsidP="005206C5">
            <w:pPr>
              <w:pStyle w:val="TableDataEntries"/>
              <w:jc w:val="left"/>
              <w:rPr>
                <w:rFonts w:ascii="Franklin Gothic Demi" w:hAnsi="Franklin Gothic Demi"/>
                <w:lang w:val="en-GB"/>
              </w:rPr>
            </w:pPr>
            <w:r w:rsidRPr="005206C5">
              <w:rPr>
                <w:rFonts w:ascii="Franklin Gothic Demi" w:hAnsi="Franklin Gothic Demi"/>
                <w:lang w:val="en-GB"/>
              </w:rPr>
              <w:t>Net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5206C5" w:rsidRPr="005206C5" w:rsidRDefault="005206C5" w:rsidP="005206C5">
            <w:pPr>
              <w:pStyle w:val="TableDataEntries"/>
              <w:rPr>
                <w:rFonts w:ascii="Franklin Gothic Demi" w:hAnsi="Franklin Gothic Demi"/>
                <w:lang w:val="en-GB"/>
              </w:rPr>
            </w:pPr>
            <w:r w:rsidRPr="005206C5">
              <w:rPr>
                <w:rFonts w:ascii="Franklin Gothic Demi" w:hAnsi="Franklin Gothic Demi"/>
              </w:rPr>
              <w:t xml:space="preserve"> 47.54</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5206C5" w:rsidRPr="005206C5" w:rsidRDefault="005206C5" w:rsidP="005206C5">
            <w:pPr>
              <w:pStyle w:val="TableDataEntries"/>
              <w:rPr>
                <w:rFonts w:ascii="Franklin Gothic Demi" w:hAnsi="Franklin Gothic Demi"/>
                <w:lang w:val="en-GB"/>
              </w:rPr>
            </w:pPr>
            <w:r w:rsidRPr="005206C5">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5206C5" w:rsidRPr="005206C5" w:rsidRDefault="005206C5" w:rsidP="005206C5">
            <w:pPr>
              <w:pStyle w:val="TableDataEntries"/>
              <w:rPr>
                <w:rFonts w:ascii="Franklin Gothic Demi" w:hAnsi="Franklin Gothic Demi"/>
                <w:lang w:val="en-GB"/>
              </w:rPr>
            </w:pPr>
            <w:r w:rsidRPr="005206C5">
              <w:rPr>
                <w:rFonts w:ascii="Franklin Gothic Demi" w:hAnsi="Franklin Gothic Demi"/>
              </w:rPr>
              <w:t xml:space="preserve"> 61.78</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5206C5" w:rsidRPr="005206C5" w:rsidRDefault="005206C5" w:rsidP="005206C5">
            <w:pPr>
              <w:pStyle w:val="TableDataEntries"/>
              <w:rPr>
                <w:rFonts w:ascii="Franklin Gothic Demi" w:hAnsi="Franklin Gothic Demi"/>
                <w:lang w:val="en-GB"/>
              </w:rPr>
            </w:pPr>
            <w:r w:rsidRPr="005206C5">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5206C5" w:rsidRPr="005206C5" w:rsidRDefault="005206C5" w:rsidP="005206C5">
            <w:pPr>
              <w:pStyle w:val="TableDataEntries"/>
              <w:rPr>
                <w:rFonts w:ascii="Franklin Gothic Demi" w:hAnsi="Franklin Gothic Demi"/>
                <w:lang w:val="en-GB"/>
              </w:rPr>
            </w:pPr>
            <w:r w:rsidRPr="005206C5">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5206C5" w:rsidRPr="005206C5" w:rsidRDefault="005206C5" w:rsidP="005206C5">
            <w:pPr>
              <w:pStyle w:val="TableDataEntries"/>
              <w:rPr>
                <w:rFonts w:ascii="Franklin Gothic Demi" w:hAnsi="Franklin Gothic Demi"/>
                <w:lang w:val="en-GB"/>
              </w:rPr>
            </w:pPr>
            <w:r w:rsidRPr="005206C5">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5206C5" w:rsidRPr="005206C5" w:rsidRDefault="005206C5" w:rsidP="005206C5">
            <w:pPr>
              <w:pStyle w:val="TableDataEntries"/>
              <w:rPr>
                <w:rFonts w:ascii="Franklin Gothic Demi" w:hAnsi="Franklin Gothic Demi"/>
                <w:lang w:val="en-GB"/>
              </w:rPr>
            </w:pPr>
            <w:r w:rsidRPr="005206C5">
              <w:rPr>
                <w:rFonts w:ascii="Franklin Gothic Demi" w:hAnsi="Franklin Gothic Demi"/>
              </w:rPr>
              <w:t>n.a.</w:t>
            </w:r>
          </w:p>
        </w:tc>
      </w:tr>
      <w:tr w:rsidR="005206C5" w:rsidTr="00301B6D">
        <w:trPr>
          <w:trHeight w:val="230"/>
        </w:trPr>
        <w:tc>
          <w:tcPr>
            <w:tcW w:w="245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5206C5" w:rsidRDefault="005206C5" w:rsidP="005206C5">
            <w:pPr>
              <w:pStyle w:val="TableHeading1"/>
              <w:rPr>
                <w:lang w:val="en-GB"/>
              </w:rPr>
            </w:pPr>
            <w:r>
              <w:rPr>
                <w:lang w:val="en-GB"/>
              </w:rPr>
              <w:t>Office building</w:t>
            </w: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5206C5" w:rsidRDefault="005206C5" w:rsidP="005206C5">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5206C5" w:rsidRDefault="005206C5" w:rsidP="005206C5">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5206C5" w:rsidRDefault="005206C5" w:rsidP="005206C5">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5206C5" w:rsidRDefault="005206C5" w:rsidP="005206C5">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5206C5" w:rsidRDefault="005206C5" w:rsidP="005206C5">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5206C5" w:rsidRDefault="005206C5" w:rsidP="005206C5">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5206C5" w:rsidRDefault="005206C5" w:rsidP="005206C5">
            <w:pPr>
              <w:pStyle w:val="TableDataEntries"/>
              <w:rPr>
                <w:lang w:val="en-GB"/>
              </w:rPr>
            </w:pPr>
          </w:p>
        </w:tc>
      </w:tr>
      <w:tr w:rsidR="005206C5"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5206C5" w:rsidRDefault="005206C5" w:rsidP="005206C5">
            <w:pPr>
              <w:pStyle w:val="TableDataEntries"/>
              <w:jc w:val="left"/>
              <w:rPr>
                <w:lang w:val="en-GB"/>
              </w:rPr>
            </w:pPr>
            <w:r>
              <w:rPr>
                <w:lang w:val="en-GB"/>
              </w:rPr>
              <w:t>Bill savings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 xml:space="preserve"> 19.42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n.a.</w:t>
            </w:r>
          </w:p>
        </w:tc>
      </w:tr>
      <w:tr w:rsidR="005206C5"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5206C5" w:rsidRDefault="005206C5" w:rsidP="005206C5">
            <w:pPr>
              <w:pStyle w:val="TableDataEntries"/>
              <w:jc w:val="left"/>
              <w:rPr>
                <w:lang w:val="en-GB"/>
              </w:rPr>
            </w:pPr>
            <w:r>
              <w:rPr>
                <w:lang w:val="en-GB"/>
              </w:rPr>
              <w:t>Bill savings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 xml:space="preserve"> 0.00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n.a.</w:t>
            </w:r>
          </w:p>
        </w:tc>
      </w:tr>
      <w:tr w:rsidR="005206C5"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5206C5" w:rsidRDefault="005206C5" w:rsidP="005206C5">
            <w:pPr>
              <w:pStyle w:val="TableDataEntries"/>
              <w:jc w:val="left"/>
              <w:rPr>
                <w:lang w:val="en-GB"/>
              </w:rPr>
            </w:pPr>
            <w:r>
              <w:rPr>
                <w:lang w:val="en-GB"/>
              </w:rPr>
              <w:t>Private costs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- 9.71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n.a.</w:t>
            </w:r>
          </w:p>
        </w:tc>
      </w:tr>
      <w:tr w:rsidR="005206C5"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5206C5" w:rsidRDefault="005206C5" w:rsidP="005206C5">
            <w:pPr>
              <w:pStyle w:val="TableDataEntries"/>
              <w:jc w:val="left"/>
              <w:rPr>
                <w:lang w:val="en-GB"/>
              </w:rPr>
            </w:pPr>
            <w:r>
              <w:rPr>
                <w:lang w:val="en-GB"/>
              </w:rPr>
              <w:t>Net private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5206C5" w:rsidRDefault="005206C5" w:rsidP="005206C5">
            <w:pPr>
              <w:pStyle w:val="TableDataEntries"/>
              <w:rPr>
                <w:lang w:val="en-GB"/>
              </w:rPr>
            </w:pPr>
            <w:r>
              <w:t xml:space="preserve"> 9.71</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5206C5" w:rsidRDefault="005206C5" w:rsidP="005206C5">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5206C5" w:rsidRDefault="005206C5" w:rsidP="005206C5">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5206C5" w:rsidRDefault="005206C5" w:rsidP="005206C5">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5206C5" w:rsidRDefault="005206C5" w:rsidP="005206C5">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5206C5" w:rsidRDefault="005206C5" w:rsidP="005206C5">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5206C5" w:rsidRDefault="005206C5" w:rsidP="005206C5">
            <w:pPr>
              <w:pStyle w:val="TableDataEntries"/>
              <w:rPr>
                <w:lang w:val="en-GB"/>
              </w:rPr>
            </w:pPr>
            <w:r>
              <w:t>n.a.</w:t>
            </w:r>
          </w:p>
        </w:tc>
      </w:tr>
      <w:tr w:rsidR="005206C5"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5206C5" w:rsidRDefault="005206C5" w:rsidP="005206C5">
            <w:pPr>
              <w:pStyle w:val="TableDataEntries"/>
              <w:jc w:val="left"/>
              <w:rPr>
                <w:lang w:val="en-GB"/>
              </w:rPr>
            </w:pPr>
            <w:r>
              <w:rPr>
                <w:lang w:val="en-GB"/>
              </w:rPr>
              <w:t>Avoided GHG emissions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 xml:space="preserve"> 5.01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n.a.</w:t>
            </w:r>
          </w:p>
        </w:tc>
      </w:tr>
      <w:tr w:rsidR="005206C5"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5206C5" w:rsidRDefault="005206C5" w:rsidP="005206C5">
            <w:pPr>
              <w:pStyle w:val="TableDataEntries"/>
              <w:jc w:val="left"/>
              <w:rPr>
                <w:lang w:val="en-GB"/>
              </w:rPr>
            </w:pPr>
            <w:r>
              <w:rPr>
                <w:lang w:val="en-GB"/>
              </w:rPr>
              <w:t>Avoided GHG emissions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 xml:space="preserve"> 0.00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n.a.</w:t>
            </w:r>
          </w:p>
        </w:tc>
      </w:tr>
      <w:tr w:rsidR="005206C5" w:rsidRPr="005206C5"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5206C5" w:rsidRPr="005206C5" w:rsidRDefault="005206C5" w:rsidP="005206C5">
            <w:pPr>
              <w:pStyle w:val="TableDataEntries"/>
              <w:jc w:val="left"/>
              <w:rPr>
                <w:rFonts w:ascii="Franklin Gothic Demi" w:hAnsi="Franklin Gothic Demi"/>
                <w:lang w:val="en-GB"/>
              </w:rPr>
            </w:pPr>
            <w:r w:rsidRPr="005206C5">
              <w:rPr>
                <w:rFonts w:ascii="Franklin Gothic Demi" w:hAnsi="Franklin Gothic Demi"/>
                <w:lang w:val="en-GB"/>
              </w:rPr>
              <w:t>Net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5206C5" w:rsidRPr="005206C5" w:rsidRDefault="005206C5" w:rsidP="005206C5">
            <w:pPr>
              <w:pStyle w:val="TableDataEntries"/>
              <w:rPr>
                <w:rFonts w:ascii="Franklin Gothic Demi" w:hAnsi="Franklin Gothic Demi"/>
                <w:lang w:val="en-GB"/>
              </w:rPr>
            </w:pPr>
            <w:r w:rsidRPr="005206C5">
              <w:rPr>
                <w:rFonts w:ascii="Franklin Gothic Demi" w:hAnsi="Franklin Gothic Demi"/>
              </w:rPr>
              <w:t xml:space="preserve"> 14.73</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5206C5" w:rsidRPr="005206C5" w:rsidRDefault="005206C5" w:rsidP="005206C5">
            <w:pPr>
              <w:pStyle w:val="TableDataEntries"/>
              <w:rPr>
                <w:rFonts w:ascii="Franklin Gothic Demi" w:hAnsi="Franklin Gothic Demi"/>
                <w:lang w:val="en-GB"/>
              </w:rPr>
            </w:pPr>
            <w:r w:rsidRPr="005206C5">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5206C5" w:rsidRPr="005206C5" w:rsidRDefault="005206C5" w:rsidP="005206C5">
            <w:pPr>
              <w:pStyle w:val="TableDataEntries"/>
              <w:rPr>
                <w:rFonts w:ascii="Franklin Gothic Demi" w:hAnsi="Franklin Gothic Demi"/>
                <w:lang w:val="en-GB"/>
              </w:rPr>
            </w:pPr>
            <w:r w:rsidRPr="005206C5">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5206C5" w:rsidRPr="005206C5" w:rsidRDefault="005206C5" w:rsidP="005206C5">
            <w:pPr>
              <w:pStyle w:val="TableDataEntries"/>
              <w:rPr>
                <w:rFonts w:ascii="Franklin Gothic Demi" w:hAnsi="Franklin Gothic Demi"/>
                <w:lang w:val="en-GB"/>
              </w:rPr>
            </w:pPr>
            <w:r w:rsidRPr="005206C5">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5206C5" w:rsidRPr="005206C5" w:rsidRDefault="005206C5" w:rsidP="005206C5">
            <w:pPr>
              <w:pStyle w:val="TableDataEntries"/>
              <w:rPr>
                <w:rFonts w:ascii="Franklin Gothic Demi" w:hAnsi="Franklin Gothic Demi"/>
                <w:lang w:val="en-GB"/>
              </w:rPr>
            </w:pPr>
            <w:r w:rsidRPr="005206C5">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5206C5" w:rsidRPr="005206C5" w:rsidRDefault="005206C5" w:rsidP="005206C5">
            <w:pPr>
              <w:pStyle w:val="TableDataEntries"/>
              <w:rPr>
                <w:rFonts w:ascii="Franklin Gothic Demi" w:hAnsi="Franklin Gothic Demi"/>
                <w:lang w:val="en-GB"/>
              </w:rPr>
            </w:pPr>
            <w:r w:rsidRPr="005206C5">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5206C5" w:rsidRPr="005206C5" w:rsidRDefault="005206C5" w:rsidP="005206C5">
            <w:pPr>
              <w:pStyle w:val="TableDataEntries"/>
              <w:rPr>
                <w:rFonts w:ascii="Franklin Gothic Demi" w:hAnsi="Franklin Gothic Demi"/>
                <w:lang w:val="en-GB"/>
              </w:rPr>
            </w:pPr>
            <w:r w:rsidRPr="005206C5">
              <w:rPr>
                <w:rFonts w:ascii="Franklin Gothic Demi" w:hAnsi="Franklin Gothic Demi"/>
              </w:rPr>
              <w:t>n.a.</w:t>
            </w:r>
          </w:p>
        </w:tc>
      </w:tr>
      <w:tr w:rsidR="005206C5" w:rsidTr="00301B6D">
        <w:trPr>
          <w:trHeight w:val="230"/>
        </w:trPr>
        <w:tc>
          <w:tcPr>
            <w:tcW w:w="245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5206C5" w:rsidRDefault="005206C5" w:rsidP="005206C5">
            <w:pPr>
              <w:pStyle w:val="TableHeading1"/>
              <w:rPr>
                <w:lang w:val="en-GB"/>
              </w:rPr>
            </w:pPr>
            <w:r>
              <w:rPr>
                <w:lang w:val="en-GB"/>
              </w:rPr>
              <w:t>Retail</w:t>
            </w: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5206C5" w:rsidRDefault="005206C5" w:rsidP="005206C5">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5206C5" w:rsidRDefault="005206C5" w:rsidP="005206C5">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5206C5" w:rsidRDefault="005206C5" w:rsidP="005206C5">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5206C5" w:rsidRDefault="005206C5" w:rsidP="005206C5">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5206C5" w:rsidRDefault="005206C5" w:rsidP="005206C5">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5206C5" w:rsidRDefault="005206C5" w:rsidP="005206C5">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5206C5" w:rsidRDefault="005206C5" w:rsidP="005206C5">
            <w:pPr>
              <w:pStyle w:val="TableDataEntries"/>
              <w:rPr>
                <w:lang w:val="en-GB"/>
              </w:rPr>
            </w:pPr>
          </w:p>
        </w:tc>
      </w:tr>
      <w:tr w:rsidR="005206C5"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5206C5" w:rsidRDefault="005206C5" w:rsidP="005206C5">
            <w:pPr>
              <w:pStyle w:val="TableDataEntries"/>
              <w:jc w:val="left"/>
              <w:rPr>
                <w:lang w:val="en-GB"/>
              </w:rPr>
            </w:pPr>
            <w:r>
              <w:rPr>
                <w:lang w:val="en-GB"/>
              </w:rPr>
              <w:t>Bill savings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 xml:space="preserve"> 70.79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 xml:space="preserve"> 74.01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n.a.</w:t>
            </w:r>
          </w:p>
        </w:tc>
      </w:tr>
      <w:tr w:rsidR="005206C5"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5206C5" w:rsidRDefault="005206C5" w:rsidP="005206C5">
            <w:pPr>
              <w:pStyle w:val="TableDataEntries"/>
              <w:jc w:val="left"/>
              <w:rPr>
                <w:lang w:val="en-GB"/>
              </w:rPr>
            </w:pPr>
            <w:r>
              <w:rPr>
                <w:lang w:val="en-GB"/>
              </w:rPr>
              <w:t>Bill savings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- 0.02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- 2.61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n.a.</w:t>
            </w:r>
          </w:p>
        </w:tc>
      </w:tr>
      <w:tr w:rsidR="005206C5"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5206C5" w:rsidRDefault="005206C5" w:rsidP="005206C5">
            <w:pPr>
              <w:pStyle w:val="TableDataEntries"/>
              <w:jc w:val="left"/>
              <w:rPr>
                <w:lang w:val="en-GB"/>
              </w:rPr>
            </w:pPr>
            <w:r>
              <w:rPr>
                <w:lang w:val="en-GB"/>
              </w:rPr>
              <w:t>Private costs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- 0.45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- 14.17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n.a.</w:t>
            </w:r>
          </w:p>
        </w:tc>
      </w:tr>
      <w:tr w:rsidR="005206C5"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5206C5" w:rsidRDefault="005206C5" w:rsidP="005206C5">
            <w:pPr>
              <w:pStyle w:val="TableDataEntries"/>
              <w:jc w:val="left"/>
              <w:rPr>
                <w:lang w:val="en-GB"/>
              </w:rPr>
            </w:pPr>
            <w:r>
              <w:rPr>
                <w:lang w:val="en-GB"/>
              </w:rPr>
              <w:t>Net private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5206C5" w:rsidRDefault="005206C5" w:rsidP="005206C5">
            <w:pPr>
              <w:pStyle w:val="TableDataEntries"/>
              <w:rPr>
                <w:lang w:val="en-GB"/>
              </w:rPr>
            </w:pPr>
            <w:r>
              <w:t xml:space="preserve"> 70.32</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5206C5" w:rsidRDefault="005206C5" w:rsidP="005206C5">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5206C5" w:rsidRDefault="005206C5" w:rsidP="005206C5">
            <w:pPr>
              <w:pStyle w:val="TableDataEntries"/>
              <w:rPr>
                <w:lang w:val="en-GB"/>
              </w:rPr>
            </w:pPr>
            <w:r>
              <w:t xml:space="preserve"> 57.23</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5206C5" w:rsidRDefault="005206C5" w:rsidP="005206C5">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5206C5" w:rsidRDefault="005206C5" w:rsidP="005206C5">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5206C5" w:rsidRDefault="005206C5" w:rsidP="005206C5">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5206C5" w:rsidRDefault="005206C5" w:rsidP="005206C5">
            <w:pPr>
              <w:pStyle w:val="TableDataEntries"/>
              <w:rPr>
                <w:lang w:val="en-GB"/>
              </w:rPr>
            </w:pPr>
            <w:r>
              <w:t>n.a.</w:t>
            </w:r>
          </w:p>
        </w:tc>
      </w:tr>
      <w:tr w:rsidR="005206C5"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5206C5" w:rsidRDefault="005206C5" w:rsidP="005206C5">
            <w:pPr>
              <w:pStyle w:val="TableDataEntries"/>
              <w:jc w:val="left"/>
              <w:rPr>
                <w:lang w:val="en-GB"/>
              </w:rPr>
            </w:pPr>
            <w:r>
              <w:rPr>
                <w:lang w:val="en-GB"/>
              </w:rPr>
              <w:t>Avoided GHG emissions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 xml:space="preserve"> 18.27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 xml:space="preserve"> 19.10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n.a.</w:t>
            </w:r>
          </w:p>
        </w:tc>
      </w:tr>
      <w:tr w:rsidR="005206C5"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5206C5" w:rsidRDefault="005206C5" w:rsidP="005206C5">
            <w:pPr>
              <w:pStyle w:val="TableDataEntries"/>
              <w:jc w:val="left"/>
              <w:rPr>
                <w:lang w:val="en-GB"/>
              </w:rPr>
            </w:pPr>
            <w:r>
              <w:rPr>
                <w:lang w:val="en-GB"/>
              </w:rPr>
              <w:t>Avoided GHG emissions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- 0.01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- 0.61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n.a.</w:t>
            </w:r>
          </w:p>
        </w:tc>
      </w:tr>
      <w:tr w:rsidR="005206C5" w:rsidRPr="005206C5"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5206C5" w:rsidRPr="005206C5" w:rsidRDefault="005206C5" w:rsidP="005206C5">
            <w:pPr>
              <w:pStyle w:val="TableDataEntries"/>
              <w:jc w:val="left"/>
              <w:rPr>
                <w:rFonts w:ascii="Franklin Gothic Demi" w:hAnsi="Franklin Gothic Demi"/>
                <w:lang w:val="en-GB"/>
              </w:rPr>
            </w:pPr>
            <w:r w:rsidRPr="005206C5">
              <w:rPr>
                <w:rFonts w:ascii="Franklin Gothic Demi" w:hAnsi="Franklin Gothic Demi"/>
                <w:lang w:val="en-GB"/>
              </w:rPr>
              <w:t>Net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5206C5" w:rsidRPr="005206C5" w:rsidRDefault="005206C5" w:rsidP="005206C5">
            <w:pPr>
              <w:pStyle w:val="TableDataEntries"/>
              <w:rPr>
                <w:rFonts w:ascii="Franklin Gothic Demi" w:hAnsi="Franklin Gothic Demi"/>
                <w:lang w:val="en-GB"/>
              </w:rPr>
            </w:pPr>
            <w:r w:rsidRPr="005206C5">
              <w:rPr>
                <w:rFonts w:ascii="Franklin Gothic Demi" w:hAnsi="Franklin Gothic Demi"/>
              </w:rPr>
              <w:t xml:space="preserve"> 88.59</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5206C5" w:rsidRPr="005206C5" w:rsidRDefault="005206C5" w:rsidP="005206C5">
            <w:pPr>
              <w:pStyle w:val="TableDataEntries"/>
              <w:rPr>
                <w:rFonts w:ascii="Franklin Gothic Demi" w:hAnsi="Franklin Gothic Demi"/>
                <w:lang w:val="en-GB"/>
              </w:rPr>
            </w:pPr>
            <w:r w:rsidRPr="005206C5">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5206C5" w:rsidRPr="005206C5" w:rsidRDefault="005206C5" w:rsidP="005206C5">
            <w:pPr>
              <w:pStyle w:val="TableDataEntries"/>
              <w:rPr>
                <w:rFonts w:ascii="Franklin Gothic Demi" w:hAnsi="Franklin Gothic Demi"/>
                <w:lang w:val="en-GB"/>
              </w:rPr>
            </w:pPr>
            <w:r w:rsidRPr="005206C5">
              <w:rPr>
                <w:rFonts w:ascii="Franklin Gothic Demi" w:hAnsi="Franklin Gothic Demi"/>
              </w:rPr>
              <w:t xml:space="preserve"> 75.72</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5206C5" w:rsidRPr="005206C5" w:rsidRDefault="005206C5" w:rsidP="005206C5">
            <w:pPr>
              <w:pStyle w:val="TableDataEntries"/>
              <w:rPr>
                <w:rFonts w:ascii="Franklin Gothic Demi" w:hAnsi="Franklin Gothic Demi"/>
                <w:lang w:val="en-GB"/>
              </w:rPr>
            </w:pPr>
            <w:r w:rsidRPr="005206C5">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5206C5" w:rsidRPr="005206C5" w:rsidRDefault="005206C5" w:rsidP="005206C5">
            <w:pPr>
              <w:pStyle w:val="TableDataEntries"/>
              <w:rPr>
                <w:rFonts w:ascii="Franklin Gothic Demi" w:hAnsi="Franklin Gothic Demi"/>
                <w:lang w:val="en-GB"/>
              </w:rPr>
            </w:pPr>
            <w:r w:rsidRPr="005206C5">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5206C5" w:rsidRPr="005206C5" w:rsidRDefault="005206C5" w:rsidP="005206C5">
            <w:pPr>
              <w:pStyle w:val="TableDataEntries"/>
              <w:rPr>
                <w:rFonts w:ascii="Franklin Gothic Demi" w:hAnsi="Franklin Gothic Demi"/>
                <w:lang w:val="en-GB"/>
              </w:rPr>
            </w:pPr>
            <w:r w:rsidRPr="005206C5">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5206C5" w:rsidRPr="005206C5" w:rsidRDefault="005206C5" w:rsidP="005206C5">
            <w:pPr>
              <w:pStyle w:val="TableDataEntries"/>
              <w:rPr>
                <w:rFonts w:ascii="Franklin Gothic Demi" w:hAnsi="Franklin Gothic Demi"/>
                <w:lang w:val="en-GB"/>
              </w:rPr>
            </w:pPr>
            <w:r w:rsidRPr="005206C5">
              <w:rPr>
                <w:rFonts w:ascii="Franklin Gothic Demi" w:hAnsi="Franklin Gothic Demi"/>
              </w:rPr>
              <w:t>n.a.</w:t>
            </w:r>
          </w:p>
        </w:tc>
      </w:tr>
      <w:tr w:rsidR="005206C5" w:rsidTr="00301B6D">
        <w:trPr>
          <w:trHeight w:val="230"/>
        </w:trPr>
        <w:tc>
          <w:tcPr>
            <w:tcW w:w="245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5206C5" w:rsidRDefault="005206C5" w:rsidP="005206C5">
            <w:pPr>
              <w:pStyle w:val="TableHeading1"/>
              <w:rPr>
                <w:lang w:val="en-GB"/>
              </w:rPr>
            </w:pPr>
            <w:r>
              <w:rPr>
                <w:lang w:val="en-GB"/>
              </w:rPr>
              <w:t>Healthcare</w:t>
            </w: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5206C5" w:rsidRDefault="005206C5" w:rsidP="005206C5">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5206C5" w:rsidRDefault="005206C5" w:rsidP="005206C5">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5206C5" w:rsidRDefault="005206C5" w:rsidP="005206C5">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5206C5" w:rsidRDefault="005206C5" w:rsidP="005206C5">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5206C5" w:rsidRDefault="005206C5" w:rsidP="005206C5">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5206C5" w:rsidRDefault="005206C5" w:rsidP="005206C5">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5206C5" w:rsidRDefault="005206C5" w:rsidP="005206C5">
            <w:pPr>
              <w:pStyle w:val="TableDataEntries"/>
              <w:rPr>
                <w:lang w:val="en-GB"/>
              </w:rPr>
            </w:pPr>
          </w:p>
        </w:tc>
      </w:tr>
      <w:tr w:rsidR="005206C5"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5206C5" w:rsidRDefault="005206C5" w:rsidP="005206C5">
            <w:pPr>
              <w:pStyle w:val="TableDataEntries"/>
              <w:jc w:val="left"/>
              <w:rPr>
                <w:lang w:val="en-GB"/>
              </w:rPr>
            </w:pPr>
            <w:r>
              <w:rPr>
                <w:lang w:val="en-GB"/>
              </w:rPr>
              <w:t>Bill savings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 xml:space="preserve"> 57.19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 xml:space="preserve"> 42.28</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n.a.</w:t>
            </w:r>
          </w:p>
        </w:tc>
      </w:tr>
      <w:tr w:rsidR="005206C5"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5206C5" w:rsidRDefault="005206C5" w:rsidP="005206C5">
            <w:pPr>
              <w:pStyle w:val="TableDataEntries"/>
              <w:jc w:val="left"/>
              <w:rPr>
                <w:lang w:val="en-GB"/>
              </w:rPr>
            </w:pPr>
            <w:r>
              <w:rPr>
                <w:lang w:val="en-GB"/>
              </w:rPr>
              <w:t>Bill savings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- 0.01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 xml:space="preserve"> 0.93</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n.a.</w:t>
            </w:r>
          </w:p>
        </w:tc>
      </w:tr>
      <w:tr w:rsidR="005206C5"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5206C5" w:rsidRDefault="005206C5" w:rsidP="005206C5">
            <w:pPr>
              <w:pStyle w:val="TableDataEntries"/>
              <w:jc w:val="left"/>
              <w:rPr>
                <w:lang w:val="en-GB"/>
              </w:rPr>
            </w:pPr>
            <w:r>
              <w:rPr>
                <w:lang w:val="en-GB"/>
              </w:rPr>
              <w:t>Private costs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- 14.62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- 15.98</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n.a.</w:t>
            </w:r>
          </w:p>
        </w:tc>
      </w:tr>
      <w:tr w:rsidR="005206C5"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5206C5" w:rsidRDefault="005206C5" w:rsidP="005206C5">
            <w:pPr>
              <w:pStyle w:val="TableDataEntries"/>
              <w:jc w:val="left"/>
              <w:rPr>
                <w:lang w:val="en-GB"/>
              </w:rPr>
            </w:pPr>
            <w:r>
              <w:rPr>
                <w:lang w:val="en-GB"/>
              </w:rPr>
              <w:t>Net private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5206C5" w:rsidRDefault="005206C5" w:rsidP="005206C5">
            <w:pPr>
              <w:pStyle w:val="TableDataEntries"/>
              <w:rPr>
                <w:lang w:val="en-GB"/>
              </w:rPr>
            </w:pPr>
            <w:r>
              <w:t xml:space="preserve"> 42.56</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5206C5" w:rsidRDefault="005206C5" w:rsidP="005206C5">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5206C5" w:rsidRDefault="005206C5" w:rsidP="005206C5">
            <w:pPr>
              <w:pStyle w:val="TableDataEntries"/>
              <w:rPr>
                <w:lang w:val="en-GB"/>
              </w:rPr>
            </w:pPr>
            <w:r>
              <w:t xml:space="preserve"> 27.24</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5206C5" w:rsidRDefault="005206C5" w:rsidP="005206C5">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5206C5" w:rsidRDefault="005206C5" w:rsidP="005206C5">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5206C5" w:rsidRDefault="005206C5" w:rsidP="005206C5">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5206C5" w:rsidRDefault="005206C5" w:rsidP="005206C5">
            <w:pPr>
              <w:pStyle w:val="TableDataEntries"/>
              <w:rPr>
                <w:lang w:val="en-GB"/>
              </w:rPr>
            </w:pPr>
            <w:r>
              <w:t>n.a.</w:t>
            </w:r>
          </w:p>
        </w:tc>
      </w:tr>
      <w:tr w:rsidR="005206C5"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5206C5" w:rsidRDefault="005206C5" w:rsidP="005206C5">
            <w:pPr>
              <w:pStyle w:val="TableDataEntries"/>
              <w:jc w:val="left"/>
              <w:rPr>
                <w:lang w:val="en-GB"/>
              </w:rPr>
            </w:pPr>
            <w:r>
              <w:rPr>
                <w:lang w:val="en-GB"/>
              </w:rPr>
              <w:t>Avoided GHG emissions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 xml:space="preserve"> 14.76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 xml:space="preserve"> 10.91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n.a.</w:t>
            </w:r>
          </w:p>
        </w:tc>
      </w:tr>
      <w:tr w:rsidR="005206C5"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5206C5" w:rsidRDefault="005206C5" w:rsidP="005206C5">
            <w:pPr>
              <w:pStyle w:val="TableDataEntries"/>
              <w:jc w:val="left"/>
              <w:rPr>
                <w:lang w:val="en-GB"/>
              </w:rPr>
            </w:pPr>
            <w:r>
              <w:rPr>
                <w:lang w:val="en-GB"/>
              </w:rPr>
              <w:t>Avoided GHG emissions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 xml:space="preserve"> 0.00</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 xml:space="preserve"> 0.22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n.a.</w:t>
            </w:r>
          </w:p>
        </w:tc>
      </w:tr>
      <w:tr w:rsidR="005206C5" w:rsidRPr="005206C5"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5206C5" w:rsidRPr="005206C5" w:rsidRDefault="005206C5" w:rsidP="005206C5">
            <w:pPr>
              <w:pStyle w:val="TableDataEntries"/>
              <w:jc w:val="left"/>
              <w:rPr>
                <w:rFonts w:ascii="Franklin Gothic Demi" w:hAnsi="Franklin Gothic Demi"/>
                <w:lang w:val="en-GB"/>
              </w:rPr>
            </w:pPr>
            <w:r w:rsidRPr="005206C5">
              <w:rPr>
                <w:rFonts w:ascii="Franklin Gothic Demi" w:hAnsi="Franklin Gothic Demi"/>
                <w:lang w:val="en-GB"/>
              </w:rPr>
              <w:t>Net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5206C5" w:rsidRPr="005206C5" w:rsidRDefault="005206C5" w:rsidP="005206C5">
            <w:pPr>
              <w:pStyle w:val="TableDataEntries"/>
              <w:rPr>
                <w:rFonts w:ascii="Franklin Gothic Demi" w:hAnsi="Franklin Gothic Demi"/>
                <w:lang w:val="en-GB"/>
              </w:rPr>
            </w:pPr>
            <w:r w:rsidRPr="005206C5">
              <w:rPr>
                <w:rFonts w:ascii="Franklin Gothic Demi" w:hAnsi="Franklin Gothic Demi"/>
              </w:rPr>
              <w:t xml:space="preserve"> 57.32</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5206C5" w:rsidRPr="005206C5" w:rsidRDefault="005206C5" w:rsidP="005206C5">
            <w:pPr>
              <w:pStyle w:val="TableDataEntries"/>
              <w:rPr>
                <w:rFonts w:ascii="Franklin Gothic Demi" w:hAnsi="Franklin Gothic Demi"/>
                <w:lang w:val="en-GB"/>
              </w:rPr>
            </w:pPr>
            <w:r w:rsidRPr="005206C5">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5206C5" w:rsidRPr="005206C5" w:rsidRDefault="005206C5" w:rsidP="005206C5">
            <w:pPr>
              <w:pStyle w:val="TableDataEntries"/>
              <w:rPr>
                <w:rFonts w:ascii="Franklin Gothic Demi" w:hAnsi="Franklin Gothic Demi"/>
                <w:lang w:val="en-GB"/>
              </w:rPr>
            </w:pPr>
            <w:r w:rsidRPr="005206C5">
              <w:rPr>
                <w:rFonts w:ascii="Franklin Gothic Demi" w:hAnsi="Franklin Gothic Demi"/>
              </w:rPr>
              <w:t xml:space="preserve"> 38.37</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5206C5" w:rsidRPr="005206C5" w:rsidRDefault="005206C5" w:rsidP="005206C5">
            <w:pPr>
              <w:pStyle w:val="TableDataEntries"/>
              <w:rPr>
                <w:rFonts w:ascii="Franklin Gothic Demi" w:hAnsi="Franklin Gothic Demi"/>
                <w:lang w:val="en-GB"/>
              </w:rPr>
            </w:pPr>
            <w:r w:rsidRPr="005206C5">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5206C5" w:rsidRPr="005206C5" w:rsidRDefault="005206C5" w:rsidP="005206C5">
            <w:pPr>
              <w:pStyle w:val="TableDataEntries"/>
              <w:rPr>
                <w:rFonts w:ascii="Franklin Gothic Demi" w:hAnsi="Franklin Gothic Demi"/>
                <w:lang w:val="en-GB"/>
              </w:rPr>
            </w:pPr>
            <w:r w:rsidRPr="005206C5">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5206C5" w:rsidRPr="005206C5" w:rsidRDefault="005206C5" w:rsidP="005206C5">
            <w:pPr>
              <w:pStyle w:val="TableDataEntries"/>
              <w:rPr>
                <w:rFonts w:ascii="Franklin Gothic Demi" w:hAnsi="Franklin Gothic Demi"/>
                <w:lang w:val="en-GB"/>
              </w:rPr>
            </w:pPr>
            <w:r w:rsidRPr="005206C5">
              <w:rPr>
                <w:rFonts w:ascii="Franklin Gothic Demi" w:hAnsi="Franklin Gothic Demi"/>
              </w:rP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5206C5" w:rsidRPr="005206C5" w:rsidRDefault="005206C5" w:rsidP="005206C5">
            <w:pPr>
              <w:pStyle w:val="TableDataEntries"/>
              <w:rPr>
                <w:rFonts w:ascii="Franklin Gothic Demi" w:hAnsi="Franklin Gothic Demi"/>
                <w:lang w:val="en-GB"/>
              </w:rPr>
            </w:pPr>
            <w:r w:rsidRPr="005206C5">
              <w:rPr>
                <w:rFonts w:ascii="Franklin Gothic Demi" w:hAnsi="Franklin Gothic Demi"/>
              </w:rPr>
              <w:t>n.a.</w:t>
            </w:r>
          </w:p>
        </w:tc>
      </w:tr>
      <w:tr w:rsidR="005206C5" w:rsidTr="00301B6D">
        <w:trPr>
          <w:trHeight w:val="230"/>
        </w:trPr>
        <w:tc>
          <w:tcPr>
            <w:tcW w:w="245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rsidR="005206C5" w:rsidRDefault="005206C5" w:rsidP="005206C5">
            <w:pPr>
              <w:pStyle w:val="TableHeading1"/>
              <w:rPr>
                <w:lang w:val="en-GB"/>
              </w:rPr>
            </w:pPr>
            <w:r>
              <w:rPr>
                <w:lang w:val="en-GB"/>
              </w:rPr>
              <w:t>School</w:t>
            </w: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5206C5" w:rsidRDefault="005206C5" w:rsidP="005206C5">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5206C5" w:rsidRDefault="005206C5" w:rsidP="005206C5">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5206C5" w:rsidRDefault="005206C5" w:rsidP="005206C5">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5206C5" w:rsidRDefault="005206C5" w:rsidP="005206C5">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5206C5" w:rsidRDefault="005206C5" w:rsidP="005206C5">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5206C5" w:rsidRDefault="005206C5" w:rsidP="005206C5">
            <w:pPr>
              <w:pStyle w:val="TableDataEntries"/>
              <w:rPr>
                <w:lang w:val="en-GB"/>
              </w:rPr>
            </w:pPr>
          </w:p>
        </w:tc>
        <w:tc>
          <w:tcPr>
            <w:tcW w:w="78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rsidR="005206C5" w:rsidRDefault="005206C5" w:rsidP="005206C5">
            <w:pPr>
              <w:pStyle w:val="TableDataEntries"/>
              <w:rPr>
                <w:lang w:val="en-GB"/>
              </w:rPr>
            </w:pPr>
          </w:p>
        </w:tc>
      </w:tr>
      <w:tr w:rsidR="005206C5"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5206C5" w:rsidRDefault="005206C5" w:rsidP="005206C5">
            <w:pPr>
              <w:pStyle w:val="TableDataEntries"/>
              <w:jc w:val="left"/>
              <w:rPr>
                <w:lang w:val="en-GB"/>
              </w:rPr>
            </w:pPr>
            <w:r>
              <w:rPr>
                <w:lang w:val="en-GB"/>
              </w:rPr>
              <w:t>Bill savings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 xml:space="preserve"> 128.69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 xml:space="preserve"> 81.02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n.a.</w:t>
            </w:r>
          </w:p>
        </w:tc>
      </w:tr>
      <w:tr w:rsidR="005206C5"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5206C5" w:rsidRDefault="005206C5" w:rsidP="005206C5">
            <w:pPr>
              <w:pStyle w:val="TableDataEntries"/>
              <w:jc w:val="left"/>
              <w:rPr>
                <w:lang w:val="en-GB"/>
              </w:rPr>
            </w:pPr>
            <w:r>
              <w:rPr>
                <w:lang w:val="en-GB"/>
              </w:rPr>
              <w:t>Bill savings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 xml:space="preserve"> 0.09</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 xml:space="preserve"> 4.07</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n.a.</w:t>
            </w:r>
          </w:p>
        </w:tc>
      </w:tr>
      <w:tr w:rsidR="005206C5"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5206C5" w:rsidRDefault="005206C5" w:rsidP="005206C5">
            <w:pPr>
              <w:pStyle w:val="TableDataEntries"/>
              <w:jc w:val="left"/>
              <w:rPr>
                <w:lang w:val="en-GB"/>
              </w:rPr>
            </w:pPr>
            <w:r>
              <w:rPr>
                <w:lang w:val="en-GB"/>
              </w:rPr>
              <w:t>Private costs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- 5.61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- 12.16</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n.a.</w:t>
            </w:r>
          </w:p>
        </w:tc>
      </w:tr>
      <w:tr w:rsidR="005206C5" w:rsidTr="00301B6D">
        <w:trPr>
          <w:trHeight w:val="230"/>
        </w:trPr>
        <w:tc>
          <w:tcPr>
            <w:tcW w:w="245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rsidR="005206C5" w:rsidRDefault="005206C5" w:rsidP="005206C5">
            <w:pPr>
              <w:pStyle w:val="TableDataEntries"/>
              <w:jc w:val="left"/>
              <w:rPr>
                <w:lang w:val="en-GB"/>
              </w:rPr>
            </w:pPr>
            <w:r>
              <w:rPr>
                <w:lang w:val="en-GB"/>
              </w:rPr>
              <w:t>Net private benefit/cost</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5206C5" w:rsidRDefault="005206C5" w:rsidP="005206C5">
            <w:pPr>
              <w:pStyle w:val="TableDataEntries"/>
              <w:rPr>
                <w:lang w:val="en-GB"/>
              </w:rPr>
            </w:pPr>
            <w:r>
              <w:t xml:space="preserve"> 123.17</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5206C5" w:rsidRDefault="005206C5" w:rsidP="005206C5">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5206C5" w:rsidRDefault="005206C5" w:rsidP="005206C5">
            <w:pPr>
              <w:pStyle w:val="TableDataEntries"/>
              <w:rPr>
                <w:lang w:val="en-GB"/>
              </w:rPr>
            </w:pPr>
            <w:r>
              <w:t xml:space="preserve"> 72.93</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5206C5" w:rsidRDefault="005206C5" w:rsidP="005206C5">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5206C5" w:rsidRDefault="005206C5" w:rsidP="005206C5">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5206C5" w:rsidRDefault="005206C5" w:rsidP="005206C5">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rsidR="005206C5" w:rsidRDefault="005206C5" w:rsidP="005206C5">
            <w:pPr>
              <w:pStyle w:val="TableDataEntries"/>
              <w:rPr>
                <w:lang w:val="en-GB"/>
              </w:rPr>
            </w:pPr>
            <w:r>
              <w:t>n.a.</w:t>
            </w:r>
          </w:p>
        </w:tc>
      </w:tr>
      <w:tr w:rsidR="005206C5"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5206C5" w:rsidRDefault="005206C5" w:rsidP="005206C5">
            <w:pPr>
              <w:pStyle w:val="TableDataEntries"/>
              <w:jc w:val="left"/>
              <w:rPr>
                <w:lang w:val="en-GB"/>
              </w:rPr>
            </w:pPr>
            <w:r>
              <w:rPr>
                <w:lang w:val="en-GB"/>
              </w:rPr>
              <w:t>Avoided GHG emissions - electricity</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 xml:space="preserve"> 33.22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 xml:space="preserve"> 20.91</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n.a.</w:t>
            </w:r>
          </w:p>
        </w:tc>
      </w:tr>
      <w:tr w:rsidR="005206C5" w:rsidTr="00301B6D">
        <w:trPr>
          <w:trHeight w:val="230"/>
        </w:trPr>
        <w:tc>
          <w:tcPr>
            <w:tcW w:w="245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rsidR="005206C5" w:rsidRDefault="005206C5" w:rsidP="005206C5">
            <w:pPr>
              <w:pStyle w:val="TableDataEntries"/>
              <w:jc w:val="left"/>
              <w:rPr>
                <w:lang w:val="en-GB"/>
              </w:rPr>
            </w:pPr>
            <w:r>
              <w:rPr>
                <w:lang w:val="en-GB"/>
              </w:rPr>
              <w:t>Avoided GHG emissions - gas</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 xml:space="preserve"> 0.02</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 xml:space="preserve"> 0.95</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n.a.</w:t>
            </w:r>
          </w:p>
        </w:tc>
        <w:tc>
          <w:tcPr>
            <w:tcW w:w="7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rsidR="005206C5" w:rsidRDefault="005206C5" w:rsidP="005206C5">
            <w:pPr>
              <w:pStyle w:val="TableDataEntries"/>
              <w:rPr>
                <w:lang w:val="en-GB"/>
              </w:rPr>
            </w:pPr>
            <w:r>
              <w:t>n.a.</w:t>
            </w:r>
          </w:p>
        </w:tc>
      </w:tr>
      <w:tr w:rsidR="005206C5" w:rsidRPr="005206C5" w:rsidTr="00301B6D">
        <w:trPr>
          <w:trHeight w:val="230"/>
        </w:trPr>
        <w:tc>
          <w:tcPr>
            <w:tcW w:w="2456"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rsidR="005206C5" w:rsidRPr="005206C5" w:rsidRDefault="005206C5" w:rsidP="005206C5">
            <w:pPr>
              <w:pStyle w:val="TableDataEntries"/>
              <w:jc w:val="left"/>
              <w:rPr>
                <w:rFonts w:ascii="Franklin Gothic Demi" w:hAnsi="Franklin Gothic Demi"/>
                <w:lang w:val="en-GB"/>
              </w:rPr>
            </w:pPr>
            <w:r w:rsidRPr="005206C5">
              <w:rPr>
                <w:rFonts w:ascii="Franklin Gothic Demi" w:hAnsi="Franklin Gothic Demi"/>
                <w:lang w:val="en-GB"/>
              </w:rPr>
              <w:t>Net benefit/cost</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5206C5" w:rsidRPr="005206C5" w:rsidRDefault="005206C5" w:rsidP="005206C5">
            <w:pPr>
              <w:pStyle w:val="TableDataEntries"/>
              <w:rPr>
                <w:rFonts w:ascii="Franklin Gothic Demi" w:hAnsi="Franklin Gothic Demi"/>
                <w:lang w:val="en-GB"/>
              </w:rPr>
            </w:pPr>
            <w:r w:rsidRPr="005206C5">
              <w:rPr>
                <w:rFonts w:ascii="Franklin Gothic Demi" w:hAnsi="Franklin Gothic Demi"/>
              </w:rPr>
              <w:t xml:space="preserve"> 156.40</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5206C5" w:rsidRPr="005206C5" w:rsidRDefault="005206C5" w:rsidP="005206C5">
            <w:pPr>
              <w:pStyle w:val="TableDataEntries"/>
              <w:rPr>
                <w:rFonts w:ascii="Franklin Gothic Demi" w:hAnsi="Franklin Gothic Demi"/>
                <w:lang w:val="en-GB"/>
              </w:rPr>
            </w:pPr>
            <w:r w:rsidRPr="005206C5">
              <w:rPr>
                <w:rFonts w:ascii="Franklin Gothic Demi" w:hAnsi="Franklin Gothic Demi"/>
              </w:rPr>
              <w:t>n.a.</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5206C5" w:rsidRPr="005206C5" w:rsidRDefault="005206C5" w:rsidP="005206C5">
            <w:pPr>
              <w:pStyle w:val="TableDataEntries"/>
              <w:rPr>
                <w:rFonts w:ascii="Franklin Gothic Demi" w:hAnsi="Franklin Gothic Demi"/>
                <w:lang w:val="en-GB"/>
              </w:rPr>
            </w:pPr>
            <w:r w:rsidRPr="005206C5">
              <w:rPr>
                <w:rFonts w:ascii="Franklin Gothic Demi" w:hAnsi="Franklin Gothic Demi"/>
              </w:rPr>
              <w:t xml:space="preserve"> 94.79</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5206C5" w:rsidRPr="005206C5" w:rsidRDefault="005206C5" w:rsidP="005206C5">
            <w:pPr>
              <w:pStyle w:val="TableDataEntries"/>
              <w:rPr>
                <w:rFonts w:ascii="Franklin Gothic Demi" w:hAnsi="Franklin Gothic Demi"/>
                <w:lang w:val="en-GB"/>
              </w:rPr>
            </w:pPr>
            <w:r w:rsidRPr="005206C5">
              <w:rPr>
                <w:rFonts w:ascii="Franklin Gothic Demi" w:hAnsi="Franklin Gothic Demi"/>
              </w:rPr>
              <w:t>n.a.</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5206C5" w:rsidRPr="005206C5" w:rsidRDefault="005206C5" w:rsidP="005206C5">
            <w:pPr>
              <w:pStyle w:val="TableDataEntries"/>
              <w:rPr>
                <w:rFonts w:ascii="Franklin Gothic Demi" w:hAnsi="Franklin Gothic Demi"/>
                <w:lang w:val="en-GB"/>
              </w:rPr>
            </w:pPr>
            <w:r w:rsidRPr="005206C5">
              <w:rPr>
                <w:rFonts w:ascii="Franklin Gothic Demi" w:hAnsi="Franklin Gothic Demi"/>
              </w:rPr>
              <w:t>n.a.</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5206C5" w:rsidRPr="005206C5" w:rsidRDefault="005206C5" w:rsidP="005206C5">
            <w:pPr>
              <w:pStyle w:val="TableDataEntries"/>
              <w:rPr>
                <w:rFonts w:ascii="Franklin Gothic Demi" w:hAnsi="Franklin Gothic Demi"/>
                <w:lang w:val="en-GB"/>
              </w:rPr>
            </w:pPr>
            <w:r w:rsidRPr="005206C5">
              <w:rPr>
                <w:rFonts w:ascii="Franklin Gothic Demi" w:hAnsi="Franklin Gothic Demi"/>
              </w:rPr>
              <w:t>n.a.</w:t>
            </w:r>
          </w:p>
        </w:tc>
        <w:tc>
          <w:tcPr>
            <w:tcW w:w="783"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rsidR="005206C5" w:rsidRPr="005206C5" w:rsidRDefault="005206C5" w:rsidP="005206C5">
            <w:pPr>
              <w:pStyle w:val="TableDataEntries"/>
              <w:rPr>
                <w:rFonts w:ascii="Franklin Gothic Demi" w:hAnsi="Franklin Gothic Demi"/>
                <w:lang w:val="en-GB"/>
              </w:rPr>
            </w:pPr>
            <w:r w:rsidRPr="005206C5">
              <w:rPr>
                <w:rFonts w:ascii="Franklin Gothic Demi" w:hAnsi="Franklin Gothic Demi"/>
              </w:rPr>
              <w:t>n.a.</w:t>
            </w:r>
          </w:p>
        </w:tc>
      </w:tr>
    </w:tbl>
    <w:p w:rsidR="00612FD3" w:rsidRPr="00612FD3" w:rsidRDefault="00612FD3" w:rsidP="00612FD3">
      <w:pPr>
        <w:pStyle w:val="Note"/>
        <w:rPr>
          <w:lang w:bidi="fa-IR"/>
        </w:rPr>
      </w:pPr>
      <w:r w:rsidRPr="00612FD3">
        <w:rPr>
          <w:i/>
        </w:rPr>
        <w:t>Note</w:t>
      </w:r>
      <w:r w:rsidRPr="00612FD3">
        <w:t>: Costs and benefits are estimated over the assumed 40 year life of the building, using a discount rate of 7 per cent.</w:t>
      </w:r>
    </w:p>
    <w:p w:rsidR="00612FD3" w:rsidRPr="00612FD3" w:rsidRDefault="00612FD3" w:rsidP="00612FD3">
      <w:pPr>
        <w:pStyle w:val="Note"/>
      </w:pPr>
      <w:r w:rsidRPr="00612FD3">
        <w:t xml:space="preserve">Source: CIE based on </w:t>
      </w:r>
      <w:r w:rsidR="00EB5964">
        <w:t>EA</w:t>
      </w:r>
      <w:r w:rsidRPr="00612FD3">
        <w:t xml:space="preserve"> modelling</w:t>
      </w:r>
      <w:r>
        <w:t>.</w:t>
      </w:r>
    </w:p>
    <w:p w:rsidR="00612FD3" w:rsidRDefault="00612FD3" w:rsidP="00612FD3">
      <w:pPr>
        <w:pStyle w:val="BodyText"/>
        <w:rPr>
          <w:lang w:bidi="fa-IR"/>
        </w:rPr>
      </w:pPr>
    </w:p>
    <w:p w:rsidR="00612FD3" w:rsidRDefault="00612FD3" w:rsidP="00612FD3">
      <w:pPr>
        <w:pStyle w:val="BodyText"/>
        <w:rPr>
          <w:lang w:bidi="fa-IR"/>
        </w:rPr>
        <w:sectPr w:rsidR="00612FD3" w:rsidSect="00384703">
          <w:headerReference w:type="even" r:id="rId87"/>
          <w:headerReference w:type="default" r:id="rId88"/>
          <w:footerReference w:type="even" r:id="rId89"/>
          <w:footerReference w:type="default" r:id="rId90"/>
          <w:type w:val="oddPage"/>
          <w:pgSz w:w="11906" w:h="16838" w:code="9"/>
          <w:pgMar w:top="2268" w:right="1701" w:bottom="1418" w:left="2268" w:header="680" w:footer="680" w:gutter="0"/>
          <w:pgNumType w:start="1"/>
          <w:cols w:space="708"/>
          <w:docGrid w:linePitch="360"/>
        </w:sectPr>
      </w:pPr>
    </w:p>
    <w:tbl>
      <w:tblPr>
        <w:tblStyle w:val="LayoutGrid"/>
        <w:tblW w:w="0" w:type="auto"/>
        <w:tblLook w:val="04A0" w:firstRow="1" w:lastRow="0" w:firstColumn="1" w:lastColumn="0" w:noHBand="0" w:noVBand="1"/>
      </w:tblPr>
      <w:tblGrid>
        <w:gridCol w:w="7927"/>
      </w:tblGrid>
      <w:tr w:rsidR="00612FD3" w:rsidTr="00301B6D">
        <w:trPr>
          <w:trHeight w:val="8941"/>
        </w:trPr>
        <w:tc>
          <w:tcPr>
            <w:tcW w:w="7927" w:type="dxa"/>
          </w:tcPr>
          <w:p w:rsidR="00612FD3" w:rsidRDefault="00612FD3" w:rsidP="00301B6D">
            <w:pPr>
              <w:rPr>
                <w:lang w:bidi="fa-IR"/>
              </w:rPr>
            </w:pPr>
          </w:p>
        </w:tc>
      </w:tr>
      <w:tr w:rsidR="00612FD3" w:rsidTr="00301B6D">
        <w:tc>
          <w:tcPr>
            <w:tcW w:w="7927" w:type="dxa"/>
          </w:tcPr>
          <w:p w:rsidR="00612FD3" w:rsidRPr="003E1F01" w:rsidRDefault="00612FD3" w:rsidP="00301B6D">
            <w:pPr>
              <w:pStyle w:val="BodyText"/>
              <w:spacing w:before="0"/>
              <w:rPr>
                <w:rFonts w:ascii="Franklin Gothic Demi" w:hAnsi="Franklin Gothic Demi"/>
                <w:caps/>
                <w:spacing w:val="10"/>
                <w:sz w:val="18"/>
              </w:rPr>
            </w:pPr>
            <w:r w:rsidRPr="003E1F01">
              <w:rPr>
                <w:rFonts w:ascii="Franklin Gothic Demi" w:hAnsi="Franklin Gothic Demi"/>
                <w:caps/>
                <w:spacing w:val="10"/>
                <w:sz w:val="18"/>
              </w:rPr>
              <w:t>The Centre for International Economics</w:t>
            </w:r>
          </w:p>
          <w:p w:rsidR="00612FD3" w:rsidRPr="003E1F01" w:rsidRDefault="00612FD3" w:rsidP="00301B6D">
            <w:pPr>
              <w:pStyle w:val="BodyText"/>
              <w:spacing w:before="0"/>
              <w:rPr>
                <w:i/>
                <w:sz w:val="22"/>
              </w:rPr>
            </w:pPr>
            <w:r w:rsidRPr="003E1F01">
              <w:rPr>
                <w:i/>
                <w:sz w:val="22"/>
              </w:rPr>
              <w:t>www.TheCIE.com.au</w:t>
            </w:r>
          </w:p>
          <w:p w:rsidR="00612FD3" w:rsidRDefault="00612FD3" w:rsidP="00301B6D">
            <w:pPr>
              <w:rPr>
                <w:lang w:bidi="fa-IR"/>
              </w:rPr>
            </w:pPr>
          </w:p>
        </w:tc>
      </w:tr>
    </w:tbl>
    <w:p w:rsidR="00612FD3" w:rsidRDefault="00612FD3" w:rsidP="00301B6D">
      <w:pPr>
        <w:rPr>
          <w:lang w:bidi="fa-IR"/>
        </w:rPr>
      </w:pPr>
      <w:r>
        <w:rPr>
          <w:noProof/>
        </w:rPr>
        <w:drawing>
          <wp:anchor distT="0" distB="0" distL="114300" distR="114300" simplePos="0" relativeHeight="251658241" behindDoc="1" locked="1" layoutInCell="0" allowOverlap="1" wp14:anchorId="3C1DE0A6" wp14:editId="61400370">
            <wp:simplePos x="0" y="0"/>
            <wp:positionH relativeFrom="page">
              <wp:posOffset>0</wp:posOffset>
            </wp:positionH>
            <wp:positionV relativeFrom="page">
              <wp:posOffset>0</wp:posOffset>
            </wp:positionV>
            <wp:extent cx="7560000" cy="10692000"/>
            <wp:effectExtent l="0" t="0" r="3175" b="0"/>
            <wp:wrapNone/>
            <wp:docPr id="9" name="Picture 9">
              <a:extLst xmlns:a="http://schemas.openxmlformats.org/drawingml/2006/main">
                <a:ext uri="{C183D7F6-B498-43B3-948B-1728B52AA6E4}">
                  <adec:decorative xmlns:adec="http://schemas.microsoft.com/office/drawing/2017/decorative" xmlns:w="http://schemas.openxmlformats.org/wordprocessingml/2006/main" xmlns:w10="urn:schemas-microsoft-com:office:word" xmlns:v="urn:schemas-microsoft-com:vml" xmlns:o="urn:schemas-microsoft-com:office:office"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Clients\CIE, New templates\Logo &amp; cover options\Final artwork\report cover graphics\backcover_600dpi.png"/>
                    <pic:cNvPicPr>
                      <a:picLocks noChangeAspect="1" noChangeArrowheads="1"/>
                    </pic:cNvPicPr>
                  </pic:nvPicPr>
                  <pic:blipFill>
                    <a:blip r:embed="rId91" cstate="print">
                      <a:extLst>
                        <a:ext uri="{28A0092B-C50C-407E-A947-70E740481C1C}">
                          <a14:useLocalDpi xmlns:a14="http://schemas.microsoft.com/office/drawing/2010/main" val="0"/>
                        </a:ext>
                      </a:extLst>
                    </a:blip>
                    <a:stretch>
                      <a:fillRect/>
                    </a:stretch>
                  </pic:blipFill>
                  <pic:spPr bwMode="auto">
                    <a:xfrm>
                      <a:off x="0" y="0"/>
                      <a:ext cx="7560000" cy="1069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12FD3" w:rsidRPr="003822C2" w:rsidRDefault="00612FD3" w:rsidP="00612FD3">
      <w:pPr>
        <w:pStyle w:val="BodyText"/>
        <w:rPr>
          <w:lang w:bidi="fa-IR"/>
        </w:rPr>
      </w:pPr>
    </w:p>
    <w:sectPr w:rsidR="00612FD3" w:rsidRPr="003822C2" w:rsidSect="00612FD3">
      <w:type w:val="evenPage"/>
      <w:pgSz w:w="11906" w:h="16838" w:code="9"/>
      <w:pgMar w:top="2268" w:right="1701" w:bottom="1418" w:left="2268" w:header="680" w:footer="680"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6F43" w:rsidRDefault="001F6F43" w:rsidP="00996DC5">
      <w:pPr>
        <w:spacing w:line="240" w:lineRule="auto"/>
      </w:pPr>
      <w:r>
        <w:separator/>
      </w:r>
    </w:p>
  </w:endnote>
  <w:endnote w:type="continuationSeparator" w:id="0">
    <w:p w:rsidR="001F6F43" w:rsidRDefault="001F6F43" w:rsidP="00996DC5">
      <w:pPr>
        <w:spacing w:line="240" w:lineRule="auto"/>
      </w:pPr>
      <w:r>
        <w:continuationSeparator/>
      </w:r>
    </w:p>
  </w:endnote>
  <w:endnote w:type="continuationNotice" w:id="1">
    <w:p w:rsidR="001F6F43" w:rsidRDefault="001F6F4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Franklin Gothic Heavy">
    <w:panose1 w:val="020B09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736F" w:rsidRDefault="0093736F">
    <w:pPr>
      <w:pStyle w:val="Footer"/>
    </w:pPr>
    <w:r>
      <w:t>www.TheCIE.com.au</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736F" w:rsidRPr="005B1FD7" w:rsidRDefault="0093736F" w:rsidP="005B1FD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736F" w:rsidRDefault="0093736F" w:rsidP="007C4C46">
    <w:pPr>
      <w:pStyle w:val="Footer"/>
      <w:jc w:val="right"/>
    </w:pPr>
    <w:r>
      <w:t>www.TheCIE.com.au</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736F" w:rsidRDefault="0093736F">
    <w:pPr>
      <w:pStyle w:val="Footer"/>
    </w:pPr>
    <w:r>
      <w:t>www.TheCIE.com.au</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736F" w:rsidRDefault="0093736F" w:rsidP="004E7620">
    <w:pPr>
      <w:pStyle w:val="Footer"/>
      <w:jc w:val="right"/>
    </w:pPr>
    <w:r>
      <w:t>www.TheCIE.com.au</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736F" w:rsidRDefault="0093736F">
    <w:pPr>
      <w:pStyle w:val="Footer"/>
    </w:pPr>
    <w:r>
      <w:t>www.TheCIE.com.au</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736F" w:rsidRDefault="0093736F" w:rsidP="007C4C46">
    <w:pPr>
      <w:pStyle w:val="Footer"/>
      <w:jc w:val="right"/>
    </w:pPr>
    <w:r>
      <w:t>www.TheCIE.com.au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6F43" w:rsidRDefault="001F6F43" w:rsidP="00996DC5">
      <w:pPr>
        <w:spacing w:line="240" w:lineRule="auto"/>
      </w:pPr>
      <w:r w:rsidRPr="00B75719">
        <w:rPr>
          <w:color w:val="6F6652" w:themeColor="text2"/>
        </w:rPr>
        <w:separator/>
      </w:r>
    </w:p>
  </w:footnote>
  <w:footnote w:type="continuationSeparator" w:id="0">
    <w:p w:rsidR="001F6F43" w:rsidRDefault="001F6F43" w:rsidP="00996DC5">
      <w:pPr>
        <w:spacing w:line="240" w:lineRule="auto"/>
      </w:pPr>
      <w:r>
        <w:continuationSeparator/>
      </w:r>
    </w:p>
  </w:footnote>
  <w:footnote w:type="continuationNotice" w:id="1">
    <w:p w:rsidR="001F6F43" w:rsidRDefault="001F6F43">
      <w:pPr>
        <w:spacing w:line="240" w:lineRule="auto"/>
      </w:pPr>
    </w:p>
  </w:footnote>
  <w:footnote w:id="2">
    <w:p w:rsidR="0093736F" w:rsidRPr="00702D02" w:rsidRDefault="0093736F" w:rsidP="00612FD3">
      <w:pPr>
        <w:pStyle w:val="FootnoteText"/>
        <w:rPr>
          <w:lang w:val="en-GB"/>
        </w:rPr>
      </w:pPr>
      <w:r>
        <w:rPr>
          <w:rStyle w:val="FootnoteReference"/>
        </w:rPr>
        <w:footnoteRef/>
      </w:r>
      <w:r>
        <w:t xml:space="preserve"> </w:t>
      </w:r>
      <w:r>
        <w:tab/>
      </w:r>
      <w:r>
        <w:rPr>
          <w:lang w:val="en-GB"/>
        </w:rPr>
        <w:t>ABCB 2016</w:t>
      </w:r>
      <w:r>
        <w:rPr>
          <w:color w:val="000000" w:themeColor="text1"/>
          <w:lang w:val="en-GB"/>
        </w:rPr>
        <w:t xml:space="preserve">, </w:t>
      </w:r>
      <w:r w:rsidRPr="005269FD">
        <w:rPr>
          <w:i/>
          <w:lang w:val="en-GB"/>
        </w:rPr>
        <w:t>Annual Business Plan 2016</w:t>
      </w:r>
      <w:r w:rsidRPr="005269FD">
        <w:rPr>
          <w:i/>
          <w:lang w:val="en-GB"/>
        </w:rPr>
        <w:noBreakHyphen/>
        <w:t>17</w:t>
      </w:r>
      <w:r>
        <w:rPr>
          <w:lang w:val="en-GB"/>
        </w:rPr>
        <w:t>, p. 2.</w:t>
      </w:r>
    </w:p>
  </w:footnote>
  <w:footnote w:id="3">
    <w:p w:rsidR="0093736F" w:rsidRDefault="0093736F" w:rsidP="002E28FA">
      <w:pPr>
        <w:pStyle w:val="FootnoteText"/>
      </w:pPr>
      <w:r>
        <w:rPr>
          <w:rStyle w:val="FootnoteReference"/>
        </w:rPr>
        <w:footnoteRef/>
      </w:r>
      <w:r>
        <w:t xml:space="preserve"> </w:t>
      </w:r>
      <w:r>
        <w:tab/>
        <w:t xml:space="preserve">Council of Australian Governments Energy Council 2015, </w:t>
      </w:r>
      <w:r>
        <w:rPr>
          <w:i/>
        </w:rPr>
        <w:t>National Energy Productivity Plan 2015-2030: Boosting competitiveness, managing costs and reducing emissions</w:t>
      </w:r>
      <w:r>
        <w:t xml:space="preserve">, December, Available at </w:t>
      </w:r>
      <w:r w:rsidRPr="008A2CE1">
        <w:t>http://www.coagenergycouncil.gov.au/sites/prod.energycouncil/files/publications/documents/National%20Energy%20Productivity%20Plan%20release%20version%20FINAL_0.pdf</w:t>
      </w:r>
    </w:p>
  </w:footnote>
  <w:footnote w:id="4">
    <w:p w:rsidR="0093736F" w:rsidRPr="00DB1D22" w:rsidRDefault="0093736F" w:rsidP="00612FD3">
      <w:pPr>
        <w:pStyle w:val="BodyText"/>
        <w:ind w:left="284" w:hanging="284"/>
        <w:rPr>
          <w:sz w:val="19"/>
          <w:szCs w:val="18"/>
          <w:lang w:val="en-GB"/>
        </w:rPr>
      </w:pPr>
      <w:r>
        <w:rPr>
          <w:rStyle w:val="FootnoteReference"/>
        </w:rPr>
        <w:footnoteRef/>
      </w:r>
      <w:r>
        <w:t xml:space="preserve"> </w:t>
      </w:r>
      <w:r>
        <w:tab/>
      </w:r>
      <w:r w:rsidRPr="00DB1D22">
        <w:rPr>
          <w:sz w:val="19"/>
          <w:szCs w:val="18"/>
          <w:lang w:val="en-GB"/>
        </w:rPr>
        <w:t>Common areas of Class 2 buildings are not separately reported in this Regulation Impact Statement (RIS) as they have similar characteristics to other commercial building class</w:t>
      </w:r>
      <w:r>
        <w:rPr>
          <w:sz w:val="19"/>
          <w:szCs w:val="18"/>
          <w:lang w:val="en-GB"/>
        </w:rPr>
        <w:t>ifications</w:t>
      </w:r>
      <w:r w:rsidRPr="00DB1D22">
        <w:rPr>
          <w:sz w:val="19"/>
          <w:szCs w:val="18"/>
          <w:lang w:val="en-GB"/>
        </w:rPr>
        <w:t>, for example a Class 3.</w:t>
      </w:r>
    </w:p>
    <w:p w:rsidR="0093736F" w:rsidRPr="00DB1D22" w:rsidRDefault="0093736F" w:rsidP="00612FD3">
      <w:pPr>
        <w:pStyle w:val="FootnoteText"/>
        <w:rPr>
          <w:lang w:val="en-GB"/>
        </w:rPr>
      </w:pPr>
    </w:p>
  </w:footnote>
  <w:footnote w:id="5">
    <w:p w:rsidR="0093736F" w:rsidRPr="00C40BB4" w:rsidRDefault="0093736F" w:rsidP="00612FD3">
      <w:pPr>
        <w:pStyle w:val="FootnoteText"/>
        <w:rPr>
          <w:lang w:val="en-GB"/>
        </w:rPr>
      </w:pPr>
      <w:r>
        <w:rPr>
          <w:rStyle w:val="FootnoteReference"/>
        </w:rPr>
        <w:footnoteRef/>
      </w:r>
      <w:r>
        <w:t xml:space="preserve"> </w:t>
      </w:r>
      <w:r>
        <w:tab/>
        <w:t xml:space="preserve">Council of Australian Governments 2007, </w:t>
      </w:r>
      <w:r w:rsidRPr="0041696B">
        <w:rPr>
          <w:i/>
        </w:rPr>
        <w:t>Best Practice Regulation, A Guide for Ministerial Councils and National Standard Setting Bodies</w:t>
      </w:r>
      <w:r>
        <w:t>, October 2007, p</w:t>
      </w:r>
      <w:r>
        <w:rPr>
          <w:lang w:val="en-GB"/>
        </w:rPr>
        <w:t>. 10.</w:t>
      </w:r>
    </w:p>
  </w:footnote>
  <w:footnote w:id="6">
    <w:p w:rsidR="0093736F" w:rsidRPr="005D74B3" w:rsidRDefault="0093736F" w:rsidP="00612FD3">
      <w:pPr>
        <w:pStyle w:val="FootnoteText"/>
        <w:rPr>
          <w:lang w:val="en-GB"/>
        </w:rPr>
      </w:pPr>
      <w:r>
        <w:rPr>
          <w:rStyle w:val="FootnoteReference"/>
        </w:rPr>
        <w:footnoteRef/>
      </w:r>
      <w:r>
        <w:t xml:space="preserve"> </w:t>
      </w:r>
      <w:r>
        <w:tab/>
        <w:t>Energy Action is an energy efficiency consultancy and was commissioned by the ABCB to investigate and report back with recommendations on three areas that would inform changes to Section J in NCC 2019: (i) quantifying the Performance Requirements; (ii) increasing the number of Verification Methods; and (iii) improving the Deemed-to-Satisfy Provisions.</w:t>
      </w:r>
    </w:p>
  </w:footnote>
  <w:footnote w:id="7">
    <w:p w:rsidR="0093736F" w:rsidRPr="00E372D7" w:rsidRDefault="0093736F" w:rsidP="00025FD2">
      <w:pPr>
        <w:pStyle w:val="FootnoteText"/>
        <w:rPr>
          <w:lang w:val="en-US"/>
        </w:rPr>
      </w:pPr>
      <w:r>
        <w:rPr>
          <w:rStyle w:val="FootnoteReference"/>
        </w:rPr>
        <w:footnoteRef/>
      </w:r>
      <w:r>
        <w:t xml:space="preserve"> </w:t>
      </w:r>
      <w:r>
        <w:rPr>
          <w:lang w:val="en-US"/>
        </w:rPr>
        <w:t xml:space="preserve">See Appendix </w:t>
      </w:r>
      <w:r>
        <w:rPr>
          <w:lang w:val="en-US"/>
        </w:rPr>
        <w:fldChar w:fldCharType="begin"/>
      </w:r>
      <w:r>
        <w:rPr>
          <w:lang w:val="en-US"/>
        </w:rPr>
        <w:instrText xml:space="preserve"> REF _Ref496616723 \n \h </w:instrText>
      </w:r>
      <w:r>
        <w:rPr>
          <w:lang w:val="en-US"/>
        </w:rPr>
      </w:r>
      <w:r>
        <w:rPr>
          <w:lang w:val="en-US"/>
        </w:rPr>
        <w:fldChar w:fldCharType="separate"/>
      </w:r>
      <w:r>
        <w:rPr>
          <w:lang w:val="en-US"/>
        </w:rPr>
        <w:t>D</w:t>
      </w:r>
      <w:r>
        <w:rPr>
          <w:lang w:val="en-US"/>
        </w:rPr>
        <w:fldChar w:fldCharType="end"/>
      </w:r>
      <w:r>
        <w:rPr>
          <w:lang w:val="en-US"/>
        </w:rPr>
        <w:t>.</w:t>
      </w:r>
    </w:p>
  </w:footnote>
  <w:footnote w:id="8">
    <w:p w:rsidR="0093736F" w:rsidRPr="007B74D1" w:rsidRDefault="0093736F" w:rsidP="00BD28D0">
      <w:pPr>
        <w:pStyle w:val="FootnoteText"/>
        <w:rPr>
          <w:lang w:val="en-GB"/>
        </w:rPr>
      </w:pPr>
      <w:r>
        <w:rPr>
          <w:rStyle w:val="FootnoteReference"/>
        </w:rPr>
        <w:footnoteRef/>
      </w:r>
      <w:r>
        <w:t xml:space="preserve"> Department of the Environment and Energy, </w:t>
      </w:r>
      <w:r w:rsidRPr="007B74D1">
        <w:rPr>
          <w:i/>
          <w:lang w:val="en-GB"/>
        </w:rPr>
        <w:t>Australia’s emissions projections 2017</w:t>
      </w:r>
      <w:r>
        <w:rPr>
          <w:lang w:val="en-GB"/>
        </w:rPr>
        <w:t>, December 2017, p. 3.</w:t>
      </w:r>
    </w:p>
  </w:footnote>
  <w:footnote w:id="9">
    <w:p w:rsidR="0093736F" w:rsidRPr="00017501" w:rsidRDefault="0093736F" w:rsidP="00612FD3">
      <w:pPr>
        <w:pStyle w:val="FootnoteText"/>
      </w:pPr>
      <w:r>
        <w:rPr>
          <w:rStyle w:val="FootnoteReference"/>
        </w:rPr>
        <w:footnoteRef/>
      </w:r>
      <w:r>
        <w:t xml:space="preserve"> </w:t>
      </w:r>
      <w:r>
        <w:tab/>
        <w:t xml:space="preserve">Commercial building floor space and energy consumption are CIE’s estimates based on pitt&amp;sherry 2012, </w:t>
      </w:r>
      <w:r>
        <w:rPr>
          <w:i/>
        </w:rPr>
        <w:t>Baseline energy consumption and greenhouse gas emissions in commercial buildings in Australia</w:t>
      </w:r>
      <w:r>
        <w:t xml:space="preserve">. According to </w:t>
      </w:r>
      <w:r>
        <w:rPr>
          <w:i/>
        </w:rPr>
        <w:t>Australian Energy Statistics 2017</w:t>
      </w:r>
      <w:r>
        <w:t>, total energy consumption in commercial industry was 339.3 PJ, and total net consumption in Australia was 6 065.9 PJ in 2016. Commercial building floor space includes factories (Class 8 as defined by the NCC) while commercial industry in the Energy Statistics covers services (including wholesale trade, retail trade, accommodation and food services, information media and telecommunication, financial and insurance services, rental, hiring and real estate services, professional, scientific and technical services, administrative and support services, public administration and safety, education and training, health care and social assistance, arts and recreation services, other services).</w:t>
      </w:r>
    </w:p>
  </w:footnote>
  <w:footnote w:id="10">
    <w:p w:rsidR="0093736F" w:rsidRPr="00702D02" w:rsidRDefault="0093736F" w:rsidP="00612FD3">
      <w:pPr>
        <w:pStyle w:val="FootnoteText"/>
        <w:rPr>
          <w:lang w:val="en-GB"/>
        </w:rPr>
      </w:pPr>
      <w:r>
        <w:rPr>
          <w:rStyle w:val="FootnoteReference"/>
        </w:rPr>
        <w:footnoteRef/>
      </w:r>
      <w:r>
        <w:t xml:space="preserve"> </w:t>
      </w:r>
      <w:r>
        <w:tab/>
      </w:r>
      <w:r>
        <w:rPr>
          <w:lang w:val="en-GB"/>
        </w:rPr>
        <w:t xml:space="preserve">ABCB 2016, </w:t>
      </w:r>
      <w:r w:rsidRPr="00702D02">
        <w:rPr>
          <w:i/>
          <w:lang w:val="en-GB"/>
        </w:rPr>
        <w:t>NCC Volume One Energy Efficiency Provisions Handbook</w:t>
      </w:r>
      <w:r>
        <w:rPr>
          <w:lang w:val="en-GB"/>
        </w:rPr>
        <w:t>, Fourth Edition, p. 20.</w:t>
      </w:r>
    </w:p>
  </w:footnote>
  <w:footnote w:id="11">
    <w:p w:rsidR="0093736F" w:rsidRPr="00702D02" w:rsidRDefault="0093736F" w:rsidP="00612FD3">
      <w:pPr>
        <w:pStyle w:val="FootnoteText"/>
        <w:rPr>
          <w:lang w:val="en-GB"/>
        </w:rPr>
      </w:pPr>
      <w:r>
        <w:rPr>
          <w:rStyle w:val="FootnoteReference"/>
        </w:rPr>
        <w:footnoteRef/>
      </w:r>
      <w:r>
        <w:t xml:space="preserve"> </w:t>
      </w:r>
      <w:r>
        <w:tab/>
      </w:r>
      <w:r>
        <w:rPr>
          <w:lang w:val="en-GB"/>
        </w:rPr>
        <w:t xml:space="preserve">ABCB 2016, </w:t>
      </w:r>
      <w:r w:rsidRPr="004806BC">
        <w:rPr>
          <w:i/>
          <w:lang w:val="en-GB"/>
        </w:rPr>
        <w:t>NCC Volume One Energy Efficiency Provisions Handbook</w:t>
      </w:r>
      <w:r>
        <w:rPr>
          <w:lang w:val="en-GB"/>
        </w:rPr>
        <w:t>, Fourth Edition, p. 41.</w:t>
      </w:r>
    </w:p>
  </w:footnote>
  <w:footnote w:id="12">
    <w:p w:rsidR="0093736F" w:rsidRPr="00702D02" w:rsidRDefault="0093736F" w:rsidP="00612FD3">
      <w:pPr>
        <w:pStyle w:val="FootnoteText"/>
        <w:rPr>
          <w:lang w:val="en-GB"/>
        </w:rPr>
      </w:pPr>
      <w:r>
        <w:rPr>
          <w:rStyle w:val="FootnoteReference"/>
        </w:rPr>
        <w:footnoteRef/>
      </w:r>
      <w:r>
        <w:t xml:space="preserve"> </w:t>
      </w:r>
      <w:r>
        <w:tab/>
      </w:r>
      <w:r>
        <w:rPr>
          <w:lang w:val="en-GB"/>
        </w:rPr>
        <w:t xml:space="preserve">ABCB 2016, </w:t>
      </w:r>
      <w:r w:rsidRPr="005269FD">
        <w:rPr>
          <w:i/>
          <w:lang w:val="en-GB"/>
        </w:rPr>
        <w:t>Annual Business Plan 2016</w:t>
      </w:r>
      <w:r w:rsidRPr="005269FD">
        <w:rPr>
          <w:i/>
          <w:lang w:val="en-GB"/>
        </w:rPr>
        <w:noBreakHyphen/>
        <w:t>17</w:t>
      </w:r>
      <w:r>
        <w:rPr>
          <w:lang w:val="en-GB"/>
        </w:rPr>
        <w:t>, p. 2.</w:t>
      </w:r>
    </w:p>
  </w:footnote>
  <w:footnote w:id="13">
    <w:p w:rsidR="0093736F" w:rsidRPr="00751CD8" w:rsidRDefault="0093736F" w:rsidP="00612FD3">
      <w:pPr>
        <w:pStyle w:val="FootnoteText"/>
        <w:rPr>
          <w:lang w:val="en-GB"/>
        </w:rPr>
      </w:pPr>
      <w:r>
        <w:rPr>
          <w:rStyle w:val="FootnoteReference"/>
        </w:rPr>
        <w:footnoteRef/>
      </w:r>
      <w:r>
        <w:t xml:space="preserve"> </w:t>
      </w:r>
      <w:r>
        <w:tab/>
      </w:r>
      <w:r>
        <w:rPr>
          <w:lang w:val="en-GB"/>
        </w:rPr>
        <w:t xml:space="preserve">United Nations Framework Convention on Climate Change website, </w:t>
      </w:r>
      <w:hyperlink r:id="rId1" w:history="1">
        <w:r w:rsidRPr="007C7619">
          <w:rPr>
            <w:rStyle w:val="Hyperlink"/>
            <w:lang w:val="en-GB"/>
          </w:rPr>
          <w:t>http://unfccc.int/paris_agreement/items/9485.php</w:t>
        </w:r>
      </w:hyperlink>
      <w:r>
        <w:rPr>
          <w:lang w:val="en-GB"/>
        </w:rPr>
        <w:t>, accessed 19 October 2017.</w:t>
      </w:r>
    </w:p>
  </w:footnote>
  <w:footnote w:id="14">
    <w:p w:rsidR="0093736F" w:rsidRPr="00702D02" w:rsidRDefault="0093736F" w:rsidP="00612FD3">
      <w:pPr>
        <w:pStyle w:val="FootnoteText"/>
        <w:rPr>
          <w:lang w:val="en-GB"/>
        </w:rPr>
      </w:pPr>
      <w:r>
        <w:rPr>
          <w:rStyle w:val="FootnoteReference"/>
        </w:rPr>
        <w:footnoteRef/>
      </w:r>
      <w:r>
        <w:t xml:space="preserve"> </w:t>
      </w:r>
      <w:r>
        <w:tab/>
      </w:r>
      <w:r>
        <w:rPr>
          <w:lang w:val="en-GB"/>
        </w:rPr>
        <w:t xml:space="preserve">Department of the Environment and Energy website, </w:t>
      </w:r>
      <w:hyperlink r:id="rId2" w:history="1">
        <w:r w:rsidRPr="00310E06">
          <w:rPr>
            <w:rStyle w:val="Hyperlink"/>
            <w:lang w:val="en-GB"/>
          </w:rPr>
          <w:t>http://www.environment.gov.au/climate-change/publications/factsheet-australias-2030-climate-change-target</w:t>
        </w:r>
      </w:hyperlink>
      <w:r>
        <w:rPr>
          <w:lang w:val="en-GB"/>
        </w:rPr>
        <w:t>, accessed 8 November 2017.</w:t>
      </w:r>
    </w:p>
  </w:footnote>
  <w:footnote w:id="15">
    <w:p w:rsidR="0093736F" w:rsidRPr="00702D02" w:rsidRDefault="0093736F" w:rsidP="00612FD3">
      <w:pPr>
        <w:pStyle w:val="FootnoteText"/>
        <w:rPr>
          <w:lang w:val="en-GB"/>
        </w:rPr>
      </w:pPr>
      <w:r>
        <w:rPr>
          <w:rStyle w:val="FootnoteReference"/>
        </w:rPr>
        <w:footnoteRef/>
      </w:r>
      <w:r>
        <w:t xml:space="preserve"> </w:t>
      </w:r>
      <w:r>
        <w:tab/>
      </w:r>
      <w:r>
        <w:rPr>
          <w:lang w:val="en-GB"/>
        </w:rPr>
        <w:t xml:space="preserve">COAG Energy Council 2015, </w:t>
      </w:r>
      <w:r w:rsidRPr="00702D02">
        <w:rPr>
          <w:i/>
          <w:lang w:val="en-GB"/>
        </w:rPr>
        <w:t>National Energy Productivity Plan 2015</w:t>
      </w:r>
      <w:r w:rsidRPr="00702D02">
        <w:rPr>
          <w:i/>
          <w:lang w:val="en-GB"/>
        </w:rPr>
        <w:noBreakHyphen/>
        <w:t>2030: Boosting Competitiveness, managing costs and reducing emissions</w:t>
      </w:r>
      <w:r>
        <w:rPr>
          <w:lang w:val="en-GB"/>
        </w:rPr>
        <w:t>, December 2015, p. 5.</w:t>
      </w:r>
    </w:p>
  </w:footnote>
  <w:footnote w:id="16">
    <w:p w:rsidR="0093736F" w:rsidRPr="00702D02" w:rsidRDefault="0093736F" w:rsidP="00612FD3">
      <w:pPr>
        <w:pStyle w:val="FootnoteText"/>
        <w:rPr>
          <w:lang w:val="en-GB"/>
        </w:rPr>
      </w:pPr>
      <w:r>
        <w:rPr>
          <w:rStyle w:val="FootnoteReference"/>
        </w:rPr>
        <w:footnoteRef/>
      </w:r>
      <w:r>
        <w:t xml:space="preserve"> </w:t>
      </w:r>
      <w:r>
        <w:tab/>
        <w:t xml:space="preserve">COAG Energy Council 2015, </w:t>
      </w:r>
      <w:r w:rsidRPr="00702D02">
        <w:rPr>
          <w:i/>
        </w:rPr>
        <w:t>National Energy Productivity Plan: Work Plan</w:t>
      </w:r>
      <w:r>
        <w:rPr>
          <w:lang w:val="en-GB"/>
        </w:rPr>
        <w:t>, p. 20.</w:t>
      </w:r>
    </w:p>
  </w:footnote>
  <w:footnote w:id="17">
    <w:p w:rsidR="0093736F" w:rsidRPr="0021550C" w:rsidRDefault="0093736F" w:rsidP="00612FD3">
      <w:pPr>
        <w:pStyle w:val="FootnoteText"/>
        <w:rPr>
          <w:lang w:val="en-GB"/>
        </w:rPr>
      </w:pPr>
      <w:r>
        <w:rPr>
          <w:rStyle w:val="FootnoteReference"/>
        </w:rPr>
        <w:footnoteRef/>
      </w:r>
      <w:r>
        <w:t xml:space="preserve"> </w:t>
      </w:r>
      <w:r>
        <w:tab/>
        <w:t xml:space="preserve">See </w:t>
      </w:r>
      <w:r>
        <w:rPr>
          <w:lang w:val="en-GB"/>
        </w:rPr>
        <w:t xml:space="preserve">pitt&amp;sherry 2016, </w:t>
      </w:r>
      <w:r w:rsidRPr="004B65B1">
        <w:rPr>
          <w:i/>
          <w:lang w:val="en-GB"/>
        </w:rPr>
        <w:t>Final Report — Pathway to 2020 for Increased Stringency in New Building Energy Efficiency Standards: Benefit Cost Analysis: Commercial Buildings: 2016 Update</w:t>
      </w:r>
      <w:r>
        <w:rPr>
          <w:lang w:val="en-GB"/>
        </w:rPr>
        <w:t>, 10 May 2016.</w:t>
      </w:r>
    </w:p>
  </w:footnote>
  <w:footnote w:id="18">
    <w:p w:rsidR="0093736F" w:rsidRPr="00702D02" w:rsidRDefault="0093736F" w:rsidP="00612FD3">
      <w:pPr>
        <w:pStyle w:val="FootnoteText"/>
        <w:rPr>
          <w:lang w:val="en-GB"/>
        </w:rPr>
      </w:pPr>
      <w:r>
        <w:rPr>
          <w:rStyle w:val="FootnoteReference"/>
        </w:rPr>
        <w:footnoteRef/>
      </w:r>
      <w:r>
        <w:t xml:space="preserve"> </w:t>
      </w:r>
      <w:r>
        <w:tab/>
      </w:r>
      <w:r>
        <w:rPr>
          <w:lang w:val="en-GB"/>
        </w:rPr>
        <w:t xml:space="preserve">ABCB website, </w:t>
      </w:r>
      <w:r w:rsidRPr="00F351EC">
        <w:rPr>
          <w:lang w:val="en-GB"/>
        </w:rPr>
        <w:t>https://www.abcb.gov.au/Resources/Publications/Education-Training/NCC-2019-Energy-Efficiency-Provisions-development-</w:t>
      </w:r>
      <w:r w:rsidRPr="000F1980">
        <w:rPr>
          <w:lang w:val="en-GB"/>
        </w:rPr>
        <w:t>process,</w:t>
      </w:r>
      <w:r>
        <w:rPr>
          <w:lang w:val="en-GB"/>
        </w:rPr>
        <w:t xml:space="preserve"> accessed 26 February 2018.</w:t>
      </w:r>
    </w:p>
  </w:footnote>
  <w:footnote w:id="19">
    <w:p w:rsidR="0093736F" w:rsidRPr="00E6222F" w:rsidRDefault="0093736F" w:rsidP="00612FD3">
      <w:pPr>
        <w:pStyle w:val="FootnoteText"/>
        <w:rPr>
          <w:lang w:val="en-GB"/>
        </w:rPr>
      </w:pPr>
      <w:r>
        <w:rPr>
          <w:rStyle w:val="FootnoteReference"/>
        </w:rPr>
        <w:footnoteRef/>
      </w:r>
      <w:r>
        <w:t xml:space="preserve"> Council of Australian Governments, </w:t>
      </w:r>
      <w:r w:rsidRPr="00E6222F">
        <w:rPr>
          <w:i/>
        </w:rPr>
        <w:t>Best Practice Regulation: A Guide for Ministerial Councils and National Standard Setting Bodies</w:t>
      </w:r>
      <w:r>
        <w:t>, October 2007, p. 6.</w:t>
      </w:r>
    </w:p>
  </w:footnote>
  <w:footnote w:id="20">
    <w:p w:rsidR="0093736F" w:rsidRPr="00E6222F" w:rsidRDefault="0093736F" w:rsidP="00612FD3">
      <w:pPr>
        <w:pStyle w:val="FootnoteText"/>
        <w:rPr>
          <w:lang w:val="en-GB"/>
        </w:rPr>
      </w:pPr>
      <w:r>
        <w:rPr>
          <w:rStyle w:val="FootnoteReference"/>
        </w:rPr>
        <w:footnoteRef/>
      </w:r>
      <w:r>
        <w:t xml:space="preserve"> </w:t>
      </w:r>
      <w:r>
        <w:rPr>
          <w:lang w:val="en-GB"/>
        </w:rPr>
        <w:t xml:space="preserve">Australian Government Office of Best Practice Regulation, </w:t>
      </w:r>
      <w:r w:rsidRPr="00E6222F">
        <w:rPr>
          <w:i/>
          <w:lang w:val="en-GB"/>
        </w:rPr>
        <w:t>Guidance Note — Best Practice Consultation</w:t>
      </w:r>
      <w:r>
        <w:rPr>
          <w:lang w:val="en-GB"/>
        </w:rPr>
        <w:t>, February 2016.</w:t>
      </w:r>
    </w:p>
  </w:footnote>
  <w:footnote w:id="21">
    <w:p w:rsidR="0093736F" w:rsidRPr="00751CD8" w:rsidRDefault="0093736F" w:rsidP="00612FD3">
      <w:pPr>
        <w:pStyle w:val="FootnoteText"/>
        <w:rPr>
          <w:lang w:val="en-GB"/>
        </w:rPr>
      </w:pPr>
      <w:r>
        <w:rPr>
          <w:rStyle w:val="FootnoteReference"/>
        </w:rPr>
        <w:footnoteRef/>
      </w:r>
      <w:r>
        <w:t xml:space="preserve"> </w:t>
      </w:r>
      <w:r>
        <w:tab/>
      </w:r>
      <w:r>
        <w:rPr>
          <w:lang w:val="en-GB"/>
        </w:rPr>
        <w:t xml:space="preserve">United Nations Framework Convention on Climate Change website, </w:t>
      </w:r>
      <w:hyperlink r:id="rId3" w:history="1">
        <w:r w:rsidRPr="007C7619">
          <w:rPr>
            <w:rStyle w:val="Hyperlink"/>
            <w:lang w:val="en-GB"/>
          </w:rPr>
          <w:t>http://unfccc.int/paris_agreement/items/9485.php</w:t>
        </w:r>
      </w:hyperlink>
      <w:r>
        <w:rPr>
          <w:lang w:val="en-GB"/>
        </w:rPr>
        <w:t>, accessed 19 October 2017.</w:t>
      </w:r>
    </w:p>
  </w:footnote>
  <w:footnote w:id="22">
    <w:p w:rsidR="0093736F" w:rsidRPr="00702D02" w:rsidRDefault="0093736F" w:rsidP="00612FD3">
      <w:pPr>
        <w:pStyle w:val="FootnoteText"/>
        <w:rPr>
          <w:lang w:val="en-GB"/>
        </w:rPr>
      </w:pPr>
      <w:r>
        <w:rPr>
          <w:rStyle w:val="FootnoteReference"/>
        </w:rPr>
        <w:footnoteRef/>
      </w:r>
      <w:r>
        <w:t xml:space="preserve"> </w:t>
      </w:r>
      <w:r>
        <w:tab/>
      </w:r>
      <w:r>
        <w:rPr>
          <w:lang w:val="en-GB"/>
        </w:rPr>
        <w:t xml:space="preserve">See for example COAG Energy Council 2015, </w:t>
      </w:r>
      <w:r w:rsidRPr="004806BC">
        <w:rPr>
          <w:i/>
          <w:lang w:val="en-GB"/>
        </w:rPr>
        <w:t>National Energy Productivity Plan 2015</w:t>
      </w:r>
      <w:r w:rsidRPr="004806BC">
        <w:rPr>
          <w:i/>
          <w:lang w:val="en-GB"/>
        </w:rPr>
        <w:noBreakHyphen/>
        <w:t>2030: Boosting Competitiveness, managing costs and reducing emissions</w:t>
      </w:r>
      <w:r>
        <w:rPr>
          <w:lang w:val="en-GB"/>
        </w:rPr>
        <w:t>, December 2015, p. 6.</w:t>
      </w:r>
    </w:p>
  </w:footnote>
  <w:footnote w:id="23">
    <w:p w:rsidR="0093736F" w:rsidRDefault="0093736F" w:rsidP="00612FD3">
      <w:pPr>
        <w:pStyle w:val="FootnoteText"/>
      </w:pPr>
      <w:r>
        <w:rPr>
          <w:rStyle w:val="FootnoteReference"/>
        </w:rPr>
        <w:footnoteRef/>
      </w:r>
      <w:r>
        <w:t xml:space="preserve"> </w:t>
      </w:r>
      <w:r>
        <w:tab/>
        <w:t xml:space="preserve">Gerarden, T.D., Newell, R.G. and Stavins, R.N. 2015, </w:t>
      </w:r>
      <w:r>
        <w:rPr>
          <w:i/>
        </w:rPr>
        <w:t>Assessing the Energy Efficiency Gap</w:t>
      </w:r>
      <w:r>
        <w:t>, Duke University Energy Initiative and Harvard Environmental Economics Program, January 2015, p. 1.</w:t>
      </w:r>
    </w:p>
  </w:footnote>
  <w:footnote w:id="24">
    <w:p w:rsidR="0093736F" w:rsidRPr="00E6222F" w:rsidRDefault="0093736F" w:rsidP="00612FD3">
      <w:pPr>
        <w:pStyle w:val="FootnoteText"/>
        <w:rPr>
          <w:lang w:val="en-GB"/>
        </w:rPr>
      </w:pPr>
      <w:r>
        <w:rPr>
          <w:rStyle w:val="FootnoteReference"/>
        </w:rPr>
        <w:footnoteRef/>
      </w:r>
      <w:r>
        <w:t xml:space="preserve"> </w:t>
      </w:r>
      <w:r>
        <w:tab/>
      </w:r>
      <w:r>
        <w:rPr>
          <w:lang w:val="en-GB"/>
        </w:rPr>
        <w:t xml:space="preserve">Gillingham, K. and Sweeney, J. 2010, </w:t>
      </w:r>
      <w:r w:rsidRPr="00E6222F">
        <w:rPr>
          <w:i/>
          <w:lang w:val="en-GB"/>
        </w:rPr>
        <w:t>Market Failure and the Structure of Externalities</w:t>
      </w:r>
      <w:r>
        <w:rPr>
          <w:lang w:val="en-GB"/>
        </w:rPr>
        <w:t>, p. 71,</w:t>
      </w:r>
    </w:p>
  </w:footnote>
  <w:footnote w:id="25">
    <w:p w:rsidR="0093736F" w:rsidRPr="00E6222F" w:rsidRDefault="0093736F" w:rsidP="00612FD3">
      <w:pPr>
        <w:pStyle w:val="FootnoteText"/>
        <w:rPr>
          <w:lang w:val="en-GB"/>
        </w:rPr>
      </w:pPr>
      <w:r>
        <w:rPr>
          <w:rStyle w:val="FootnoteReference"/>
        </w:rPr>
        <w:footnoteRef/>
      </w:r>
      <w:r>
        <w:t xml:space="preserve"> </w:t>
      </w:r>
      <w:r>
        <w:tab/>
      </w:r>
      <w:r>
        <w:rPr>
          <w:lang w:val="en-GB"/>
        </w:rPr>
        <w:t>ibid.</w:t>
      </w:r>
    </w:p>
  </w:footnote>
  <w:footnote w:id="26">
    <w:p w:rsidR="0093736F" w:rsidRPr="002B3C0A" w:rsidRDefault="0093736F">
      <w:pPr>
        <w:pStyle w:val="FootnoteText"/>
        <w:rPr>
          <w:lang w:val="en-GB"/>
        </w:rPr>
      </w:pPr>
      <w:r>
        <w:rPr>
          <w:rStyle w:val="FootnoteReference"/>
        </w:rPr>
        <w:footnoteRef/>
      </w:r>
      <w:r>
        <w:t xml:space="preserve"> </w:t>
      </w:r>
      <w:r>
        <w:rPr>
          <w:lang w:val="en-GB"/>
        </w:rPr>
        <w:t xml:space="preserve">Productivity Commission 2005, </w:t>
      </w:r>
      <w:r w:rsidRPr="00702D02">
        <w:rPr>
          <w:i/>
          <w:lang w:val="en-GB"/>
        </w:rPr>
        <w:t>The Private Cost Effectiveness of Improving Energy Efficiency</w:t>
      </w:r>
      <w:r>
        <w:rPr>
          <w:lang w:val="en-GB"/>
        </w:rPr>
        <w:t>, Inquiry No. 36, 31 August 2005, p. XXV.</w:t>
      </w:r>
    </w:p>
  </w:footnote>
  <w:footnote w:id="27">
    <w:p w:rsidR="0093736F" w:rsidRPr="004806BC" w:rsidRDefault="0093736F" w:rsidP="00612FD3">
      <w:pPr>
        <w:pStyle w:val="FootnoteText"/>
        <w:rPr>
          <w:lang w:val="en-GB"/>
        </w:rPr>
      </w:pPr>
      <w:r>
        <w:rPr>
          <w:rStyle w:val="FootnoteReference"/>
        </w:rPr>
        <w:footnoteRef/>
      </w:r>
      <w:r>
        <w:t xml:space="preserve"> </w:t>
      </w:r>
      <w:r>
        <w:tab/>
      </w:r>
      <w:r>
        <w:rPr>
          <w:lang w:val="en-GB"/>
        </w:rPr>
        <w:t xml:space="preserve">Department of the Environment and Energy website, </w:t>
      </w:r>
      <w:hyperlink r:id="rId4" w:history="1">
        <w:r w:rsidRPr="00310E06">
          <w:rPr>
            <w:rStyle w:val="Hyperlink"/>
            <w:lang w:val="en-GB"/>
          </w:rPr>
          <w:t>http://www.environment.gov.au/climate-change/publications/factsheet-australias-2030-climate-change-target</w:t>
        </w:r>
      </w:hyperlink>
      <w:r>
        <w:rPr>
          <w:lang w:val="en-GB"/>
        </w:rPr>
        <w:t>, accessed 8 November 2017.</w:t>
      </w:r>
    </w:p>
  </w:footnote>
  <w:footnote w:id="28">
    <w:p w:rsidR="0093736F" w:rsidRPr="00702D02" w:rsidRDefault="0093736F" w:rsidP="00612FD3">
      <w:pPr>
        <w:pStyle w:val="FootnoteText"/>
        <w:rPr>
          <w:lang w:val="en-GB"/>
        </w:rPr>
      </w:pPr>
      <w:r>
        <w:rPr>
          <w:rStyle w:val="FootnoteReference"/>
        </w:rPr>
        <w:footnoteRef/>
      </w:r>
      <w:r>
        <w:t xml:space="preserve"> </w:t>
      </w:r>
      <w:r>
        <w:tab/>
      </w:r>
      <w:r>
        <w:rPr>
          <w:lang w:val="en-GB"/>
        </w:rPr>
        <w:t xml:space="preserve">See for example: ClimateWorks website, </w:t>
      </w:r>
      <w:hyperlink r:id="rId5" w:history="1">
        <w:r w:rsidRPr="00310E06">
          <w:rPr>
            <w:rStyle w:val="Hyperlink"/>
            <w:lang w:val="en-GB"/>
          </w:rPr>
          <w:t>https://www.climateworksaustralia.org/project/national-projects/low-carbon-growth-plan-australia</w:t>
        </w:r>
      </w:hyperlink>
      <w:r>
        <w:rPr>
          <w:lang w:val="en-GB"/>
        </w:rPr>
        <w:t>, accessed 8 November 2017.</w:t>
      </w:r>
    </w:p>
  </w:footnote>
  <w:footnote w:id="29">
    <w:p w:rsidR="0093736F" w:rsidRPr="00702D02" w:rsidRDefault="0093736F" w:rsidP="00612FD3">
      <w:pPr>
        <w:pStyle w:val="FootnoteText"/>
        <w:rPr>
          <w:lang w:val="en-GB"/>
        </w:rPr>
      </w:pPr>
      <w:r>
        <w:rPr>
          <w:rStyle w:val="FootnoteReference"/>
        </w:rPr>
        <w:footnoteRef/>
      </w:r>
      <w:r>
        <w:t xml:space="preserve"> </w:t>
      </w:r>
      <w:r>
        <w:tab/>
        <w:t xml:space="preserve">COAG Energy Council 2005, </w:t>
      </w:r>
      <w:r w:rsidRPr="004806BC">
        <w:rPr>
          <w:i/>
        </w:rPr>
        <w:t>National Energy Productivity Plan: Work Plan</w:t>
      </w:r>
      <w:r>
        <w:rPr>
          <w:lang w:val="en-GB"/>
        </w:rPr>
        <w:t>, p. 20.</w:t>
      </w:r>
    </w:p>
  </w:footnote>
  <w:footnote w:id="30">
    <w:p w:rsidR="0093736F" w:rsidRPr="00702D02" w:rsidRDefault="0093736F" w:rsidP="00612FD3">
      <w:pPr>
        <w:pStyle w:val="FootnoteText"/>
        <w:rPr>
          <w:lang w:val="en-GB"/>
        </w:rPr>
      </w:pPr>
      <w:r>
        <w:rPr>
          <w:rStyle w:val="FootnoteReference"/>
        </w:rPr>
        <w:footnoteRef/>
      </w:r>
      <w:r>
        <w:t xml:space="preserve"> </w:t>
      </w:r>
      <w:r>
        <w:tab/>
      </w:r>
      <w:r>
        <w:rPr>
          <w:lang w:val="en-GB"/>
        </w:rPr>
        <w:t xml:space="preserve">ACCC 2017, </w:t>
      </w:r>
      <w:r w:rsidRPr="00702D02">
        <w:rPr>
          <w:i/>
          <w:lang w:val="en-GB"/>
        </w:rPr>
        <w:t>Retail Electricity Price Inquiry: Preliminary report</w:t>
      </w:r>
      <w:r>
        <w:rPr>
          <w:lang w:val="en-GB"/>
        </w:rPr>
        <w:t>, 22 September 2017, p. 12.</w:t>
      </w:r>
    </w:p>
  </w:footnote>
  <w:footnote w:id="31">
    <w:p w:rsidR="0093736F" w:rsidRPr="00702D02" w:rsidRDefault="0093736F" w:rsidP="00612FD3">
      <w:pPr>
        <w:pStyle w:val="FootnoteText"/>
        <w:rPr>
          <w:lang w:val="en-GB"/>
        </w:rPr>
      </w:pPr>
      <w:r>
        <w:rPr>
          <w:rStyle w:val="FootnoteReference"/>
        </w:rPr>
        <w:footnoteRef/>
      </w:r>
      <w:r>
        <w:t xml:space="preserve"> </w:t>
      </w:r>
      <w:r>
        <w:tab/>
      </w:r>
      <w:r>
        <w:rPr>
          <w:lang w:val="en-GB"/>
        </w:rPr>
        <w:t xml:space="preserve">ACCC 2017, </w:t>
      </w:r>
      <w:r w:rsidRPr="00702D02">
        <w:rPr>
          <w:i/>
          <w:lang w:val="en-GB"/>
        </w:rPr>
        <w:t>Gas Inquiry 2017</w:t>
      </w:r>
      <w:r w:rsidRPr="00702D02">
        <w:rPr>
          <w:i/>
          <w:lang w:val="en-GB"/>
        </w:rPr>
        <w:noBreakHyphen/>
        <w:t>2022</w:t>
      </w:r>
      <w:r>
        <w:rPr>
          <w:lang w:val="en-GB"/>
        </w:rPr>
        <w:t>, Interim Report, September 2017, p. 20.</w:t>
      </w:r>
    </w:p>
  </w:footnote>
  <w:footnote w:id="32">
    <w:p w:rsidR="0093736F" w:rsidRPr="00702D02" w:rsidRDefault="0093736F" w:rsidP="00612FD3">
      <w:pPr>
        <w:pStyle w:val="FootnoteText"/>
        <w:rPr>
          <w:lang w:val="en-GB"/>
        </w:rPr>
      </w:pPr>
      <w:r>
        <w:rPr>
          <w:rStyle w:val="FootnoteReference"/>
        </w:rPr>
        <w:footnoteRef/>
      </w:r>
      <w:r>
        <w:t xml:space="preserve"> </w:t>
      </w:r>
      <w:r>
        <w:tab/>
      </w:r>
      <w:r>
        <w:rPr>
          <w:lang w:val="en-GB"/>
        </w:rPr>
        <w:t xml:space="preserve">Productivity Commission 2005, </w:t>
      </w:r>
      <w:r w:rsidRPr="00702D02">
        <w:rPr>
          <w:i/>
          <w:lang w:val="en-GB"/>
        </w:rPr>
        <w:t>The Private Cost Effectiveness of Improving Energy Efficiency</w:t>
      </w:r>
      <w:r>
        <w:rPr>
          <w:lang w:val="en-GB"/>
        </w:rPr>
        <w:t>, Inquiry No. 36, 31 August 2005, p. XXV.</w:t>
      </w:r>
    </w:p>
  </w:footnote>
  <w:footnote w:id="33">
    <w:p w:rsidR="0093736F" w:rsidRPr="00565AE2" w:rsidRDefault="0093736F" w:rsidP="00A57430">
      <w:pPr>
        <w:pStyle w:val="FootnoteText"/>
      </w:pPr>
      <w:r>
        <w:rPr>
          <w:rStyle w:val="FootnoteReference"/>
        </w:rPr>
        <w:footnoteRef/>
      </w:r>
      <w:r>
        <w:tab/>
        <w:t xml:space="preserve">pitt&amp;sherry 2016, </w:t>
      </w:r>
      <w:r>
        <w:rPr>
          <w:i/>
        </w:rPr>
        <w:t>Final Report – Pathway to 2020 for Increased Stringency in New Building Energy Efficiency Standards: Benefit Cost Analysis: Commercial Buildings: 2016 Update</w:t>
      </w:r>
      <w:r>
        <w:t xml:space="preserve">, final report to Department of Industry, Innovation and Science, May, available at </w:t>
      </w:r>
      <w:r w:rsidRPr="00565AE2">
        <w:t>https://www.environment.gov.au/system/files/energy/files/pathway-to-2020-for-increased-stringency-in-new-building-energy-efficiency-standards-2016-update.pdf</w:t>
      </w:r>
    </w:p>
  </w:footnote>
  <w:footnote w:id="34">
    <w:p w:rsidR="0093736F" w:rsidRPr="009864FD" w:rsidRDefault="0093736F" w:rsidP="00612FD3">
      <w:pPr>
        <w:pStyle w:val="FootnoteText"/>
        <w:rPr>
          <w:lang w:val="en-GB"/>
        </w:rPr>
      </w:pPr>
      <w:r>
        <w:rPr>
          <w:rStyle w:val="FootnoteReference"/>
        </w:rPr>
        <w:footnoteRef/>
      </w:r>
      <w:r>
        <w:t xml:space="preserve"> </w:t>
      </w:r>
      <w:r>
        <w:tab/>
        <w:t>ibid.</w:t>
      </w:r>
    </w:p>
  </w:footnote>
  <w:footnote w:id="35">
    <w:p w:rsidR="0093736F" w:rsidRDefault="0093736F">
      <w:pPr>
        <w:pStyle w:val="FootnoteText"/>
      </w:pPr>
      <w:r>
        <w:rPr>
          <w:rStyle w:val="FootnoteReference"/>
        </w:rPr>
        <w:footnoteRef/>
      </w:r>
      <w:r>
        <w:t xml:space="preserve"> </w:t>
      </w:r>
      <w:r>
        <w:tab/>
        <w:t>Five out of 23 submissions do not answer the question of preferred option.</w:t>
      </w:r>
    </w:p>
  </w:footnote>
  <w:footnote w:id="36">
    <w:p w:rsidR="0093736F" w:rsidRPr="001A513D" w:rsidRDefault="0093736F" w:rsidP="008B486B">
      <w:pPr>
        <w:pStyle w:val="FootnoteText"/>
        <w:rPr>
          <w:lang w:val="en-GB"/>
        </w:rPr>
      </w:pPr>
      <w:r>
        <w:rPr>
          <w:rStyle w:val="FootnoteReference"/>
        </w:rPr>
        <w:footnoteRef/>
      </w:r>
      <w:r>
        <w:t xml:space="preserve"> </w:t>
      </w:r>
      <w:r>
        <w:rPr>
          <w:lang w:val="en-GB"/>
        </w:rPr>
        <w:t>Council of Australian Governments, Best Practice Regulation: A Guide for Ministerial Councils and National Standard Setting Bodies, October 2007, pp. 12</w:t>
      </w:r>
      <w:r>
        <w:rPr>
          <w:lang w:val="en-GB"/>
        </w:rPr>
        <w:noBreakHyphen/>
        <w:t>13.</w:t>
      </w:r>
    </w:p>
  </w:footnote>
  <w:footnote w:id="37">
    <w:p w:rsidR="0093736F" w:rsidRDefault="0093736F" w:rsidP="00612FD3">
      <w:pPr>
        <w:pStyle w:val="FootnoteText"/>
        <w:rPr>
          <w:lang w:val="en-GB"/>
        </w:rPr>
      </w:pPr>
      <w:r>
        <w:rPr>
          <w:rStyle w:val="FootnoteReference"/>
        </w:rPr>
        <w:footnoteRef/>
      </w:r>
      <w:r>
        <w:t xml:space="preserve"> </w:t>
      </w:r>
      <w:r>
        <w:tab/>
      </w:r>
      <w:r>
        <w:rPr>
          <w:lang w:val="en-GB"/>
        </w:rPr>
        <w:t xml:space="preserve">COAG Energy Council 2015, </w:t>
      </w:r>
      <w:r>
        <w:rPr>
          <w:i/>
          <w:lang w:val="en-GB"/>
        </w:rPr>
        <w:t>National Energy Productivity Plan 2015</w:t>
      </w:r>
      <w:r>
        <w:rPr>
          <w:i/>
          <w:lang w:val="en-GB"/>
        </w:rPr>
        <w:noBreakHyphen/>
        <w:t>2030: Boosting competitiveness, managing costs and reducing emissions</w:t>
      </w:r>
      <w:r>
        <w:rPr>
          <w:lang w:val="en-GB"/>
        </w:rPr>
        <w:t>, December 2015, p. 13.</w:t>
      </w:r>
    </w:p>
  </w:footnote>
  <w:footnote w:id="38">
    <w:p w:rsidR="0093736F" w:rsidRPr="00C40BB4" w:rsidRDefault="0093736F" w:rsidP="00612FD3">
      <w:pPr>
        <w:pStyle w:val="FootnoteText"/>
        <w:rPr>
          <w:lang w:val="en-GB"/>
        </w:rPr>
      </w:pPr>
      <w:r>
        <w:rPr>
          <w:rStyle w:val="FootnoteReference"/>
        </w:rPr>
        <w:footnoteRef/>
      </w:r>
      <w:r>
        <w:t xml:space="preserve"> </w:t>
      </w:r>
      <w:r>
        <w:tab/>
        <w:t xml:space="preserve">Council of Australian Governments 2007, </w:t>
      </w:r>
      <w:r w:rsidRPr="00820931">
        <w:rPr>
          <w:i/>
        </w:rPr>
        <w:t>Best Practice Regulation, A Guide for Ministerial Councils and National Standard Setting Bodies</w:t>
      </w:r>
      <w:r>
        <w:t>, October 2007, p</w:t>
      </w:r>
      <w:r>
        <w:rPr>
          <w:lang w:val="en-GB"/>
        </w:rPr>
        <w:t>. 10.</w:t>
      </w:r>
    </w:p>
  </w:footnote>
  <w:footnote w:id="39">
    <w:p w:rsidR="0093736F" w:rsidRDefault="0093736F" w:rsidP="00612FD3">
      <w:pPr>
        <w:pStyle w:val="FootnoteText"/>
      </w:pPr>
      <w:r>
        <w:rPr>
          <w:rStyle w:val="FootnoteReference"/>
        </w:rPr>
        <w:footnoteRef/>
      </w:r>
      <w:r>
        <w:t xml:space="preserve"> </w:t>
      </w:r>
      <w:r>
        <w:tab/>
        <w:t xml:space="preserve">Council of Australian Governments Energy Council 2015, </w:t>
      </w:r>
      <w:r>
        <w:rPr>
          <w:i/>
        </w:rPr>
        <w:t>National Energy Productivity Plan 2015-2030: Boosting competitiveness, managing costs and reducing emissions</w:t>
      </w:r>
      <w:r>
        <w:t xml:space="preserve">, December, Available at </w:t>
      </w:r>
      <w:r w:rsidRPr="008A2CE1">
        <w:t>http://www.coagenergycouncil.gov.au/sites/prod.energycouncil/files/publications/documents/National%20Energy%20Productivity%20Plan%20release%20version%20FINAL_0.pdf</w:t>
      </w:r>
      <w:r>
        <w:t>.</w:t>
      </w:r>
    </w:p>
  </w:footnote>
  <w:footnote w:id="40">
    <w:p w:rsidR="0093736F" w:rsidRDefault="0093736F" w:rsidP="00612FD3">
      <w:pPr>
        <w:pStyle w:val="FootnoteText"/>
      </w:pPr>
      <w:r>
        <w:rPr>
          <w:rStyle w:val="FootnoteReference"/>
        </w:rPr>
        <w:footnoteRef/>
      </w:r>
      <w:r>
        <w:t xml:space="preserve"> </w:t>
      </w:r>
      <w:r>
        <w:tab/>
        <w:t>Jewell, Cameron 2014, ‘</w:t>
      </w:r>
      <w:r w:rsidRPr="00B27FF6">
        <w:t>Mandatory disclosure of energy ratings for shopping centres is off the table</w:t>
      </w:r>
      <w:r>
        <w:t xml:space="preserve">’, </w:t>
      </w:r>
      <w:r>
        <w:rPr>
          <w:i/>
        </w:rPr>
        <w:t>The Fifth Estate</w:t>
      </w:r>
      <w:r>
        <w:t xml:space="preserve">, 13 February 2014, available at </w:t>
      </w:r>
      <w:hyperlink r:id="rId6" w:history="1">
        <w:r w:rsidRPr="00432613">
          <w:rPr>
            <w:rStyle w:val="Hyperlink"/>
          </w:rPr>
          <w:t>https://www.thefifthestate.com.au/business/government/mandatory-disclosure-of-energy-ratings-for-shopping-centres-is-off-the-table</w:t>
        </w:r>
      </w:hyperlink>
      <w:r>
        <w:t>, accessed on 8 November 2017.</w:t>
      </w:r>
    </w:p>
  </w:footnote>
  <w:footnote w:id="41">
    <w:p w:rsidR="0093736F" w:rsidRDefault="0093736F" w:rsidP="00612FD3">
      <w:pPr>
        <w:pStyle w:val="FootnoteText"/>
      </w:pPr>
      <w:r>
        <w:rPr>
          <w:rStyle w:val="FootnoteReference"/>
        </w:rPr>
        <w:footnoteRef/>
      </w:r>
      <w:r>
        <w:t xml:space="preserve"> </w:t>
      </w:r>
      <w:r>
        <w:tab/>
        <w:t>ibid.</w:t>
      </w:r>
    </w:p>
  </w:footnote>
  <w:footnote w:id="42">
    <w:p w:rsidR="0093736F" w:rsidRDefault="0093736F" w:rsidP="00612FD3">
      <w:pPr>
        <w:pStyle w:val="FootnoteText"/>
        <w:rPr>
          <w:lang w:val="en-GB"/>
        </w:rPr>
      </w:pPr>
      <w:r>
        <w:rPr>
          <w:rStyle w:val="FootnoteReference"/>
        </w:rPr>
        <w:footnoteRef/>
      </w:r>
      <w:r>
        <w:t xml:space="preserve"> </w:t>
      </w:r>
      <w:r>
        <w:tab/>
      </w:r>
      <w:r>
        <w:rPr>
          <w:lang w:val="en-GB"/>
        </w:rPr>
        <w:t xml:space="preserve">Australian Government Office of Best Practice Regulation 2014, </w:t>
      </w:r>
      <w:r>
        <w:rPr>
          <w:i/>
          <w:lang w:val="en-GB"/>
        </w:rPr>
        <w:t>Environmental Valuation and Uncertainty</w:t>
      </w:r>
      <w:r>
        <w:rPr>
          <w:lang w:val="en-GB"/>
        </w:rPr>
        <w:t>, Guidance Note, July 2014, p. 4.</w:t>
      </w:r>
    </w:p>
  </w:footnote>
  <w:footnote w:id="43">
    <w:p w:rsidR="0093736F" w:rsidRPr="00365776" w:rsidRDefault="0093736F" w:rsidP="00612FD3">
      <w:pPr>
        <w:pStyle w:val="FootnoteText"/>
        <w:rPr>
          <w:lang w:val="en-GB"/>
        </w:rPr>
      </w:pPr>
      <w:r>
        <w:rPr>
          <w:rStyle w:val="FootnoteReference"/>
        </w:rPr>
        <w:footnoteRef/>
      </w:r>
      <w:r>
        <w:t xml:space="preserve"> </w:t>
      </w:r>
      <w:r>
        <w:tab/>
      </w:r>
      <w:r>
        <w:rPr>
          <w:lang w:val="en-GB"/>
        </w:rPr>
        <w:t xml:space="preserve">Fujita, K.S. 2016, </w:t>
      </w:r>
      <w:r w:rsidRPr="00794F39">
        <w:rPr>
          <w:i/>
          <w:lang w:val="en-GB"/>
        </w:rPr>
        <w:t>Commercial Discount Rate Estimation for Energy Efficiency Standards</w:t>
      </w:r>
      <w:r>
        <w:rPr>
          <w:lang w:val="en-GB"/>
        </w:rPr>
        <w:t>, Lawrence Berkeley National Laboratory, 13 April 2016.</w:t>
      </w:r>
    </w:p>
  </w:footnote>
  <w:footnote w:id="44">
    <w:p w:rsidR="0093736F" w:rsidRPr="00E70432" w:rsidRDefault="0093736F" w:rsidP="00164C8C">
      <w:pPr>
        <w:pStyle w:val="FootnoteText"/>
        <w:rPr>
          <w:lang w:val="en-GB"/>
        </w:rPr>
      </w:pPr>
      <w:r>
        <w:rPr>
          <w:rStyle w:val="FootnoteReference"/>
        </w:rPr>
        <w:footnoteRef/>
      </w:r>
      <w:r>
        <w:t xml:space="preserve"> </w:t>
      </w:r>
      <w:r>
        <w:tab/>
      </w:r>
      <w:r>
        <w:rPr>
          <w:lang w:val="en-GB"/>
        </w:rPr>
        <w:t xml:space="preserve">Productivity Commission 2005, </w:t>
      </w:r>
      <w:r w:rsidRPr="00477635">
        <w:rPr>
          <w:i/>
          <w:lang w:val="en-GB"/>
        </w:rPr>
        <w:t>The Private Cost Effectiveness of Improving Energy Efficiency</w:t>
      </w:r>
      <w:r>
        <w:rPr>
          <w:lang w:val="en-GB"/>
        </w:rPr>
        <w:t>, Productivity Commission Inquiry Report No. 36, 31 August 2005</w:t>
      </w:r>
      <w:r w:rsidRPr="00194794">
        <w:rPr>
          <w:lang w:val="en-GB"/>
        </w:rPr>
        <w:t>, p. 236</w:t>
      </w:r>
      <w:r>
        <w:rPr>
          <w:lang w:val="en-GB"/>
        </w:rPr>
        <w:t>.</w:t>
      </w:r>
    </w:p>
  </w:footnote>
  <w:footnote w:id="45">
    <w:p w:rsidR="0093736F" w:rsidRPr="00C860B9" w:rsidRDefault="0093736F">
      <w:pPr>
        <w:pStyle w:val="FootnoteText"/>
      </w:pPr>
      <w:r>
        <w:rPr>
          <w:rStyle w:val="FootnoteReference"/>
        </w:rPr>
        <w:footnoteRef/>
      </w:r>
      <w:r>
        <w:t xml:space="preserve"> </w:t>
      </w:r>
      <w:r>
        <w:tab/>
        <w:t xml:space="preserve">Energy Action 2018, </w:t>
      </w:r>
      <w:r>
        <w:rPr>
          <w:i/>
        </w:rPr>
        <w:t>Modelling &amp; Sensitivity Analysis: NCC Section J Revision</w:t>
      </w:r>
      <w:r>
        <w:t>, 8 November 2018, Energy Action, Canberra.</w:t>
      </w:r>
    </w:p>
  </w:footnote>
  <w:footnote w:id="46">
    <w:p w:rsidR="0093736F" w:rsidRPr="00E372D7" w:rsidRDefault="0093736F">
      <w:pPr>
        <w:pStyle w:val="FootnoteText"/>
        <w:rPr>
          <w:lang w:val="en-US"/>
        </w:rPr>
      </w:pPr>
      <w:r w:rsidRPr="00D6125A">
        <w:rPr>
          <w:rStyle w:val="FootnoteReference"/>
        </w:rPr>
        <w:footnoteRef/>
      </w:r>
      <w:r w:rsidRPr="00D6125A">
        <w:t xml:space="preserve"> </w:t>
      </w:r>
      <w:r w:rsidRPr="00D6125A">
        <w:rPr>
          <w:lang w:val="en-US"/>
        </w:rPr>
        <w:t>Nine stakeholders provided varying estimates of WWR, none cited new evidence and averages of responses were comparable to those tested in this analysis</w:t>
      </w:r>
      <w:r w:rsidRPr="00E372D7">
        <w:rPr>
          <w:lang w:val="en-US"/>
        </w:rPr>
        <w:t>. See Appendix C</w:t>
      </w:r>
    </w:p>
  </w:footnote>
  <w:footnote w:id="47">
    <w:p w:rsidR="0093736F" w:rsidRDefault="0093736F" w:rsidP="006133DD">
      <w:pPr>
        <w:pStyle w:val="FootnoteText"/>
        <w:rPr>
          <w:lang w:val="en-GB"/>
        </w:rPr>
      </w:pPr>
      <w:r>
        <w:rPr>
          <w:rStyle w:val="FootnoteReference"/>
        </w:rPr>
        <w:footnoteRef/>
      </w:r>
      <w:r>
        <w:t xml:space="preserve"> </w:t>
      </w:r>
      <w:r>
        <w:rPr>
          <w:lang w:val="en-GB"/>
        </w:rPr>
        <w:t>Note that the decomposition modelling uses a different assumption in relation to insulation, so the results do not exactly align.</w:t>
      </w:r>
    </w:p>
  </w:footnote>
  <w:footnote w:id="48">
    <w:p w:rsidR="0093736F" w:rsidRPr="00F37514" w:rsidRDefault="0093736F" w:rsidP="00612FD3">
      <w:pPr>
        <w:pStyle w:val="FootnoteText"/>
        <w:rPr>
          <w:lang w:val="en-GB"/>
        </w:rPr>
      </w:pPr>
      <w:r>
        <w:rPr>
          <w:rStyle w:val="FootnoteReference"/>
        </w:rPr>
        <w:footnoteRef/>
      </w:r>
      <w:r>
        <w:t xml:space="preserve"> </w:t>
      </w:r>
      <w:r>
        <w:tab/>
      </w:r>
      <w:r>
        <w:rPr>
          <w:lang w:val="en-GB"/>
        </w:rPr>
        <w:t xml:space="preserve">See for example: Houston Kemp Economists 2017, </w:t>
      </w:r>
      <w:r w:rsidRPr="00A77DD6">
        <w:rPr>
          <w:i/>
          <w:lang w:val="en-GB"/>
        </w:rPr>
        <w:t>Residential Building Regulatory Impact Statement Methodology</w:t>
      </w:r>
      <w:r>
        <w:rPr>
          <w:lang w:val="en-GB"/>
        </w:rPr>
        <w:t xml:space="preserve">, A report for the Department of the Environment and Energy, 6 April 2017; and </w:t>
      </w:r>
      <w:r>
        <w:t xml:space="preserve">pitt&amp;sherry 2016, </w:t>
      </w:r>
      <w:r>
        <w:rPr>
          <w:i/>
        </w:rPr>
        <w:t>Final Report – Pathway to 2020 for Increased Stringency in New Building Energy Efficiency Standards: Benefit Cost Analysis: Commercial Buildings: 2016 Update</w:t>
      </w:r>
      <w:r>
        <w:t xml:space="preserve">, final report to Department of Industry, Innovation and Science, May, available at </w:t>
      </w:r>
      <w:hyperlink r:id="rId7" w:history="1">
        <w:r w:rsidRPr="00B207E3">
          <w:rPr>
            <w:rStyle w:val="Hyperlink"/>
          </w:rPr>
          <w:t>https://www.environment.gov.au/system/files/energy/files/pathway-to-2020-for-increased-stringency-in-new-building-energy-efficiency-standards-2016-update.pdf</w:t>
        </w:r>
      </w:hyperlink>
      <w:r>
        <w:t>, accessed 21 November 2017.</w:t>
      </w:r>
    </w:p>
  </w:footnote>
  <w:footnote w:id="49">
    <w:p w:rsidR="0093736F" w:rsidRDefault="0093736F" w:rsidP="00612FD3">
      <w:pPr>
        <w:pStyle w:val="FootnoteText"/>
        <w:rPr>
          <w:lang w:val="en-GB"/>
        </w:rPr>
      </w:pPr>
      <w:r>
        <w:rPr>
          <w:rStyle w:val="FootnoteReference"/>
        </w:rPr>
        <w:footnoteRef/>
      </w:r>
      <w:r>
        <w:t xml:space="preserve"> </w:t>
      </w:r>
      <w:r>
        <w:tab/>
      </w:r>
      <w:r>
        <w:rPr>
          <w:lang w:val="en-GB"/>
        </w:rPr>
        <w:t xml:space="preserve">pitt&amp;sherry, </w:t>
      </w:r>
      <w:r>
        <w:rPr>
          <w:i/>
          <w:lang w:val="en-GB"/>
        </w:rPr>
        <w:t>Commercial Building Learning Rates</w:t>
      </w:r>
      <w:r>
        <w:rPr>
          <w:lang w:val="en-GB"/>
        </w:rPr>
        <w:t xml:space="preserve">, Final </w:t>
      </w:r>
      <w:r w:rsidRPr="003E747D">
        <w:rPr>
          <w:lang w:val="en-GB"/>
        </w:rPr>
        <w:t xml:space="preserve">Report, Prepared for the Department of </w:t>
      </w:r>
      <w:r w:rsidRPr="009C6B25">
        <w:rPr>
          <w:lang w:val="en-GB"/>
        </w:rPr>
        <w:t>Industry, Innovation and Science, 3 Au</w:t>
      </w:r>
      <w:r>
        <w:rPr>
          <w:lang w:val="en-GB"/>
        </w:rPr>
        <w:t>gust 2016, p. ii.</w:t>
      </w:r>
    </w:p>
  </w:footnote>
  <w:footnote w:id="50">
    <w:p w:rsidR="0093736F" w:rsidRPr="00F37514" w:rsidRDefault="0093736F" w:rsidP="00612FD3">
      <w:pPr>
        <w:pStyle w:val="FootnoteText"/>
        <w:rPr>
          <w:lang w:val="en-GB"/>
        </w:rPr>
      </w:pPr>
      <w:r>
        <w:rPr>
          <w:rStyle w:val="FootnoteReference"/>
        </w:rPr>
        <w:footnoteRef/>
      </w:r>
      <w:r>
        <w:t xml:space="preserve"> </w:t>
      </w:r>
      <w:r>
        <w:tab/>
      </w:r>
      <w:r>
        <w:rPr>
          <w:lang w:val="en-GB"/>
        </w:rPr>
        <w:t xml:space="preserve">pitt&amp;sherry, </w:t>
      </w:r>
      <w:r w:rsidRPr="00F37514">
        <w:rPr>
          <w:i/>
          <w:lang w:val="en-GB"/>
        </w:rPr>
        <w:t>Pathway to 2020 for Increased Stringency in New Building Energy Efficiency Standards: Benefit Cost Analysis for Commercial Buildings — 2016 Update</w:t>
      </w:r>
      <w:r>
        <w:rPr>
          <w:lang w:val="en-GB"/>
        </w:rPr>
        <w:t>, Prepared for the Department of Industry, Innovation and Science, May 2016, p. 4.</w:t>
      </w:r>
    </w:p>
  </w:footnote>
  <w:footnote w:id="51">
    <w:p w:rsidR="0093736F" w:rsidRPr="00F37514" w:rsidRDefault="0093736F" w:rsidP="00612FD3">
      <w:pPr>
        <w:pStyle w:val="FootnoteText"/>
        <w:rPr>
          <w:lang w:val="en-GB"/>
        </w:rPr>
      </w:pPr>
      <w:r>
        <w:rPr>
          <w:rStyle w:val="FootnoteReference"/>
        </w:rPr>
        <w:footnoteRef/>
      </w:r>
      <w:r>
        <w:t xml:space="preserve"> </w:t>
      </w:r>
      <w:r>
        <w:tab/>
      </w:r>
      <w:r>
        <w:rPr>
          <w:lang w:val="en-GB"/>
        </w:rPr>
        <w:t xml:space="preserve">Strategy. Policy. Research.2017, </w:t>
      </w:r>
      <w:r w:rsidRPr="005F0CC6">
        <w:rPr>
          <w:i/>
          <w:lang w:val="en-GB"/>
        </w:rPr>
        <w:t>Quantifying Commercial Building Learning Rates in Australia: Final Report</w:t>
      </w:r>
      <w:r>
        <w:rPr>
          <w:lang w:val="en-GB"/>
        </w:rPr>
        <w:t>, Prepared for the Department of the Environment and Energy, June 2017, p. vi.</w:t>
      </w:r>
    </w:p>
  </w:footnote>
  <w:footnote w:id="52">
    <w:p w:rsidR="0093736F" w:rsidRPr="00D06E06" w:rsidRDefault="0093736F" w:rsidP="002E33D3">
      <w:pPr>
        <w:pStyle w:val="FootnoteText"/>
        <w:rPr>
          <w:lang w:val="en-GB"/>
        </w:rPr>
      </w:pPr>
      <w:r>
        <w:rPr>
          <w:rStyle w:val="FootnoteReference"/>
        </w:rPr>
        <w:footnoteRef/>
      </w:r>
      <w:r>
        <w:t xml:space="preserve"> </w:t>
      </w:r>
      <w:r>
        <w:rPr>
          <w:lang w:val="en-GB"/>
        </w:rPr>
        <w:t xml:space="preserve">AIRAH 2014, “The new space race”, </w:t>
      </w:r>
      <w:r w:rsidRPr="00D06E06">
        <w:rPr>
          <w:i/>
          <w:lang w:val="en-GB"/>
        </w:rPr>
        <w:t>Ecolibrium</w:t>
      </w:r>
      <w:r>
        <w:rPr>
          <w:lang w:val="en-GB"/>
        </w:rPr>
        <w:t>, February 2014.</w:t>
      </w:r>
    </w:p>
  </w:footnote>
  <w:footnote w:id="53">
    <w:p w:rsidR="0093736F" w:rsidRDefault="0093736F" w:rsidP="00612FD3">
      <w:pPr>
        <w:pStyle w:val="FootnoteText"/>
      </w:pPr>
      <w:r>
        <w:rPr>
          <w:rStyle w:val="FootnoteReference"/>
        </w:rPr>
        <w:footnoteRef/>
      </w:r>
      <w:r>
        <w:t xml:space="preserve"> </w:t>
      </w:r>
      <w:r>
        <w:tab/>
        <w:t>See for example, Gerarden, Todd D., Richard G. Newell and Robert N. Stavins 2015, “Assessing the Energy Efficiency Gap”, Cambridge, Mass.: Harvard Environmental Economics Program, January 2015.</w:t>
      </w:r>
    </w:p>
  </w:footnote>
  <w:footnote w:id="54">
    <w:p w:rsidR="0093736F" w:rsidRPr="00AE7E6B" w:rsidRDefault="0093736F" w:rsidP="00612FD3">
      <w:pPr>
        <w:pStyle w:val="FootnoteText"/>
      </w:pPr>
      <w:r>
        <w:rPr>
          <w:rStyle w:val="FootnoteReference"/>
        </w:rPr>
        <w:footnoteRef/>
      </w:r>
      <w:r>
        <w:t xml:space="preserve"> </w:t>
      </w:r>
      <w:r>
        <w:tab/>
        <w:t xml:space="preserve">Productivity Commission 2005, </w:t>
      </w:r>
      <w:r>
        <w:rPr>
          <w:i/>
        </w:rPr>
        <w:t>The Private Cost Effectiveness of Improving Energy Efficiency</w:t>
      </w:r>
      <w:r>
        <w:t>, Productivity Commission Inquiry Report No.36, 31 August 2005, p. XXXVIII and p.227.</w:t>
      </w:r>
    </w:p>
  </w:footnote>
  <w:footnote w:id="55">
    <w:p w:rsidR="0093736F" w:rsidRDefault="0093736F" w:rsidP="00612FD3">
      <w:pPr>
        <w:pStyle w:val="FootnoteText"/>
      </w:pPr>
      <w:r>
        <w:rPr>
          <w:rStyle w:val="FootnoteReference"/>
        </w:rPr>
        <w:footnoteRef/>
      </w:r>
      <w:r>
        <w:t xml:space="preserve"> </w:t>
      </w:r>
      <w:r>
        <w:tab/>
        <w:t xml:space="preserve">ClimateWorks Australia, ANU, CSIRO and CoPS 2014. ‘Assumptions and input’, In </w:t>
      </w:r>
      <w:r w:rsidRPr="00EE650C">
        <w:rPr>
          <w:i/>
        </w:rPr>
        <w:t>Pathways to deep decarbonisation in 2050: How Australia can prosper in a low carbon world: Technical report</w:t>
      </w:r>
      <w:r>
        <w:t>, Section 5.2, ClimateWorks Australia.</w:t>
      </w:r>
    </w:p>
  </w:footnote>
  <w:footnote w:id="56">
    <w:p w:rsidR="0093736F" w:rsidRDefault="0093736F" w:rsidP="00612FD3">
      <w:pPr>
        <w:pStyle w:val="FootnoteText"/>
      </w:pPr>
      <w:r>
        <w:rPr>
          <w:rStyle w:val="FootnoteReference"/>
        </w:rPr>
        <w:footnoteRef/>
      </w:r>
      <w:r>
        <w:t xml:space="preserve"> </w:t>
      </w:r>
      <w:r>
        <w:tab/>
        <w:t>Such programs include the adoption and mandatory disclosure of NABERS and Green Star rating applied to around 11 per cent of new commercial building space which comprises of offices (and only voluntarily applied to hotels and shopping centres), the Australian Minimum Energy Performance Standards (MEPS) of energy performance for appliances, lighting and electrical equipment, minimum energy performance standards that have been introduced for Government office buildings, and other state-based schemes such as the Energy Savings Scheme in New South Wales that targets energy savings through the installation, upgrade and replacement of building equipment.</w:t>
      </w:r>
    </w:p>
  </w:footnote>
  <w:footnote w:id="57">
    <w:p w:rsidR="0093736F" w:rsidRDefault="0093736F" w:rsidP="00612FD3">
      <w:pPr>
        <w:pStyle w:val="FootnoteText"/>
      </w:pPr>
      <w:r>
        <w:rPr>
          <w:rStyle w:val="FootnoteReference"/>
        </w:rPr>
        <w:footnoteRef/>
      </w:r>
      <w:r>
        <w:t xml:space="preserve"> </w:t>
      </w:r>
      <w:r>
        <w:tab/>
        <w:t xml:space="preserve">Note that in pitt&amp;sherry’s 2015 report, </w:t>
      </w:r>
      <w:r>
        <w:rPr>
          <w:lang w:bidi="fa-IR"/>
        </w:rPr>
        <w:t xml:space="preserve">in the year 2020, code-related changes are suggested to account for more than half of the improvement (around 55 per cent) in the energy intensity of commercial buildings across Sydney. This is anticipated to increase to 70 per cent by 2030. </w:t>
      </w:r>
      <w:r>
        <w:t xml:space="preserve">pitt&amp;sherry incorporate both residential and commercial buildings (which may differ between states), as well as BASIX, to calculate the impact of code related changes on the total change in energy intensity across commercial and residential buildings. </w:t>
      </w:r>
    </w:p>
  </w:footnote>
  <w:footnote w:id="58">
    <w:p w:rsidR="0093736F" w:rsidRDefault="0093736F" w:rsidP="00612FD3">
      <w:pPr>
        <w:pStyle w:val="FootnoteText"/>
      </w:pPr>
      <w:r>
        <w:rPr>
          <w:rStyle w:val="FootnoteReference"/>
        </w:rPr>
        <w:footnoteRef/>
      </w:r>
      <w:r>
        <w:t xml:space="preserve"> </w:t>
      </w:r>
      <w:r>
        <w:tab/>
      </w:r>
      <w:r>
        <w:rPr>
          <w:lang w:bidi="fa-IR"/>
        </w:rPr>
        <w:t xml:space="preserve">The DTS results predicted that buildings in major cities built under the changes would achieve a range of 21 per cent to 24 per cent improvement for offices, 24 per cent to 27 per cent for retail (the dominant building class) and 21 per cent to 24 per cent for schools. </w:t>
      </w:r>
      <w:r>
        <w:t>However, figure 6.1, suggests that overall a change of up to 20 per cent across all new commercial buildings would be achieved.</w:t>
      </w:r>
    </w:p>
  </w:footnote>
  <w:footnote w:id="59">
    <w:p w:rsidR="0093736F" w:rsidRDefault="0093736F" w:rsidP="00612FD3">
      <w:pPr>
        <w:pStyle w:val="FootnoteText"/>
      </w:pPr>
      <w:r>
        <w:rPr>
          <w:rStyle w:val="FootnoteReference"/>
        </w:rPr>
        <w:footnoteRef/>
      </w:r>
      <w:r>
        <w:t xml:space="preserve"> </w:t>
      </w:r>
      <w:r>
        <w:tab/>
        <w:t>As per the estimates in pitt&amp;sherry (2015).</w:t>
      </w:r>
    </w:p>
  </w:footnote>
  <w:footnote w:id="60">
    <w:p w:rsidR="0093736F" w:rsidRPr="005D74B3" w:rsidRDefault="0093736F" w:rsidP="00612FD3">
      <w:pPr>
        <w:pStyle w:val="FootnoteText"/>
        <w:rPr>
          <w:lang w:val="en-GB"/>
        </w:rPr>
      </w:pPr>
      <w:r>
        <w:rPr>
          <w:rStyle w:val="FootnoteReference"/>
        </w:rPr>
        <w:footnoteRef/>
      </w:r>
      <w:r>
        <w:t xml:space="preserve"> </w:t>
      </w:r>
      <w:r>
        <w:rPr>
          <w:lang w:val="en-GB"/>
        </w:rPr>
        <w:t xml:space="preserve">NABERS 2011, </w:t>
      </w:r>
      <w:r w:rsidRPr="005D74B3">
        <w:rPr>
          <w:i/>
          <w:lang w:val="en-GB"/>
        </w:rPr>
        <w:t>Guide to Building Energy Estimation</w:t>
      </w:r>
      <w:r>
        <w:rPr>
          <w:lang w:val="en-GB"/>
        </w:rPr>
        <w:t>, p. 2.</w:t>
      </w:r>
    </w:p>
  </w:footnote>
  <w:footnote w:id="61">
    <w:p w:rsidR="0093736F" w:rsidRPr="002B3C0A" w:rsidRDefault="0093736F">
      <w:pPr>
        <w:pStyle w:val="FootnoteText"/>
        <w:rPr>
          <w:lang w:val="en-GB"/>
        </w:rPr>
      </w:pPr>
      <w:r>
        <w:rPr>
          <w:rStyle w:val="FootnoteReference"/>
        </w:rPr>
        <w:footnoteRef/>
      </w:r>
      <w:r>
        <w:t xml:space="preserve"> </w:t>
      </w:r>
      <w:r>
        <w:tab/>
        <w:t xml:space="preserve">Department of the Environment and Energy, </w:t>
      </w:r>
      <w:r w:rsidRPr="002B3C0A">
        <w:rPr>
          <w:i/>
          <w:lang w:val="en-GB"/>
        </w:rPr>
        <w:t>Australia’s emissions projections 2017</w:t>
      </w:r>
      <w:r>
        <w:rPr>
          <w:lang w:val="en-GB"/>
        </w:rPr>
        <w:t>, December 2017, p. 3.</w:t>
      </w:r>
    </w:p>
  </w:footnote>
  <w:footnote w:id="62">
    <w:p w:rsidR="0093736F" w:rsidRPr="001C4661" w:rsidRDefault="0093736F" w:rsidP="00612FD3">
      <w:pPr>
        <w:pStyle w:val="FootnoteText"/>
        <w:rPr>
          <w:lang w:val="en-GB"/>
        </w:rPr>
      </w:pPr>
      <w:r>
        <w:rPr>
          <w:rStyle w:val="FootnoteReference"/>
        </w:rPr>
        <w:footnoteRef/>
      </w:r>
      <w:r>
        <w:t xml:space="preserve"> </w:t>
      </w:r>
      <w:r>
        <w:tab/>
      </w:r>
      <w:r>
        <w:rPr>
          <w:lang w:val="en-GB"/>
        </w:rPr>
        <w:t xml:space="preserve">NABERS website, </w:t>
      </w:r>
      <w:hyperlink r:id="rId8" w:history="1">
        <w:r w:rsidRPr="004237CA">
          <w:rPr>
            <w:rStyle w:val="Hyperlink"/>
            <w:lang w:val="en-GB"/>
          </w:rPr>
          <w:t>https://nabers.gov.au/public/WebPages/ContentStandard.aspx?module=21&amp;template=3&amp;id=220</w:t>
        </w:r>
      </w:hyperlink>
      <w:r>
        <w:rPr>
          <w:lang w:val="en-GB"/>
        </w:rPr>
        <w:t>, accessed 27 February 2018.</w:t>
      </w:r>
    </w:p>
  </w:footnote>
  <w:footnote w:id="63">
    <w:p w:rsidR="0093736F" w:rsidRPr="005D74B3" w:rsidRDefault="0093736F" w:rsidP="00612FD3">
      <w:pPr>
        <w:pStyle w:val="FootnoteText"/>
        <w:rPr>
          <w:lang w:val="en-GB"/>
        </w:rPr>
      </w:pPr>
      <w:r>
        <w:rPr>
          <w:rStyle w:val="FootnoteReference"/>
        </w:rPr>
        <w:footnoteRef/>
      </w:r>
      <w:r>
        <w:t xml:space="preserve"> </w:t>
      </w:r>
      <w:r>
        <w:tab/>
        <w:t xml:space="preserve">Green Building Council of Australia, </w:t>
      </w:r>
      <w:r w:rsidRPr="005D74B3">
        <w:rPr>
          <w:i/>
        </w:rPr>
        <w:t>Penetration of Green Star Australia’s office market</w:t>
      </w:r>
      <w:r>
        <w:t>, May 2017, p. 2.</w:t>
      </w:r>
    </w:p>
  </w:footnote>
  <w:footnote w:id="64">
    <w:p w:rsidR="0093736F" w:rsidRPr="00C327D0" w:rsidRDefault="0093736F" w:rsidP="00E17098">
      <w:pPr>
        <w:pStyle w:val="FootnoteText"/>
        <w:rPr>
          <w:lang w:val="en-GB"/>
        </w:rPr>
      </w:pPr>
      <w:r>
        <w:rPr>
          <w:rStyle w:val="FootnoteReference"/>
        </w:rPr>
        <w:footnoteRef/>
      </w:r>
      <w:r>
        <w:t xml:space="preserve"> </w:t>
      </w:r>
      <w:r>
        <w:rPr>
          <w:lang w:val="en-GB"/>
        </w:rPr>
        <w:t>A seminar in Darwin may be given by ABCB.</w:t>
      </w:r>
    </w:p>
  </w:footnote>
  <w:footnote w:id="65">
    <w:p w:rsidR="0093736F" w:rsidRPr="00A3152A" w:rsidRDefault="0093736F" w:rsidP="00243B95">
      <w:pPr>
        <w:pStyle w:val="FootnoteText"/>
      </w:pPr>
      <w:r>
        <w:rPr>
          <w:rStyle w:val="FootnoteReference"/>
        </w:rPr>
        <w:footnoteRef/>
      </w:r>
      <w:r>
        <w:t xml:space="preserve"> </w:t>
      </w:r>
      <w:r>
        <w:tab/>
        <w:t xml:space="preserve">Australian Government Department of Finance 2018, </w:t>
      </w:r>
      <w:r>
        <w:rPr>
          <w:i/>
        </w:rPr>
        <w:t>Australian Government Office Occupancy Report 2017: Annual KPIs</w:t>
      </w:r>
      <w:r>
        <w:t xml:space="preserve">, available at </w:t>
      </w:r>
      <w:r w:rsidRPr="00A3152A">
        <w:t>https://www.finance.gov.au/property/property/occupancy-report-2017/annual-kpis/</w:t>
      </w:r>
    </w:p>
  </w:footnote>
  <w:footnote w:id="66">
    <w:p w:rsidR="0093736F" w:rsidRPr="006B749B" w:rsidRDefault="0093736F" w:rsidP="00243B95">
      <w:pPr>
        <w:pStyle w:val="FootnoteText"/>
      </w:pPr>
      <w:r>
        <w:rPr>
          <w:rStyle w:val="FootnoteReference"/>
        </w:rPr>
        <w:footnoteRef/>
      </w:r>
      <w:r>
        <w:t xml:space="preserve"> </w:t>
      </w:r>
      <w:r>
        <w:tab/>
        <w:t xml:space="preserve">Australian Institute of Health and Welfare 2018, </w:t>
      </w:r>
      <w:r>
        <w:rPr>
          <w:i/>
        </w:rPr>
        <w:t>Australia’s hospitals 2016-17: At a glance</w:t>
      </w:r>
      <w:r>
        <w:t xml:space="preserve">, Health services series no.85, June 2018, Australian Institute of Health and Welfare, Canberra. Available at </w:t>
      </w:r>
      <w:r w:rsidRPr="00E43C13">
        <w:t>https://www.aihw.gov.au/getmedia/d5f4d211-ace3-48b9-9860-c4489ddf2c35/aihw-hse-204.pdf.aspx?inline=true</w:t>
      </w:r>
    </w:p>
  </w:footnote>
  <w:footnote w:id="67">
    <w:p w:rsidR="0093736F" w:rsidRPr="002B3C0A" w:rsidRDefault="0093736F">
      <w:pPr>
        <w:pStyle w:val="FootnoteText"/>
        <w:rPr>
          <w:lang w:val="en-GB"/>
        </w:rPr>
      </w:pPr>
      <w:r>
        <w:rPr>
          <w:rStyle w:val="FootnoteReference"/>
        </w:rPr>
        <w:footnoteRef/>
      </w:r>
      <w:r>
        <w:t xml:space="preserve"> </w:t>
      </w:r>
      <w:r>
        <w:rPr>
          <w:lang w:val="en-GB"/>
        </w:rPr>
        <w:t>See ACIL Allen Consulting, Commercial Building Disclosure: Program Review, Report to the Department of Industry and Science, March 2015, p. ii.</w:t>
      </w:r>
    </w:p>
  </w:footnote>
  <w:footnote w:id="68">
    <w:p w:rsidR="0093736F" w:rsidRPr="00916525" w:rsidRDefault="0093736F" w:rsidP="00612FD3">
      <w:pPr>
        <w:pStyle w:val="FootnoteText"/>
        <w:rPr>
          <w:lang w:val="en-GB"/>
        </w:rPr>
      </w:pPr>
      <w:r>
        <w:rPr>
          <w:rStyle w:val="FootnoteReference"/>
        </w:rPr>
        <w:footnoteRef/>
      </w:r>
      <w:r>
        <w:t xml:space="preserve"> </w:t>
      </w:r>
      <w:r>
        <w:tab/>
      </w:r>
      <w:r>
        <w:rPr>
          <w:lang w:val="en-GB"/>
        </w:rPr>
        <w:t xml:space="preserve">Energy Exchange website, </w:t>
      </w:r>
      <w:hyperlink r:id="rId9" w:history="1">
        <w:r w:rsidRPr="00642D93">
          <w:rPr>
            <w:rStyle w:val="Hyperlink"/>
            <w:lang w:val="en-GB"/>
          </w:rPr>
          <w:t>https://www.eex.gov.au/sectors/commercial-buildings</w:t>
        </w:r>
      </w:hyperlink>
      <w:r>
        <w:rPr>
          <w:lang w:val="en-GB"/>
        </w:rPr>
        <w:t>, accessed 17 October 2017.</w:t>
      </w:r>
    </w:p>
  </w:footnote>
  <w:footnote w:id="69">
    <w:p w:rsidR="0093736F" w:rsidRPr="001A513D" w:rsidRDefault="0093736F" w:rsidP="00EC1D99">
      <w:pPr>
        <w:pStyle w:val="FootnoteText"/>
        <w:rPr>
          <w:lang w:val="en-GB"/>
        </w:rPr>
      </w:pPr>
      <w:r>
        <w:rPr>
          <w:rStyle w:val="FootnoteReference"/>
        </w:rPr>
        <w:footnoteRef/>
      </w:r>
      <w:r>
        <w:t xml:space="preserve"> </w:t>
      </w:r>
      <w:r>
        <w:rPr>
          <w:lang w:val="en-GB"/>
        </w:rPr>
        <w:t>Council of Australian Governments, Best Practice Regulation: A Guide for Ministerial Councils and National Standard Setting Bodies, October 2007, pp. 12</w:t>
      </w:r>
      <w:r>
        <w:rPr>
          <w:lang w:val="en-GB"/>
        </w:rPr>
        <w:noBreakHyphen/>
        <w:t>13.</w:t>
      </w:r>
    </w:p>
  </w:footnote>
  <w:footnote w:id="70">
    <w:p w:rsidR="0093736F" w:rsidRPr="006D6C38" w:rsidRDefault="0093736F" w:rsidP="00612FD3">
      <w:pPr>
        <w:pStyle w:val="FootnoteText"/>
        <w:rPr>
          <w:lang w:val="en-GB"/>
        </w:rPr>
      </w:pPr>
      <w:r>
        <w:rPr>
          <w:rStyle w:val="FootnoteReference"/>
        </w:rPr>
        <w:footnoteRef/>
      </w:r>
      <w:r>
        <w:t xml:space="preserve"> </w:t>
      </w:r>
      <w:r>
        <w:tab/>
      </w:r>
      <w:r>
        <w:rPr>
          <w:lang w:val="en-GB"/>
        </w:rPr>
        <w:t xml:space="preserve">US Environment Protection Agency 2016, </w:t>
      </w:r>
      <w:r w:rsidRPr="0012137A">
        <w:rPr>
          <w:i/>
          <w:lang w:val="en-GB"/>
        </w:rPr>
        <w:t>Technical Support Document:</w:t>
      </w:r>
      <w:r w:rsidRPr="0012137A">
        <w:rPr>
          <w:i/>
          <w:lang w:val="en-GB"/>
        </w:rPr>
        <w:noBreakHyphen/>
        <w:t xml:space="preserve"> Technical Update of the Social Cost of Carbon for Regulatory Impact Analysis — Under Executive Order 12866</w:t>
      </w:r>
      <w:r>
        <w:rPr>
          <w:lang w:val="en-GB"/>
        </w:rPr>
        <w:t>, August 2016, p. 16.</w:t>
      </w:r>
    </w:p>
  </w:footnote>
  <w:footnote w:id="71">
    <w:p w:rsidR="0093736F" w:rsidRPr="00916525" w:rsidRDefault="0093736F" w:rsidP="00612FD3">
      <w:pPr>
        <w:pStyle w:val="FootnoteText"/>
        <w:rPr>
          <w:lang w:val="en-GB"/>
        </w:rPr>
      </w:pPr>
      <w:r>
        <w:rPr>
          <w:rStyle w:val="FootnoteReference"/>
        </w:rPr>
        <w:footnoteRef/>
      </w:r>
      <w:r>
        <w:t xml:space="preserve"> </w:t>
      </w:r>
      <w:r>
        <w:tab/>
      </w:r>
      <w:r>
        <w:rPr>
          <w:lang w:val="en-GB"/>
        </w:rPr>
        <w:t xml:space="preserve">Energy Exchange website, </w:t>
      </w:r>
      <w:hyperlink r:id="rId10" w:history="1">
        <w:r w:rsidRPr="00642D93">
          <w:rPr>
            <w:rStyle w:val="Hyperlink"/>
            <w:lang w:val="en-GB"/>
          </w:rPr>
          <w:t>https://www.eex.gov.au/sectors/commercial-buildings</w:t>
        </w:r>
      </w:hyperlink>
      <w:r>
        <w:rPr>
          <w:lang w:val="en-GB"/>
        </w:rPr>
        <w:t>, accessed 17 October 2017.</w:t>
      </w:r>
    </w:p>
  </w:footnote>
  <w:footnote w:id="72">
    <w:p w:rsidR="0093736F" w:rsidRPr="00131D27" w:rsidRDefault="0093736F" w:rsidP="00612FD3">
      <w:pPr>
        <w:pStyle w:val="FootnoteText"/>
        <w:rPr>
          <w:lang w:val="en-GB"/>
        </w:rPr>
      </w:pPr>
      <w:r>
        <w:rPr>
          <w:rStyle w:val="FootnoteReference"/>
        </w:rPr>
        <w:footnoteRef/>
      </w:r>
      <w:r>
        <w:t xml:space="preserve"> </w:t>
      </w:r>
      <w:r>
        <w:tab/>
      </w:r>
      <w:r>
        <w:rPr>
          <w:lang w:val="en-GB"/>
        </w:rPr>
        <w:t xml:space="preserve">NABERS website, </w:t>
      </w:r>
      <w:r w:rsidRPr="00131D27">
        <w:rPr>
          <w:lang w:val="en-GB"/>
        </w:rPr>
        <w:t>https://nabers.gov.au/public/webpages/ContentStandard.aspx?module=10&amp;template=3&amp;include=Intro.htm&amp;side=EventTertiary.htm#What are the NABERS tools?</w:t>
      </w:r>
      <w:r>
        <w:rPr>
          <w:lang w:val="en-GB"/>
        </w:rPr>
        <w:t>, accessed 17 October 2017.</w:t>
      </w:r>
    </w:p>
  </w:footnote>
  <w:footnote w:id="73">
    <w:p w:rsidR="0093736F" w:rsidRPr="005D27C8" w:rsidRDefault="0093736F" w:rsidP="00612FD3">
      <w:pPr>
        <w:pStyle w:val="FootnoteText"/>
        <w:rPr>
          <w:lang w:val="en-GB"/>
        </w:rPr>
      </w:pPr>
      <w:r>
        <w:rPr>
          <w:rStyle w:val="FootnoteReference"/>
        </w:rPr>
        <w:footnoteRef/>
      </w:r>
      <w:r>
        <w:t xml:space="preserve"> </w:t>
      </w:r>
      <w:r>
        <w:tab/>
      </w:r>
      <w:r>
        <w:rPr>
          <w:lang w:val="en-GB"/>
        </w:rPr>
        <w:t xml:space="preserve">Commercial Building Disclosure website, </w:t>
      </w:r>
      <w:hyperlink r:id="rId11" w:history="1">
        <w:r w:rsidRPr="00642D93">
          <w:rPr>
            <w:rStyle w:val="Hyperlink"/>
            <w:lang w:val="en-GB"/>
          </w:rPr>
          <w:t>http://cbd.gov.au/overview-of-the-program/what-is-cbd</w:t>
        </w:r>
      </w:hyperlink>
      <w:r>
        <w:rPr>
          <w:lang w:val="en-GB"/>
        </w:rPr>
        <w:t>, accessed 17 October 2017.</w:t>
      </w:r>
    </w:p>
  </w:footnote>
  <w:footnote w:id="74">
    <w:p w:rsidR="0093736F" w:rsidRPr="00EA6419" w:rsidRDefault="0093736F" w:rsidP="00612FD3">
      <w:pPr>
        <w:pStyle w:val="FootnoteText"/>
        <w:rPr>
          <w:lang w:val="en-GB"/>
        </w:rPr>
      </w:pPr>
      <w:r>
        <w:rPr>
          <w:rStyle w:val="FootnoteReference"/>
        </w:rPr>
        <w:footnoteRef/>
      </w:r>
      <w:r>
        <w:t xml:space="preserve"> </w:t>
      </w:r>
      <w:r>
        <w:tab/>
      </w:r>
      <w:r>
        <w:rPr>
          <w:lang w:val="en-GB"/>
        </w:rPr>
        <w:t xml:space="preserve">Acil Allen Consulting 2016, </w:t>
      </w:r>
      <w:r w:rsidRPr="003545BF">
        <w:rPr>
          <w:i/>
          <w:lang w:val="en-GB"/>
        </w:rPr>
        <w:t>Improving the energy efficiency performance of small office buildings: Regulation Impact Statement for Consultation</w:t>
      </w:r>
      <w:r>
        <w:rPr>
          <w:lang w:val="en-GB"/>
        </w:rPr>
        <w:t>, Report for Office of Best Practice Regulation, March 2016, p. 3.</w:t>
      </w:r>
    </w:p>
  </w:footnote>
  <w:footnote w:id="75">
    <w:p w:rsidR="0093736F" w:rsidRPr="003545BF" w:rsidRDefault="0093736F" w:rsidP="00612FD3">
      <w:pPr>
        <w:pStyle w:val="FootnoteText"/>
        <w:rPr>
          <w:lang w:val="en-GB"/>
        </w:rPr>
      </w:pPr>
      <w:r>
        <w:rPr>
          <w:rStyle w:val="FootnoteReference"/>
        </w:rPr>
        <w:footnoteRef/>
      </w:r>
      <w:r>
        <w:t xml:space="preserve"> </w:t>
      </w:r>
      <w:r>
        <w:tab/>
      </w:r>
      <w:r>
        <w:rPr>
          <w:lang w:val="en-GB"/>
        </w:rPr>
        <w:t xml:space="preserve">Acil Allen Consulting 2015, </w:t>
      </w:r>
      <w:r>
        <w:rPr>
          <w:i/>
          <w:lang w:val="en-GB"/>
        </w:rPr>
        <w:t>Commercial Building Disclosure: Program Review</w:t>
      </w:r>
      <w:r>
        <w:rPr>
          <w:lang w:val="en-GB"/>
        </w:rPr>
        <w:t>, Report to the Department of Industry and Science, March 2015, pp. 42</w:t>
      </w:r>
      <w:r>
        <w:rPr>
          <w:lang w:val="en-GB"/>
        </w:rPr>
        <w:noBreakHyphen/>
        <w:t>46.</w:t>
      </w:r>
    </w:p>
  </w:footnote>
  <w:footnote w:id="76">
    <w:p w:rsidR="0093736F" w:rsidRPr="00483371" w:rsidRDefault="0093736F" w:rsidP="00AD335C">
      <w:pPr>
        <w:pStyle w:val="FootnoteText"/>
        <w:rPr>
          <w:lang w:val="en-GB"/>
        </w:rPr>
      </w:pPr>
      <w:r>
        <w:rPr>
          <w:rStyle w:val="FootnoteReference"/>
        </w:rPr>
        <w:footnoteRef/>
      </w:r>
      <w:r>
        <w:t xml:space="preserve"> </w:t>
      </w:r>
      <w:r>
        <w:tab/>
      </w:r>
      <w:r>
        <w:rPr>
          <w:lang w:val="en-GB"/>
        </w:rPr>
        <w:t xml:space="preserve">See for example, Eichholtz, P., Kok, N. and Yonder, E., 2012, “Portfolio greenness and the financial performance of REITs”, </w:t>
      </w:r>
      <w:r w:rsidRPr="003E6053">
        <w:rPr>
          <w:i/>
          <w:lang w:val="en-GB"/>
        </w:rPr>
        <w:t>Journal of International Money and Finance</w:t>
      </w:r>
      <w:r>
        <w:rPr>
          <w:lang w:val="en-GB"/>
        </w:rPr>
        <w:t>, 31(7), pp.1911-1929.</w:t>
      </w:r>
    </w:p>
  </w:footnote>
  <w:footnote w:id="77">
    <w:p w:rsidR="0093736F" w:rsidRPr="00483371" w:rsidRDefault="0093736F" w:rsidP="00AD335C">
      <w:pPr>
        <w:pStyle w:val="FootnoteText"/>
        <w:rPr>
          <w:lang w:val="en-GB"/>
        </w:rPr>
      </w:pPr>
      <w:r>
        <w:rPr>
          <w:rStyle w:val="FootnoteReference"/>
        </w:rPr>
        <w:footnoteRef/>
      </w:r>
      <w:r>
        <w:t xml:space="preserve"> </w:t>
      </w:r>
      <w:r>
        <w:tab/>
      </w:r>
      <w:r>
        <w:rPr>
          <w:lang w:val="en-GB"/>
        </w:rPr>
        <w:t xml:space="preserve">Papineau, M. 2015, </w:t>
      </w:r>
      <w:r w:rsidRPr="00483371">
        <w:rPr>
          <w:i/>
          <w:lang w:val="en-GB"/>
        </w:rPr>
        <w:t>Energy Codes and the Landlord</w:t>
      </w:r>
      <w:r w:rsidRPr="00483371">
        <w:rPr>
          <w:i/>
          <w:lang w:val="en-GB"/>
        </w:rPr>
        <w:noBreakHyphen/>
        <w:t>Tenant Problem</w:t>
      </w:r>
      <w:r>
        <w:rPr>
          <w:lang w:val="en-GB"/>
        </w:rPr>
        <w:t>, Carleton University, 10 April 2015, p. 27.</w:t>
      </w:r>
    </w:p>
  </w:footnote>
  <w:footnote w:id="78">
    <w:p w:rsidR="0093736F" w:rsidRPr="00C5261B" w:rsidRDefault="0093736F" w:rsidP="00AD335C">
      <w:pPr>
        <w:pStyle w:val="FootnoteText"/>
        <w:rPr>
          <w:lang w:val="en-GB"/>
        </w:rPr>
      </w:pPr>
      <w:r>
        <w:rPr>
          <w:rStyle w:val="FootnoteReference"/>
        </w:rPr>
        <w:footnoteRef/>
      </w:r>
      <w:r>
        <w:t xml:space="preserve"> </w:t>
      </w:r>
      <w:r>
        <w:tab/>
        <w:t>Newell, Graeme, John MacFarlane and Nils Kok 2011</w:t>
      </w:r>
      <w:r>
        <w:rPr>
          <w:lang w:val="en-GB"/>
        </w:rPr>
        <w:t xml:space="preserve">, </w:t>
      </w:r>
      <w:r w:rsidRPr="00C5261B">
        <w:rPr>
          <w:i/>
          <w:lang w:val="en-GB"/>
        </w:rPr>
        <w:t>Building Better Returns: A Study of the Financial Performance of Green Office Buildings in Australia</w:t>
      </w:r>
      <w:r>
        <w:rPr>
          <w:lang w:val="en-GB"/>
        </w:rPr>
        <w:t>, Research by the University of Western Sydney and the University of Maastricht Netherlands in conjunction with Jones Lang LaSalle and CBRE for The Australian Property Institute and Property Funds Association, p. 22.</w:t>
      </w:r>
    </w:p>
  </w:footnote>
  <w:footnote w:id="79">
    <w:p w:rsidR="0093736F" w:rsidRPr="00C5261B" w:rsidRDefault="0093736F" w:rsidP="00AD335C">
      <w:pPr>
        <w:pStyle w:val="FootnoteText"/>
        <w:rPr>
          <w:lang w:val="en-GB"/>
        </w:rPr>
      </w:pPr>
      <w:r>
        <w:rPr>
          <w:rStyle w:val="FootnoteReference"/>
        </w:rPr>
        <w:footnoteRef/>
      </w:r>
      <w:r>
        <w:t xml:space="preserve"> </w:t>
      </w:r>
      <w:r>
        <w:tab/>
      </w:r>
      <w:r>
        <w:rPr>
          <w:lang w:val="en-GB"/>
        </w:rPr>
        <w:t>ibid, p. 41.</w:t>
      </w:r>
    </w:p>
  </w:footnote>
  <w:footnote w:id="80">
    <w:p w:rsidR="0093736F" w:rsidRDefault="0093736F" w:rsidP="00AD335C">
      <w:pPr>
        <w:pStyle w:val="FootnoteText"/>
      </w:pPr>
      <w:r>
        <w:rPr>
          <w:rStyle w:val="FootnoteReference"/>
        </w:rPr>
        <w:footnoteRef/>
      </w:r>
      <w:r>
        <w:t xml:space="preserve"> </w:t>
      </w:r>
      <w:r>
        <w:tab/>
        <w:t xml:space="preserve">International Energy Agency 2007, </w:t>
      </w:r>
      <w:r>
        <w:rPr>
          <w:i/>
        </w:rPr>
        <w:t>Mind the Gap: Quantifying Principal Agent Problems in Energy Efficiency</w:t>
      </w:r>
      <w:r>
        <w:t xml:space="preserve">, OECD/IEA, Paris, France, available at </w:t>
      </w:r>
      <w:r w:rsidRPr="00854BB7">
        <w:t>https://www.iea.org/publications/freepublications/publication/mind_the_gap.pdf</w:t>
      </w:r>
      <w:r>
        <w:t xml:space="preserve">. </w:t>
      </w:r>
    </w:p>
  </w:footnote>
  <w:footnote w:id="81">
    <w:p w:rsidR="0093736F" w:rsidRPr="000017F3" w:rsidRDefault="0093736F" w:rsidP="00612FD3">
      <w:pPr>
        <w:pStyle w:val="FootnoteText"/>
        <w:rPr>
          <w:lang w:val="en-GB"/>
        </w:rPr>
      </w:pPr>
      <w:r>
        <w:rPr>
          <w:rStyle w:val="FootnoteReference"/>
        </w:rPr>
        <w:footnoteRef/>
      </w:r>
      <w:r>
        <w:t xml:space="preserve"> </w:t>
      </w:r>
      <w:r>
        <w:tab/>
      </w:r>
      <w:r>
        <w:rPr>
          <w:lang w:val="en-GB"/>
        </w:rPr>
        <w:t>Gerarden, Todd D., Richard G. Newell, and Robert N. Stavins 2015, “Assessing the Energy Efficiency Gap” Cambridge, Mass.: Harvard Environmental Economics Program, January 2015, p. 28.</w:t>
      </w:r>
    </w:p>
  </w:footnote>
  <w:footnote w:id="82">
    <w:p w:rsidR="0093736F" w:rsidRPr="00AB012E" w:rsidRDefault="0093736F" w:rsidP="00612FD3">
      <w:pPr>
        <w:pStyle w:val="FootnoteText"/>
        <w:rPr>
          <w:lang w:val="en-GB"/>
        </w:rPr>
      </w:pPr>
      <w:r>
        <w:rPr>
          <w:rStyle w:val="FootnoteReference"/>
        </w:rPr>
        <w:footnoteRef/>
      </w:r>
      <w:r>
        <w:t xml:space="preserve"> </w:t>
      </w:r>
      <w:r>
        <w:tab/>
      </w:r>
      <w:r>
        <w:rPr>
          <w:lang w:val="en-GB"/>
        </w:rPr>
        <w:t>ibid, p. 28.</w:t>
      </w:r>
    </w:p>
  </w:footnote>
  <w:footnote w:id="83">
    <w:p w:rsidR="0093736F" w:rsidRPr="005303FB" w:rsidRDefault="0093736F" w:rsidP="00612FD3">
      <w:pPr>
        <w:pStyle w:val="FootnoteText"/>
        <w:rPr>
          <w:lang w:val="en-GB"/>
        </w:rPr>
      </w:pPr>
      <w:r>
        <w:rPr>
          <w:rStyle w:val="FootnoteReference"/>
        </w:rPr>
        <w:footnoteRef/>
      </w:r>
      <w:r>
        <w:t xml:space="preserve"> </w:t>
      </w:r>
      <w:r>
        <w:tab/>
      </w:r>
      <w:r>
        <w:rPr>
          <w:lang w:val="en-GB"/>
        </w:rPr>
        <w:t>ibid, pp. 24</w:t>
      </w:r>
      <w:r>
        <w:rPr>
          <w:lang w:val="en-GB"/>
        </w:rPr>
        <w:noBreakHyphen/>
        <w:t>26.</w:t>
      </w:r>
    </w:p>
  </w:footnote>
  <w:footnote w:id="84">
    <w:p w:rsidR="0093736F" w:rsidRPr="003E6053" w:rsidRDefault="0093736F" w:rsidP="00612FD3">
      <w:pPr>
        <w:pStyle w:val="FootnoteText"/>
        <w:rPr>
          <w:lang w:val="en-GB"/>
        </w:rPr>
      </w:pPr>
      <w:r>
        <w:rPr>
          <w:rStyle w:val="FootnoteReference"/>
        </w:rPr>
        <w:footnoteRef/>
      </w:r>
      <w:r>
        <w:t xml:space="preserve"> </w:t>
      </w:r>
      <w:r>
        <w:tab/>
        <w:t xml:space="preserve">For further details see: Gerarden, T.D., Newell, R.G. and Stavins, R.N. 2015, </w:t>
      </w:r>
      <w:r>
        <w:rPr>
          <w:i/>
        </w:rPr>
        <w:t>Assessing the Energy Efficiency Gap</w:t>
      </w:r>
      <w:r>
        <w:t>, Duke University Energy Initiative and Harvard Environmental Economics Program, January 2015, pp. 17</w:t>
      </w:r>
      <w:r>
        <w:noBreakHyphen/>
        <w:t>19.</w:t>
      </w:r>
    </w:p>
  </w:footnote>
  <w:footnote w:id="85">
    <w:p w:rsidR="0093736F" w:rsidRPr="00E70432" w:rsidRDefault="0093736F" w:rsidP="00612FD3">
      <w:pPr>
        <w:pStyle w:val="FootnoteText"/>
        <w:rPr>
          <w:lang w:val="en-GB"/>
        </w:rPr>
      </w:pPr>
      <w:r>
        <w:rPr>
          <w:rStyle w:val="FootnoteReference"/>
        </w:rPr>
        <w:footnoteRef/>
      </w:r>
      <w:r>
        <w:t xml:space="preserve"> </w:t>
      </w:r>
      <w:r>
        <w:tab/>
      </w:r>
      <w:r>
        <w:rPr>
          <w:lang w:val="en-GB"/>
        </w:rPr>
        <w:t xml:space="preserve">Productivity Commission 2005, </w:t>
      </w:r>
      <w:r w:rsidRPr="00477635">
        <w:rPr>
          <w:i/>
          <w:lang w:val="en-GB"/>
        </w:rPr>
        <w:t>The Private Cost Effectiveness of Improving Energy Efficiency</w:t>
      </w:r>
      <w:r>
        <w:rPr>
          <w:lang w:val="en-GB"/>
        </w:rPr>
        <w:t>, Productivity Commission Inquiry Report No. 36, 31 August 2005</w:t>
      </w:r>
      <w:r w:rsidRPr="00194794">
        <w:rPr>
          <w:lang w:val="en-GB"/>
        </w:rPr>
        <w:t>, p. 236</w:t>
      </w:r>
      <w:r>
        <w:rPr>
          <w:lang w:val="en-GB"/>
        </w:rPr>
        <w:t>.</w:t>
      </w:r>
    </w:p>
  </w:footnote>
  <w:footnote w:id="86">
    <w:p w:rsidR="0093736F" w:rsidRPr="00FF0C64" w:rsidRDefault="0093736F" w:rsidP="00612FD3">
      <w:pPr>
        <w:pStyle w:val="FootnoteText"/>
        <w:rPr>
          <w:lang w:val="en-GB"/>
        </w:rPr>
      </w:pPr>
      <w:r>
        <w:rPr>
          <w:rStyle w:val="FootnoteReference"/>
        </w:rPr>
        <w:footnoteRef/>
      </w:r>
      <w:r>
        <w:t xml:space="preserve"> </w:t>
      </w:r>
      <w:r>
        <w:tab/>
      </w:r>
      <w:r>
        <w:rPr>
          <w:lang w:val="en-GB"/>
        </w:rPr>
        <w:t xml:space="preserve">Gillingham, K. and Palmer, K. 2014, “Bridging the Energy Efficiency Gap: Policy Insights from Economic Theory and Empirical Evidence”, </w:t>
      </w:r>
      <w:r w:rsidRPr="00FF0C64">
        <w:rPr>
          <w:i/>
          <w:lang w:val="en-GB"/>
        </w:rPr>
        <w:t>Review of Environmental Economics and Policy</w:t>
      </w:r>
      <w:r>
        <w:rPr>
          <w:lang w:val="en-GB"/>
        </w:rPr>
        <w:t xml:space="preserve">, </w:t>
      </w:r>
      <w:r w:rsidRPr="0023069E">
        <w:rPr>
          <w:b/>
          <w:lang w:val="en-GB"/>
        </w:rPr>
        <w:t>8</w:t>
      </w:r>
      <w:r>
        <w:rPr>
          <w:lang w:val="en-GB"/>
        </w:rPr>
        <w:t xml:space="preserve">(1), p. </w:t>
      </w:r>
      <w:r w:rsidRPr="00947173">
        <w:rPr>
          <w:lang w:val="en-GB"/>
        </w:rPr>
        <w:t>21</w:t>
      </w:r>
      <w:r>
        <w:rPr>
          <w:lang w:val="en-GB"/>
        </w:rPr>
        <w:t>.</w:t>
      </w:r>
    </w:p>
  </w:footnote>
  <w:footnote w:id="87">
    <w:p w:rsidR="0093736F" w:rsidRPr="00477635" w:rsidRDefault="0093736F" w:rsidP="00612FD3">
      <w:pPr>
        <w:pStyle w:val="FootnoteText"/>
        <w:rPr>
          <w:lang w:val="en-GB"/>
        </w:rPr>
      </w:pPr>
      <w:r>
        <w:rPr>
          <w:rStyle w:val="FootnoteReference"/>
        </w:rPr>
        <w:footnoteRef/>
      </w:r>
      <w:r>
        <w:t xml:space="preserve"> </w:t>
      </w:r>
      <w:r>
        <w:tab/>
      </w:r>
      <w:r>
        <w:rPr>
          <w:lang w:val="en-GB"/>
        </w:rPr>
        <w:t xml:space="preserve">Productivity Commission 2005, </w:t>
      </w:r>
      <w:r w:rsidRPr="00477635">
        <w:rPr>
          <w:i/>
          <w:lang w:val="en-GB"/>
        </w:rPr>
        <w:t>The Private Cost Effectiveness of Improving Energy Efficiency</w:t>
      </w:r>
      <w:r>
        <w:rPr>
          <w:lang w:val="en-GB"/>
        </w:rPr>
        <w:t>, Productivity Commission Inquiry Report No. 36, 31 August 2005, p. 62.</w:t>
      </w:r>
    </w:p>
  </w:footnote>
  <w:footnote w:id="88">
    <w:p w:rsidR="0093736F" w:rsidRPr="00365776" w:rsidRDefault="0093736F" w:rsidP="00612FD3">
      <w:pPr>
        <w:pStyle w:val="FootnoteText"/>
        <w:rPr>
          <w:lang w:val="en-GB"/>
        </w:rPr>
      </w:pPr>
      <w:r>
        <w:rPr>
          <w:rStyle w:val="FootnoteReference"/>
        </w:rPr>
        <w:footnoteRef/>
      </w:r>
      <w:r>
        <w:t xml:space="preserve"> </w:t>
      </w:r>
      <w:r>
        <w:tab/>
      </w:r>
      <w:r>
        <w:rPr>
          <w:lang w:val="en-GB"/>
        </w:rPr>
        <w:t xml:space="preserve">Gillingham, K. and Palmer, K. 2014, “Bridging the Energy Efficiency Gap: Policy Insights from Economic Theory and Empirical Evidence”, </w:t>
      </w:r>
      <w:r w:rsidRPr="00FF0C64">
        <w:rPr>
          <w:i/>
          <w:lang w:val="en-GB"/>
        </w:rPr>
        <w:t>Review of Environmental Economics and Policy</w:t>
      </w:r>
      <w:r>
        <w:rPr>
          <w:lang w:val="en-GB"/>
        </w:rPr>
        <w:t xml:space="preserve">, volume 8, issue 1, p. </w:t>
      </w:r>
      <w:r w:rsidRPr="00365776">
        <w:rPr>
          <w:lang w:val="en-GB"/>
        </w:rPr>
        <w:t>21</w:t>
      </w:r>
      <w:r>
        <w:rPr>
          <w:lang w:val="en-GB"/>
        </w:rPr>
        <w:t>.</w:t>
      </w:r>
    </w:p>
  </w:footnote>
  <w:footnote w:id="89">
    <w:p w:rsidR="0093736F" w:rsidRPr="00365776" w:rsidRDefault="0093736F" w:rsidP="00612FD3">
      <w:pPr>
        <w:pStyle w:val="FootnoteText"/>
        <w:rPr>
          <w:lang w:val="en-GB"/>
        </w:rPr>
      </w:pPr>
      <w:r>
        <w:rPr>
          <w:rStyle w:val="FootnoteReference"/>
        </w:rPr>
        <w:footnoteRef/>
      </w:r>
      <w:r>
        <w:t xml:space="preserve"> </w:t>
      </w:r>
      <w:r>
        <w:tab/>
      </w:r>
      <w:r>
        <w:rPr>
          <w:lang w:val="en-GB"/>
        </w:rPr>
        <w:t xml:space="preserve">Productivity Commission 2005, </w:t>
      </w:r>
      <w:r w:rsidRPr="00477635">
        <w:rPr>
          <w:i/>
          <w:lang w:val="en-GB"/>
        </w:rPr>
        <w:t>The Private Cost Effectiveness of Improving Energy Efficiency</w:t>
      </w:r>
      <w:r>
        <w:rPr>
          <w:lang w:val="en-GB"/>
        </w:rPr>
        <w:t>, Productivity Commission Inquiry Report No. 36, 31 August 2005, p. 62.</w:t>
      </w:r>
    </w:p>
  </w:footnote>
  <w:footnote w:id="90">
    <w:p w:rsidR="0093736F" w:rsidRPr="00E70432" w:rsidRDefault="0093736F" w:rsidP="00612FD3">
      <w:pPr>
        <w:pStyle w:val="FootnoteText"/>
        <w:rPr>
          <w:lang w:val="en-GB"/>
        </w:rPr>
      </w:pPr>
      <w:r>
        <w:rPr>
          <w:rStyle w:val="FootnoteReference"/>
        </w:rPr>
        <w:footnoteRef/>
      </w:r>
      <w:r>
        <w:t xml:space="preserve"> </w:t>
      </w:r>
      <w:r>
        <w:tab/>
      </w:r>
      <w:r>
        <w:rPr>
          <w:lang w:val="en-GB"/>
        </w:rPr>
        <w:t>ibid, p. 236.</w:t>
      </w:r>
    </w:p>
  </w:footnote>
  <w:footnote w:id="91">
    <w:p w:rsidR="0093736F" w:rsidRDefault="0093736F" w:rsidP="00242C46">
      <w:pPr>
        <w:pStyle w:val="FootnoteText"/>
      </w:pPr>
      <w:r>
        <w:rPr>
          <w:rStyle w:val="FootnoteReference"/>
        </w:rPr>
        <w:footnoteRef/>
      </w:r>
      <w:r>
        <w:t xml:space="preserve"> </w:t>
      </w:r>
      <w:r>
        <w:tab/>
        <w:t xml:space="preserve">It should be noted that the WWR is calculated based on the window area divided by the total façade area exposed to conditioned air, which includes the plenum space in the same orientation. As a result, a WWR of 75 per cent corresponds to a 100 per cent glazing of the occupied space and an opaque wall to the plenum space (EA 2017, </w:t>
      </w:r>
      <w:r w:rsidRPr="000D5320">
        <w:rPr>
          <w:i/>
        </w:rPr>
        <w:t>Glazing Analysis</w:t>
      </w:r>
      <w:r w:rsidRPr="000D5320">
        <w:t>,</w:t>
      </w:r>
      <w:r>
        <w:t xml:space="preserve"> p.9). In other words, these high WWRs in the submission must be adjusted such that a suggested 100 per cent WWR is equivalent to 75 per cent WWR in energy modelling.</w:t>
      </w:r>
    </w:p>
  </w:footnote>
  <w:footnote w:id="92">
    <w:p w:rsidR="0093736F" w:rsidRPr="00365776" w:rsidRDefault="0093736F" w:rsidP="00612FD3">
      <w:pPr>
        <w:pStyle w:val="FootnoteText"/>
        <w:rPr>
          <w:lang w:val="en-GB"/>
        </w:rPr>
      </w:pPr>
      <w:r>
        <w:rPr>
          <w:rStyle w:val="FootnoteReference"/>
        </w:rPr>
        <w:footnoteRef/>
      </w:r>
      <w:r>
        <w:t xml:space="preserve"> </w:t>
      </w:r>
      <w:r>
        <w:tab/>
      </w:r>
      <w:r>
        <w:rPr>
          <w:lang w:val="en-GB"/>
        </w:rPr>
        <w:t xml:space="preserve">See for example, Gillingham, K. and Palmer, K. 2014, “Bridging the Energy Efficiency Gap: Policy Insights from Economic Theory and Empirical Evidence”, </w:t>
      </w:r>
      <w:r w:rsidRPr="00365776">
        <w:rPr>
          <w:i/>
          <w:lang w:val="en-GB"/>
        </w:rPr>
        <w:t>Review of Environmental Economics and Policy</w:t>
      </w:r>
      <w:r>
        <w:rPr>
          <w:lang w:val="en-GB"/>
        </w:rPr>
        <w:t>, volume 8, issue 1, p. 21.</w:t>
      </w:r>
    </w:p>
  </w:footnote>
  <w:footnote w:id="93">
    <w:p w:rsidR="0093736F" w:rsidRPr="00084E92" w:rsidRDefault="0093736F" w:rsidP="00612FD3">
      <w:pPr>
        <w:pStyle w:val="FootnoteText"/>
        <w:rPr>
          <w:lang w:val="en-GB"/>
        </w:rPr>
      </w:pPr>
      <w:r>
        <w:rPr>
          <w:rStyle w:val="FootnoteReference"/>
        </w:rPr>
        <w:footnoteRef/>
      </w:r>
      <w:r>
        <w:t xml:space="preserve"> </w:t>
      </w:r>
      <w:r>
        <w:tab/>
      </w:r>
      <w:r>
        <w:rPr>
          <w:lang w:val="en-GB"/>
        </w:rPr>
        <w:t xml:space="preserve">Productivity Commission 2005, </w:t>
      </w:r>
      <w:r w:rsidRPr="00477635">
        <w:rPr>
          <w:i/>
          <w:lang w:val="en-GB"/>
        </w:rPr>
        <w:t>The Private Cost Effectiveness of Improving Energy Efficiency</w:t>
      </w:r>
      <w:r>
        <w:rPr>
          <w:lang w:val="en-GB"/>
        </w:rPr>
        <w:t>, Productivity Commission Inquiry Report No. 36, 31 August 2005, p</w:t>
      </w:r>
      <w:r w:rsidRPr="00947173">
        <w:rPr>
          <w:lang w:val="en-GB"/>
        </w:rPr>
        <w:t>. XXXVIII.</w:t>
      </w:r>
    </w:p>
  </w:footnote>
  <w:footnote w:id="94">
    <w:p w:rsidR="0093736F" w:rsidRPr="009B3443" w:rsidRDefault="0093736F" w:rsidP="00612FD3">
      <w:pPr>
        <w:pStyle w:val="FootnoteText"/>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left" w:pos="7668"/>
          <w:tab w:val="right" w:pos="7937"/>
        </w:tabs>
        <w:rPr>
          <w:lang w:val="en-GB"/>
        </w:rPr>
      </w:pPr>
      <w:r>
        <w:rPr>
          <w:rStyle w:val="FootnoteReference"/>
        </w:rPr>
        <w:footnoteRef/>
      </w:r>
      <w:r>
        <w:t xml:space="preserve"> </w:t>
      </w:r>
      <w:r>
        <w:tab/>
        <w:t xml:space="preserve">pitt&amp;sherry 2014, </w:t>
      </w:r>
      <w:r w:rsidRPr="00157DCF">
        <w:rPr>
          <w:i/>
          <w:lang w:val="en-GB"/>
        </w:rPr>
        <w:t>National Energy Efficient Building Project: Final report</w:t>
      </w:r>
      <w:r>
        <w:rPr>
          <w:lang w:val="en-GB"/>
        </w:rPr>
        <w:t>, prepared for Department of State Development, Government of South Australia, November 2014, p. 75.</w:t>
      </w:r>
    </w:p>
  </w:footnote>
  <w:footnote w:id="95">
    <w:p w:rsidR="0093736F" w:rsidRPr="002054EA" w:rsidRDefault="0093736F" w:rsidP="00612FD3">
      <w:pPr>
        <w:pStyle w:val="FootnoteText"/>
        <w:rPr>
          <w:lang w:val="en-GB"/>
        </w:rPr>
      </w:pPr>
      <w:r>
        <w:rPr>
          <w:rStyle w:val="FootnoteReference"/>
        </w:rPr>
        <w:footnoteRef/>
      </w:r>
      <w:r>
        <w:t xml:space="preserve"> </w:t>
      </w:r>
      <w:r>
        <w:tab/>
      </w:r>
      <w:r>
        <w:rPr>
          <w:lang w:val="en-GB"/>
        </w:rPr>
        <w:t xml:space="preserve">Frankel, M. and Turner, C. 2008a, “How Accurate is Energy Modelling in the Market”, New Buildings Institute, </w:t>
      </w:r>
      <w:r w:rsidRPr="00157DCF">
        <w:rPr>
          <w:i/>
          <w:lang w:val="en-GB"/>
        </w:rPr>
        <w:t>ACEEE Summery Study on Energy Efficiency in Buildings</w:t>
      </w:r>
      <w:r>
        <w:rPr>
          <w:lang w:val="en-GB"/>
        </w:rPr>
        <w:t>, pp. 3</w:t>
      </w:r>
      <w:r>
        <w:rPr>
          <w:lang w:val="en-GB"/>
        </w:rPr>
        <w:noBreakHyphen/>
        <w:t>90—3</w:t>
      </w:r>
      <w:r>
        <w:rPr>
          <w:lang w:val="en-GB"/>
        </w:rPr>
        <w:noBreakHyphen/>
        <w:t>91.</w:t>
      </w:r>
    </w:p>
  </w:footnote>
  <w:footnote w:id="96">
    <w:p w:rsidR="0093736F" w:rsidRPr="008B1BD7" w:rsidRDefault="0093736F" w:rsidP="00612FD3">
      <w:pPr>
        <w:pStyle w:val="FootnoteText"/>
        <w:rPr>
          <w:lang w:val="en-GB"/>
        </w:rPr>
      </w:pPr>
      <w:r>
        <w:rPr>
          <w:rStyle w:val="FootnoteReference"/>
        </w:rPr>
        <w:footnoteRef/>
      </w:r>
      <w:r>
        <w:t xml:space="preserve"> </w:t>
      </w:r>
      <w:r>
        <w:tab/>
      </w:r>
      <w:r>
        <w:rPr>
          <w:lang w:val="en-GB"/>
        </w:rPr>
        <w:t>ibid, pp. 3</w:t>
      </w:r>
      <w:r>
        <w:rPr>
          <w:lang w:val="en-GB"/>
        </w:rPr>
        <w:noBreakHyphen/>
        <w:t>91—3</w:t>
      </w:r>
      <w:r>
        <w:rPr>
          <w:lang w:val="en-GB"/>
        </w:rPr>
        <w:noBreakHyphen/>
        <w:t>93.</w:t>
      </w:r>
    </w:p>
  </w:footnote>
  <w:footnote w:id="97">
    <w:p w:rsidR="0093736F" w:rsidRPr="00AB0A5B" w:rsidRDefault="0093736F" w:rsidP="00612FD3">
      <w:pPr>
        <w:pStyle w:val="FootnoteText"/>
        <w:rPr>
          <w:lang w:val="en-GB"/>
        </w:rPr>
      </w:pPr>
      <w:r>
        <w:rPr>
          <w:rStyle w:val="FootnoteReference"/>
        </w:rPr>
        <w:footnoteRef/>
      </w:r>
      <w:r>
        <w:t xml:space="preserve"> </w:t>
      </w:r>
      <w:r>
        <w:tab/>
      </w:r>
      <w:r>
        <w:rPr>
          <w:lang w:val="en-GB"/>
        </w:rPr>
        <w:t>ibid, pp. 3</w:t>
      </w:r>
      <w:r>
        <w:rPr>
          <w:lang w:val="en-GB"/>
        </w:rPr>
        <w:noBreakHyphen/>
        <w:t>91—3</w:t>
      </w:r>
      <w:r>
        <w:rPr>
          <w:lang w:val="en-GB"/>
        </w:rPr>
        <w:noBreakHyphen/>
        <w:t>100.</w:t>
      </w:r>
    </w:p>
  </w:footnote>
  <w:footnote w:id="98">
    <w:p w:rsidR="0093736F" w:rsidRPr="00B4433D" w:rsidRDefault="0093736F" w:rsidP="00612FD3">
      <w:pPr>
        <w:pStyle w:val="FootnoteText"/>
        <w:rPr>
          <w:lang w:val="en-GB"/>
        </w:rPr>
      </w:pPr>
      <w:r>
        <w:rPr>
          <w:rStyle w:val="FootnoteReference"/>
        </w:rPr>
        <w:footnoteRef/>
      </w:r>
      <w:r>
        <w:t xml:space="preserve"> </w:t>
      </w:r>
      <w:r>
        <w:tab/>
      </w:r>
      <w:r>
        <w:rPr>
          <w:lang w:val="en-GB"/>
        </w:rPr>
        <w:t>Bartlett, K. Brown, C., Chu, A. Ebrahimi, G. Gorgolewski, M. Hodgson, M. Issa, M. Mallory</w:t>
      </w:r>
      <w:r>
        <w:rPr>
          <w:lang w:val="en-GB"/>
        </w:rPr>
        <w:noBreakHyphen/>
        <w:t>Hill, S. Ouf, M. Scannell, L. and Turcato, A. 2014. “</w:t>
      </w:r>
      <w:r w:rsidRPr="00157DCF">
        <w:rPr>
          <w:lang w:val="en-GB"/>
        </w:rPr>
        <w:t>Do our green buildings perform as intended</w:t>
      </w:r>
      <w:r>
        <w:rPr>
          <w:lang w:val="en-GB"/>
        </w:rPr>
        <w:t xml:space="preserve">?”, paper presented at </w:t>
      </w:r>
      <w:r w:rsidRPr="00157DCF">
        <w:rPr>
          <w:i/>
          <w:lang w:val="en-GB"/>
        </w:rPr>
        <w:t>World Sustainable Building Conference (SBE 2014)</w:t>
      </w:r>
      <w:r>
        <w:rPr>
          <w:lang w:val="en-GB"/>
        </w:rPr>
        <w:t>, Barcelona, Spain, p. 5.</w:t>
      </w:r>
    </w:p>
  </w:footnote>
  <w:footnote w:id="99">
    <w:p w:rsidR="0093736F" w:rsidRPr="0032273C" w:rsidRDefault="0093736F" w:rsidP="00612FD3">
      <w:pPr>
        <w:pStyle w:val="FootnoteText"/>
        <w:rPr>
          <w:lang w:val="en-GB"/>
        </w:rPr>
      </w:pPr>
      <w:r>
        <w:rPr>
          <w:rStyle w:val="FootnoteReference"/>
        </w:rPr>
        <w:footnoteRef/>
      </w:r>
      <w:r>
        <w:t xml:space="preserve"> </w:t>
      </w:r>
      <w:r>
        <w:tab/>
      </w:r>
      <w:r>
        <w:rPr>
          <w:lang w:val="en-GB"/>
        </w:rPr>
        <w:t xml:space="preserve">Innovate UK 2016, </w:t>
      </w:r>
      <w:r w:rsidRPr="006F0F4C">
        <w:rPr>
          <w:i/>
          <w:lang w:val="en-GB"/>
        </w:rPr>
        <w:t>Building Performance Evaluation Programme: Findings from non</w:t>
      </w:r>
      <w:r w:rsidRPr="006F0F4C">
        <w:rPr>
          <w:i/>
          <w:lang w:val="en-GB"/>
        </w:rPr>
        <w:noBreakHyphen/>
        <w:t>domestic projects, Getting the best from buildings</w:t>
      </w:r>
      <w:r>
        <w:rPr>
          <w:lang w:val="en-GB"/>
        </w:rPr>
        <w:t>, January 2016, p. 6.</w:t>
      </w:r>
    </w:p>
  </w:footnote>
  <w:footnote w:id="100">
    <w:p w:rsidR="0093736F" w:rsidRPr="00755249" w:rsidRDefault="0093736F" w:rsidP="00612FD3">
      <w:pPr>
        <w:pStyle w:val="FootnoteText"/>
        <w:rPr>
          <w:lang w:val="en-GB"/>
        </w:rPr>
      </w:pPr>
      <w:r>
        <w:rPr>
          <w:rStyle w:val="FootnoteReference"/>
        </w:rPr>
        <w:footnoteRef/>
      </w:r>
      <w:r>
        <w:t xml:space="preserve"> </w:t>
      </w:r>
      <w:r>
        <w:tab/>
      </w:r>
      <w:r>
        <w:rPr>
          <w:lang w:val="en-GB"/>
        </w:rPr>
        <w:t>ibid, p. 22.</w:t>
      </w:r>
    </w:p>
  </w:footnote>
  <w:footnote w:id="101">
    <w:p w:rsidR="0093736F" w:rsidRPr="00493055" w:rsidRDefault="0093736F" w:rsidP="00612FD3">
      <w:pPr>
        <w:pStyle w:val="FootnoteText"/>
        <w:rPr>
          <w:lang w:val="en-GB"/>
        </w:rPr>
      </w:pPr>
      <w:r>
        <w:rPr>
          <w:rStyle w:val="FootnoteReference"/>
        </w:rPr>
        <w:footnoteRef/>
      </w:r>
      <w:r>
        <w:t xml:space="preserve"> The Carbon Trust is a United Kingdom</w:t>
      </w:r>
      <w:r>
        <w:noBreakHyphen/>
        <w:t xml:space="preserve">based </w:t>
      </w:r>
      <w:r>
        <w:rPr>
          <w:rFonts w:cs="Helvetica"/>
          <w:lang w:val="en"/>
        </w:rPr>
        <w:t>independent, expert partnership of leading organisations around the world, helping them contribute to and benefit from a more sustainable future through carbon reduction, resource efficiency strategies and commercialising low carbon technologies.</w:t>
      </w:r>
    </w:p>
  </w:footnote>
  <w:footnote w:id="102">
    <w:p w:rsidR="0093736F" w:rsidRPr="00C96C08" w:rsidRDefault="0093736F" w:rsidP="00612FD3">
      <w:pPr>
        <w:pStyle w:val="FootnoteText"/>
        <w:rPr>
          <w:lang w:val="en-GB"/>
        </w:rPr>
      </w:pPr>
      <w:r>
        <w:rPr>
          <w:rStyle w:val="FootnoteReference"/>
        </w:rPr>
        <w:footnoteRef/>
      </w:r>
      <w:r>
        <w:t xml:space="preserve"> </w:t>
      </w:r>
      <w:r>
        <w:tab/>
      </w:r>
      <w:r>
        <w:rPr>
          <w:lang w:val="en-GB"/>
        </w:rPr>
        <w:t xml:space="preserve">The Carbon Trust 2011, </w:t>
      </w:r>
      <w:r w:rsidRPr="00C96C08">
        <w:rPr>
          <w:i/>
          <w:lang w:val="en-GB"/>
        </w:rPr>
        <w:t>Closing the gap: Lessons learned on realising the potential of low carbon building design</w:t>
      </w:r>
      <w:r>
        <w:rPr>
          <w:lang w:val="en-GB"/>
        </w:rPr>
        <w:t>, p. 2.</w:t>
      </w:r>
    </w:p>
  </w:footnote>
  <w:footnote w:id="103">
    <w:p w:rsidR="0093736F" w:rsidRPr="00E4409D" w:rsidRDefault="0093736F" w:rsidP="00612FD3">
      <w:pPr>
        <w:pStyle w:val="FootnoteText"/>
        <w:rPr>
          <w:lang w:val="en-GB"/>
        </w:rPr>
      </w:pPr>
      <w:r>
        <w:rPr>
          <w:rStyle w:val="FootnoteReference"/>
        </w:rPr>
        <w:footnoteRef/>
      </w:r>
      <w:r>
        <w:t xml:space="preserve"> </w:t>
      </w:r>
      <w:r>
        <w:tab/>
      </w:r>
      <w:r>
        <w:rPr>
          <w:lang w:val="en-GB"/>
        </w:rPr>
        <w:t xml:space="preserve">Frankel, M. and Turner, C. 2008a, “How Accurate is Energy Modelling in the Market”, New Buildings Institute, </w:t>
      </w:r>
      <w:r w:rsidRPr="006F0F4C">
        <w:rPr>
          <w:i/>
          <w:lang w:val="en-GB"/>
        </w:rPr>
        <w:t>2008 ACEEE Summery Study on Energy Efficiency in Buildings</w:t>
      </w:r>
      <w:r>
        <w:rPr>
          <w:lang w:val="en-GB"/>
        </w:rPr>
        <w:t>, pp. 3</w:t>
      </w:r>
      <w:r>
        <w:rPr>
          <w:lang w:val="en-GB"/>
        </w:rPr>
        <w:noBreakHyphen/>
        <w:t>90—3</w:t>
      </w:r>
      <w:r>
        <w:rPr>
          <w:lang w:val="en-GB"/>
        </w:rPr>
        <w:noBreakHyphen/>
        <w:t>94.</w:t>
      </w:r>
    </w:p>
  </w:footnote>
  <w:footnote w:id="104">
    <w:p w:rsidR="0093736F" w:rsidRPr="00E4409D" w:rsidRDefault="0093736F" w:rsidP="00612FD3">
      <w:pPr>
        <w:pStyle w:val="FootnoteText"/>
        <w:rPr>
          <w:lang w:val="en-GB"/>
        </w:rPr>
      </w:pPr>
      <w:r>
        <w:rPr>
          <w:rStyle w:val="FootnoteReference"/>
        </w:rPr>
        <w:footnoteRef/>
      </w:r>
      <w:r>
        <w:t xml:space="preserve"> </w:t>
      </w:r>
      <w:r>
        <w:tab/>
      </w:r>
      <w:r>
        <w:rPr>
          <w:lang w:val="en-GB"/>
        </w:rPr>
        <w:t>ibid, pp. 3</w:t>
      </w:r>
      <w:r>
        <w:rPr>
          <w:lang w:val="en-GB"/>
        </w:rPr>
        <w:noBreakHyphen/>
        <w:t>90—3</w:t>
      </w:r>
      <w:r>
        <w:rPr>
          <w:lang w:val="en-GB"/>
        </w:rPr>
        <w:noBreakHyphen/>
        <w:t>95.</w:t>
      </w:r>
    </w:p>
  </w:footnote>
  <w:footnote w:id="105">
    <w:p w:rsidR="0093736F" w:rsidRPr="00AC662D" w:rsidRDefault="0093736F" w:rsidP="00612FD3">
      <w:pPr>
        <w:pStyle w:val="FootnoteText"/>
        <w:rPr>
          <w:lang w:val="en-GB"/>
        </w:rPr>
      </w:pPr>
      <w:r>
        <w:rPr>
          <w:rStyle w:val="FootnoteReference"/>
        </w:rPr>
        <w:footnoteRef/>
      </w:r>
      <w:r>
        <w:t xml:space="preserve"> </w:t>
      </w:r>
      <w:r>
        <w:tab/>
      </w:r>
      <w:r>
        <w:rPr>
          <w:lang w:val="en-GB"/>
        </w:rPr>
        <w:t>Frankel, M. and Turner, C. 2008b, “</w:t>
      </w:r>
      <w:r w:rsidRPr="006F0F4C">
        <w:rPr>
          <w:lang w:val="en-GB"/>
        </w:rPr>
        <w:t>Green Building Performance Evaluation: Measured Results from LEED</w:t>
      </w:r>
      <w:r w:rsidRPr="006F0F4C">
        <w:rPr>
          <w:lang w:val="en-GB"/>
        </w:rPr>
        <w:noBreakHyphen/>
        <w:t>New Construction Buildings</w:t>
      </w:r>
      <w:r>
        <w:rPr>
          <w:lang w:val="en-GB"/>
        </w:rPr>
        <w:t xml:space="preserve">”, </w:t>
      </w:r>
      <w:r w:rsidRPr="006F0F4C">
        <w:rPr>
          <w:i/>
          <w:lang w:val="en-GB"/>
        </w:rPr>
        <w:t>2008 ACCEEE Summer Study on Energy Efficiency in Buildings</w:t>
      </w:r>
      <w:r>
        <w:rPr>
          <w:lang w:val="en-GB"/>
        </w:rPr>
        <w:t>, p. 4</w:t>
      </w:r>
      <w:r>
        <w:rPr>
          <w:lang w:val="en-GB"/>
        </w:rPr>
        <w:noBreakHyphen/>
        <w:t>329.</w:t>
      </w:r>
    </w:p>
  </w:footnote>
  <w:footnote w:id="106">
    <w:p w:rsidR="0093736F" w:rsidRPr="0007278E" w:rsidRDefault="0093736F" w:rsidP="00612FD3">
      <w:pPr>
        <w:pStyle w:val="FootnoteText"/>
        <w:rPr>
          <w:lang w:val="en-GB"/>
        </w:rPr>
      </w:pPr>
      <w:r>
        <w:rPr>
          <w:rStyle w:val="FootnoteReference"/>
        </w:rPr>
        <w:footnoteRef/>
      </w:r>
      <w:r>
        <w:t xml:space="preserve"> </w:t>
      </w:r>
      <w:r>
        <w:rPr>
          <w:lang w:val="en-GB"/>
        </w:rPr>
        <w:t>See Mehdi S. Kaddory Al</w:t>
      </w:r>
      <w:r>
        <w:rPr>
          <w:lang w:val="en-GB"/>
        </w:rPr>
        <w:noBreakHyphen/>
        <w:t>Zubaidy, 2015, “A Literature Evaluation of the Energy Efficiency of LEED</w:t>
      </w:r>
      <w:r>
        <w:rPr>
          <w:lang w:val="en-GB"/>
        </w:rPr>
        <w:noBreakHyphen/>
        <w:t xml:space="preserve">Certified Buildings”, </w:t>
      </w:r>
      <w:r w:rsidRPr="0007278E">
        <w:rPr>
          <w:i/>
          <w:lang w:val="en-GB"/>
        </w:rPr>
        <w:t>American Journal of Civil Engineering and Architecture</w:t>
      </w:r>
      <w:r>
        <w:rPr>
          <w:lang w:val="en-GB"/>
        </w:rPr>
        <w:t>, p. 4.</w:t>
      </w:r>
    </w:p>
  </w:footnote>
  <w:footnote w:id="107">
    <w:p w:rsidR="0093736F" w:rsidRPr="00D266F1" w:rsidRDefault="0093736F" w:rsidP="00612FD3">
      <w:pPr>
        <w:pStyle w:val="FootnoteText"/>
        <w:rPr>
          <w:lang w:val="en-GB"/>
        </w:rPr>
      </w:pPr>
      <w:r>
        <w:rPr>
          <w:rStyle w:val="FootnoteReference"/>
        </w:rPr>
        <w:footnoteRef/>
      </w:r>
      <w:r>
        <w:t xml:space="preserve"> </w:t>
      </w:r>
      <w:r>
        <w:rPr>
          <w:lang w:val="en-GB"/>
        </w:rPr>
        <w:t>Note that residential buildings are not relevant to the RIS.</w:t>
      </w:r>
    </w:p>
  </w:footnote>
  <w:footnote w:id="108">
    <w:p w:rsidR="0093736F" w:rsidRPr="00F961B3" w:rsidRDefault="0093736F" w:rsidP="00612FD3">
      <w:pPr>
        <w:pStyle w:val="FootnoteText"/>
        <w:rPr>
          <w:lang w:val="en-GB"/>
        </w:rPr>
      </w:pPr>
      <w:r>
        <w:rPr>
          <w:rStyle w:val="FootnoteReference"/>
        </w:rPr>
        <w:footnoteRef/>
      </w:r>
      <w:r>
        <w:t xml:space="preserve"> </w:t>
      </w:r>
      <w:r>
        <w:rPr>
          <w:lang w:val="en-GB"/>
        </w:rPr>
        <w:t xml:space="preserve">Crop, J. Lee, A. and Castor, S. </w:t>
      </w:r>
      <w:r w:rsidRPr="00F961B3">
        <w:rPr>
          <w:i/>
          <w:lang w:val="en-GB"/>
        </w:rPr>
        <w:t>Evaluating Results for the LEED Buildings in an Energy Efficiency Program</w:t>
      </w:r>
      <w:r>
        <w:rPr>
          <w:lang w:val="en-GB"/>
        </w:rPr>
        <w:t>, Prepared by Cadmus for the Energy Trust of Oregon, pp. 3</w:t>
      </w:r>
      <w:r>
        <w:rPr>
          <w:lang w:val="en-GB"/>
        </w:rPr>
        <w:noBreakHyphen/>
        <w:t>4.</w:t>
      </w:r>
    </w:p>
  </w:footnote>
  <w:footnote w:id="109">
    <w:p w:rsidR="0093736F" w:rsidRPr="00F961B3" w:rsidRDefault="0093736F" w:rsidP="00612FD3">
      <w:pPr>
        <w:pStyle w:val="FootnoteText"/>
        <w:rPr>
          <w:lang w:val="en-GB"/>
        </w:rPr>
      </w:pPr>
      <w:r>
        <w:rPr>
          <w:rStyle w:val="FootnoteReference"/>
        </w:rPr>
        <w:footnoteRef/>
      </w:r>
      <w:r>
        <w:t xml:space="preserve"> </w:t>
      </w:r>
      <w:r>
        <w:rPr>
          <w:lang w:val="en-GB"/>
        </w:rPr>
        <w:t>ibid, pp. 7</w:t>
      </w:r>
      <w:r>
        <w:rPr>
          <w:lang w:val="en-GB"/>
        </w:rPr>
        <w:noBreakHyphen/>
        <w:t>8.</w:t>
      </w:r>
    </w:p>
  </w:footnote>
  <w:footnote w:id="110">
    <w:p w:rsidR="0093736F" w:rsidRPr="00DE7B42" w:rsidRDefault="0093736F" w:rsidP="00612FD3">
      <w:pPr>
        <w:pStyle w:val="FootnoteText"/>
        <w:rPr>
          <w:lang w:val="en-GB"/>
        </w:rPr>
      </w:pPr>
      <w:r>
        <w:rPr>
          <w:rStyle w:val="FootnoteReference"/>
        </w:rPr>
        <w:footnoteRef/>
      </w:r>
      <w:r>
        <w:t xml:space="preserve"> See </w:t>
      </w:r>
      <w:r>
        <w:rPr>
          <w:lang w:val="en-GB"/>
        </w:rPr>
        <w:t xml:space="preserve">pitt&amp;sherry 2013, </w:t>
      </w:r>
      <w:r w:rsidRPr="00DE7B42">
        <w:rPr>
          <w:i/>
          <w:lang w:val="en-GB"/>
        </w:rPr>
        <w:t>Final Report: Quantitative Assessment of Energy Savings from Building Energy Efficiency Measures</w:t>
      </w:r>
      <w:r>
        <w:rPr>
          <w:lang w:val="en-GB"/>
        </w:rPr>
        <w:t>, Prepared for the Department of Climate Change &amp; Energy Efficiency, 20 March 2013, p. 5.</w:t>
      </w:r>
    </w:p>
  </w:footnote>
  <w:footnote w:id="111">
    <w:p w:rsidR="0093736F" w:rsidRPr="00F37514" w:rsidRDefault="0093736F" w:rsidP="00612FD3">
      <w:pPr>
        <w:pStyle w:val="FootnoteText"/>
        <w:rPr>
          <w:lang w:val="en-GB"/>
        </w:rPr>
      </w:pPr>
      <w:r>
        <w:rPr>
          <w:rStyle w:val="FootnoteReference"/>
        </w:rPr>
        <w:footnoteRef/>
      </w:r>
      <w:r>
        <w:t xml:space="preserve"> See for example: </w:t>
      </w:r>
      <w:r>
        <w:rPr>
          <w:lang w:val="en-GB"/>
        </w:rPr>
        <w:t xml:space="preserve">Frankel, M. and Turner, C. 2008a, “How Accurate is Energy Modelling in the Market”, New Buildings Institute, </w:t>
      </w:r>
      <w:r w:rsidRPr="006F0F4C">
        <w:rPr>
          <w:i/>
          <w:lang w:val="en-GB"/>
        </w:rPr>
        <w:t>ACEEE Summery Study on Energy Efficiency in Buildings</w:t>
      </w:r>
      <w:r>
        <w:rPr>
          <w:lang w:val="en-GB"/>
        </w:rPr>
        <w:t>, pp. 3</w:t>
      </w:r>
      <w:r>
        <w:rPr>
          <w:lang w:val="en-GB"/>
        </w:rPr>
        <w:noBreakHyphen/>
        <w:t>90—3</w:t>
      </w:r>
      <w:r>
        <w:rPr>
          <w:lang w:val="en-GB"/>
        </w:rPr>
        <w:noBreakHyphen/>
        <w:t xml:space="preserve">91; Innovate UK 2016, </w:t>
      </w:r>
      <w:r w:rsidRPr="006F0F4C">
        <w:rPr>
          <w:i/>
          <w:lang w:val="en-GB"/>
        </w:rPr>
        <w:t>Building Performance Evaluation Programme: Findings from non</w:t>
      </w:r>
      <w:r w:rsidRPr="006F0F4C">
        <w:rPr>
          <w:i/>
          <w:lang w:val="en-GB"/>
        </w:rPr>
        <w:noBreakHyphen/>
        <w:t>domestic projects, Getting the best from buildings</w:t>
      </w:r>
      <w:r>
        <w:rPr>
          <w:lang w:val="en-GB"/>
        </w:rPr>
        <w:t xml:space="preserve">, January 2016; and The Carbon Trust 2011, </w:t>
      </w:r>
      <w:r w:rsidRPr="00C96C08">
        <w:rPr>
          <w:i/>
          <w:lang w:val="en-GB"/>
        </w:rPr>
        <w:t>Closing the gap: Lessons learned on realising the potential of low carbon building design</w:t>
      </w:r>
      <w:r>
        <w:rPr>
          <w:lang w:val="en-GB"/>
        </w:rPr>
        <w:t>.</w:t>
      </w:r>
    </w:p>
  </w:footnote>
  <w:footnote w:id="112">
    <w:p w:rsidR="0093736F" w:rsidRPr="00E4409D" w:rsidRDefault="0093736F" w:rsidP="00612FD3">
      <w:pPr>
        <w:pStyle w:val="FootnoteText"/>
        <w:rPr>
          <w:lang w:val="en-GB"/>
        </w:rPr>
      </w:pPr>
      <w:r>
        <w:rPr>
          <w:rStyle w:val="FootnoteReference"/>
        </w:rPr>
        <w:footnoteRef/>
      </w:r>
      <w:r>
        <w:t xml:space="preserve"> </w:t>
      </w:r>
      <w:r>
        <w:rPr>
          <w:lang w:val="en-GB"/>
        </w:rPr>
        <w:t xml:space="preserve">Frankel, M. and Turner, C. 2008a, “How Accurate is Energy Modelling in the Market”, New Buildings Institute, </w:t>
      </w:r>
      <w:r w:rsidRPr="009F02DB">
        <w:rPr>
          <w:i/>
          <w:lang w:val="en-GB"/>
        </w:rPr>
        <w:t>ACEEE Summery Study on Energy Efficiency in Buildings</w:t>
      </w:r>
      <w:r>
        <w:rPr>
          <w:lang w:val="en-GB"/>
        </w:rPr>
        <w:t>, pp. 3</w:t>
      </w:r>
      <w:r>
        <w:rPr>
          <w:lang w:val="en-GB"/>
        </w:rPr>
        <w:noBreakHyphen/>
        <w:t>90—3</w:t>
      </w:r>
      <w:r>
        <w:rPr>
          <w:lang w:val="en-GB"/>
        </w:rPr>
        <w:noBreakHyphen/>
        <w:t>95.</w:t>
      </w:r>
    </w:p>
  </w:footnote>
  <w:footnote w:id="113">
    <w:p w:rsidR="0093736F" w:rsidRPr="0043548A" w:rsidRDefault="0093736F" w:rsidP="00612FD3">
      <w:pPr>
        <w:pStyle w:val="FootnoteText"/>
        <w:rPr>
          <w:lang w:val="en-GB"/>
        </w:rPr>
      </w:pPr>
      <w:r>
        <w:rPr>
          <w:rStyle w:val="FootnoteReference"/>
        </w:rPr>
        <w:footnoteRef/>
      </w:r>
      <w:r>
        <w:t xml:space="preserve"> Bell, H., Millagre, R. and Sanchez, C.2013, </w:t>
      </w:r>
      <w:r w:rsidRPr="005F13AE">
        <w:rPr>
          <w:i/>
        </w:rPr>
        <w:t>Achieving the Green Dream: Predicted vs Actual</w:t>
      </w:r>
      <w:r>
        <w:t>, Green Building Council of Australia, August 2013.</w:t>
      </w:r>
    </w:p>
  </w:footnote>
  <w:footnote w:id="114">
    <w:p w:rsidR="0093736F" w:rsidRPr="00F37514" w:rsidRDefault="0093736F" w:rsidP="00612FD3">
      <w:pPr>
        <w:pStyle w:val="FootnoteText"/>
        <w:rPr>
          <w:lang w:val="en-GB"/>
        </w:rPr>
      </w:pPr>
      <w:r>
        <w:rPr>
          <w:rStyle w:val="FootnoteReference"/>
        </w:rPr>
        <w:footnoteRef/>
      </w:r>
      <w:r>
        <w:t xml:space="preserve"> ibid, pp. 6</w:t>
      </w:r>
      <w:r>
        <w:noBreakHyphen/>
        <w:t>10.</w:t>
      </w:r>
    </w:p>
  </w:footnote>
  <w:footnote w:id="115">
    <w:p w:rsidR="0093736F" w:rsidRPr="00E6222F" w:rsidRDefault="0093736F" w:rsidP="003620E4">
      <w:pPr>
        <w:pStyle w:val="FootnoteText"/>
        <w:rPr>
          <w:lang w:val="en-GB"/>
        </w:rPr>
      </w:pPr>
      <w:r>
        <w:rPr>
          <w:rStyle w:val="FootnoteReference"/>
        </w:rPr>
        <w:footnoteRef/>
      </w:r>
      <w:r>
        <w:t xml:space="preserve"> </w:t>
      </w:r>
      <w:r>
        <w:rPr>
          <w:lang w:val="en-GB"/>
        </w:rPr>
        <w:t xml:space="preserve">NABERS, </w:t>
      </w:r>
      <w:r w:rsidRPr="00E6222F">
        <w:rPr>
          <w:i/>
          <w:lang w:val="en-GB"/>
        </w:rPr>
        <w:t>NABERS Energy for office Benchmarking Factors</w:t>
      </w:r>
      <w:r>
        <w:rPr>
          <w:lang w:val="en-GB"/>
        </w:rPr>
        <w:t>, 18 August 2011.</w:t>
      </w:r>
    </w:p>
  </w:footnote>
  <w:footnote w:id="116">
    <w:p w:rsidR="0093736F" w:rsidRPr="003A39AF" w:rsidRDefault="0093736F" w:rsidP="003620E4">
      <w:pPr>
        <w:pStyle w:val="FootnoteText"/>
        <w:rPr>
          <w:lang w:val="en-GB"/>
        </w:rPr>
      </w:pPr>
      <w:r>
        <w:rPr>
          <w:rStyle w:val="FootnoteReference"/>
        </w:rPr>
        <w:footnoteRef/>
      </w:r>
      <w:r>
        <w:t xml:space="preserve"> </w:t>
      </w:r>
      <w:r>
        <w:rPr>
          <w:lang w:val="en-GB"/>
        </w:rPr>
        <w:t xml:space="preserve">Flux Consultants, </w:t>
      </w:r>
      <w:r w:rsidRPr="003A39AF">
        <w:rPr>
          <w:i/>
          <w:lang w:val="en-GB"/>
        </w:rPr>
        <w:t>Beneath the Stars: Data Empowerment for the Next Generation of Sustainable Property</w:t>
      </w:r>
      <w:r>
        <w:rPr>
          <w:lang w:val="en-GB"/>
        </w:rPr>
        <w:t>, 19 June 2014, p. 24.</w:t>
      </w:r>
    </w:p>
  </w:footnote>
  <w:footnote w:id="117">
    <w:p w:rsidR="0093736F" w:rsidRPr="00E6222F" w:rsidRDefault="0093736F" w:rsidP="003620E4">
      <w:pPr>
        <w:pStyle w:val="FootnoteText"/>
        <w:rPr>
          <w:lang w:val="en-GB"/>
        </w:rPr>
      </w:pPr>
      <w:r>
        <w:rPr>
          <w:rStyle w:val="FootnoteReference"/>
        </w:rPr>
        <w:footnoteRef/>
      </w:r>
      <w:r>
        <w:t xml:space="preserve"> </w:t>
      </w:r>
      <w:r>
        <w:rPr>
          <w:lang w:val="en-GB"/>
        </w:rPr>
        <w:t>Submission from Parramatta City Council, p. 4.</w:t>
      </w:r>
    </w:p>
  </w:footnote>
  <w:footnote w:id="118">
    <w:p w:rsidR="0093736F" w:rsidRDefault="0093736F" w:rsidP="00612FD3">
      <w:pPr>
        <w:pStyle w:val="FootnoteText"/>
      </w:pPr>
      <w:r>
        <w:rPr>
          <w:rStyle w:val="FootnoteReference"/>
        </w:rPr>
        <w:footnoteRef/>
      </w:r>
      <w:r>
        <w:t xml:space="preserve"> pitt&amp;sherry 2014, </w:t>
      </w:r>
      <w:r w:rsidRPr="006F0F4C">
        <w:rPr>
          <w:i/>
          <w:lang w:val="en-GB"/>
        </w:rPr>
        <w:t>National Energy Efficient Building Project: Final report</w:t>
      </w:r>
      <w:r>
        <w:rPr>
          <w:lang w:val="en-GB"/>
        </w:rPr>
        <w:t>, report prepared for Department of State Development, Government of South Australia, November 2014, pp. 65</w:t>
      </w:r>
      <w:r>
        <w:rPr>
          <w:lang w:val="en-GB"/>
        </w:rPr>
        <w:noBreakHyphen/>
        <w:t>66.</w:t>
      </w:r>
    </w:p>
  </w:footnote>
  <w:footnote w:id="119">
    <w:p w:rsidR="0093736F" w:rsidRPr="00D5474B" w:rsidRDefault="0093736F" w:rsidP="00612FD3">
      <w:pPr>
        <w:pStyle w:val="FootnoteText"/>
        <w:rPr>
          <w:lang w:val="en-GB"/>
        </w:rPr>
      </w:pPr>
      <w:r>
        <w:rPr>
          <w:rStyle w:val="FootnoteReference"/>
        </w:rPr>
        <w:footnoteRef/>
      </w:r>
      <w:r>
        <w:t xml:space="preserve"> </w:t>
      </w:r>
      <w:r>
        <w:rPr>
          <w:lang w:val="en-GB"/>
        </w:rPr>
        <w:t xml:space="preserve">Carbon Trust 2011, </w:t>
      </w:r>
      <w:r w:rsidRPr="00D5474B">
        <w:rPr>
          <w:i/>
          <w:lang w:val="en-GB"/>
        </w:rPr>
        <w:t>Closing the gap: Lessons learned on realising the potential of low carbon building design</w:t>
      </w:r>
      <w:r>
        <w:rPr>
          <w:lang w:val="en-GB"/>
        </w:rPr>
        <w:t>, p. 4.</w:t>
      </w:r>
    </w:p>
  </w:footnote>
  <w:footnote w:id="120">
    <w:p w:rsidR="0093736F" w:rsidRPr="001C3347" w:rsidRDefault="0093736F" w:rsidP="00612FD3">
      <w:pPr>
        <w:pStyle w:val="FootnoteText"/>
        <w:rPr>
          <w:lang w:val="en-GB"/>
        </w:rPr>
      </w:pPr>
      <w:r>
        <w:rPr>
          <w:rStyle w:val="FootnoteReference"/>
        </w:rPr>
        <w:footnoteRef/>
      </w:r>
      <w:r>
        <w:t xml:space="preserve"> pitt&amp;sherry 2014, </w:t>
      </w:r>
      <w:r w:rsidRPr="006F0F4C">
        <w:rPr>
          <w:i/>
          <w:lang w:val="en-GB"/>
        </w:rPr>
        <w:t>National Energy Efficient Building Project: Final report</w:t>
      </w:r>
      <w:r>
        <w:rPr>
          <w:lang w:val="en-GB"/>
        </w:rPr>
        <w:t>, report prepared for Department of State Development, Government of South Australia, November 2014, pp. 65</w:t>
      </w:r>
      <w:r>
        <w:rPr>
          <w:lang w:val="en-GB"/>
        </w:rPr>
        <w:noBreakHyphen/>
        <w:t>66.</w:t>
      </w:r>
    </w:p>
  </w:footnote>
  <w:footnote w:id="121">
    <w:p w:rsidR="0093736F" w:rsidRPr="00D217FF" w:rsidRDefault="0093736F" w:rsidP="00612FD3">
      <w:pPr>
        <w:pStyle w:val="FootnoteText"/>
        <w:rPr>
          <w:lang w:val="en-GB"/>
        </w:rPr>
      </w:pPr>
      <w:r>
        <w:rPr>
          <w:rStyle w:val="FootnoteReference"/>
        </w:rPr>
        <w:footnoteRef/>
      </w:r>
      <w:r>
        <w:t xml:space="preserve"> </w:t>
      </w:r>
      <w:r>
        <w:rPr>
          <w:lang w:val="en-GB"/>
        </w:rPr>
        <w:t xml:space="preserve">Imam, S. Coley, D.A. and Walker, I. 2017, “The building performance gap: Are modellers literate?”, </w:t>
      </w:r>
      <w:r w:rsidRPr="00D217FF">
        <w:rPr>
          <w:i/>
          <w:lang w:val="en-GB"/>
        </w:rPr>
        <w:t>Journal of Building Services Engineering Research &amp; Technology</w:t>
      </w:r>
      <w:r>
        <w:rPr>
          <w:lang w:val="en-GB"/>
        </w:rPr>
        <w:t xml:space="preserve">, </w:t>
      </w:r>
      <w:r w:rsidRPr="006F0F4C">
        <w:rPr>
          <w:b/>
          <w:lang w:val="en-GB"/>
        </w:rPr>
        <w:t>38</w:t>
      </w:r>
      <w:r>
        <w:rPr>
          <w:lang w:val="en-GB"/>
        </w:rPr>
        <w:t>(3), pp.351-375.</w:t>
      </w:r>
    </w:p>
  </w:footnote>
  <w:footnote w:id="122">
    <w:p w:rsidR="0093736F" w:rsidRDefault="0093736F" w:rsidP="00612FD3">
      <w:pPr>
        <w:pStyle w:val="FootnoteText"/>
      </w:pPr>
      <w:r>
        <w:rPr>
          <w:rStyle w:val="FootnoteReference"/>
        </w:rPr>
        <w:footnoteRef/>
      </w:r>
      <w:r>
        <w:t xml:space="preserve"> Although only 10-year projection of new buildings after 2019 is relevant for this project, the longer period projection is presented so that we can examine if the projection is consistent with the long term trend.</w:t>
      </w:r>
    </w:p>
  </w:footnote>
  <w:footnote w:id="123">
    <w:p w:rsidR="0093736F" w:rsidRDefault="0093736F" w:rsidP="00612FD3">
      <w:pPr>
        <w:pStyle w:val="FootnoteText"/>
      </w:pPr>
      <w:r>
        <w:rPr>
          <w:rStyle w:val="FootnoteReference"/>
        </w:rPr>
        <w:footnoteRef/>
      </w:r>
      <w:r>
        <w:t xml:space="preserve"> Savills Research 2017, </w:t>
      </w:r>
      <w:r>
        <w:rPr>
          <w:i/>
        </w:rPr>
        <w:t>Key Australian industrial sales transactions</w:t>
      </w:r>
      <w:r>
        <w:t xml:space="preserve">, February 2017, </w:t>
      </w:r>
      <w:hyperlink r:id="rId12" w:history="1">
        <w:r w:rsidRPr="00CB1BE8">
          <w:rPr>
            <w:rStyle w:val="Hyperlink"/>
          </w:rPr>
          <w:t>http://pdf.savills.asia/asia-pacific-research/australian-research/australia-industrial/savillsresearch-spotlight-keytransactions-industrialsales2017.pdf</w:t>
        </w:r>
      </w:hyperlink>
      <w:r>
        <w:rPr>
          <w:rStyle w:val="Hyperlink"/>
        </w:rPr>
        <w:t>.</w:t>
      </w:r>
    </w:p>
  </w:footnote>
  <w:footnote w:id="124">
    <w:p w:rsidR="0093736F" w:rsidRDefault="0093736F" w:rsidP="00612FD3">
      <w:pPr>
        <w:pStyle w:val="FootnoteText"/>
      </w:pPr>
      <w:r>
        <w:rPr>
          <w:rStyle w:val="FootnoteReference"/>
        </w:rPr>
        <w:footnoteRef/>
      </w:r>
      <w:r>
        <w:t xml:space="preserve"> urbis 2015, </w:t>
      </w:r>
      <w:r>
        <w:rPr>
          <w:i/>
        </w:rPr>
        <w:t>Australian Shopping Centre Industry: Scale and Performance Measures</w:t>
      </w:r>
      <w:r>
        <w:t xml:space="preserve">, prepared for Shopping Centre Council of Australia, August 2015, </w:t>
      </w:r>
      <w:hyperlink r:id="rId13" w:history="1">
        <w:r w:rsidRPr="00CB1BE8">
          <w:rPr>
            <w:rStyle w:val="Hyperlink"/>
          </w:rPr>
          <w:t>http://www.scca.org.au/wp-content/uploads/2015/06/Shopping-Centre-Industry-Statisctics-August-2015_FINAL.pdf</w:t>
        </w:r>
      </w:hyperlink>
      <w:r>
        <w:rPr>
          <w:rStyle w:val="Hyperlink"/>
        </w:rPr>
        <w:t>.</w:t>
      </w:r>
    </w:p>
  </w:footnote>
  <w:footnote w:id="125">
    <w:p w:rsidR="0093736F" w:rsidRDefault="0093736F" w:rsidP="00612FD3">
      <w:pPr>
        <w:pStyle w:val="FootnoteText"/>
      </w:pPr>
      <w:r>
        <w:rPr>
          <w:rStyle w:val="FootnoteReference"/>
        </w:rPr>
        <w:footnoteRef/>
      </w:r>
      <w:r>
        <w:t xml:space="preserve"> Department of Social Services 2015. </w:t>
      </w:r>
      <w:r w:rsidRPr="0002535D">
        <w:rPr>
          <w:i/>
        </w:rPr>
        <w:t>Stocktake of Australian Government Subsidised Aged Care Places and Ratios as at 30 June 2015</w:t>
      </w:r>
      <w:r>
        <w:rPr>
          <w:i/>
        </w:rPr>
        <w:t xml:space="preserve">, </w:t>
      </w:r>
      <w:r>
        <w:t>available at</w:t>
      </w:r>
      <w:r w:rsidRPr="0002535D">
        <w:cr/>
        <w:t>https://agedcare.health.gov.au/sites/g/files/net1426/f/documents/09_2015/operational_places_and_ratios_by_acpr.pdf</w:t>
      </w:r>
      <w:r>
        <w:t>.</w:t>
      </w:r>
    </w:p>
  </w:footnote>
  <w:footnote w:id="126">
    <w:p w:rsidR="0093736F" w:rsidRDefault="0093736F" w:rsidP="00612FD3">
      <w:pPr>
        <w:pStyle w:val="FootnoteText"/>
      </w:pPr>
      <w:r>
        <w:rPr>
          <w:rStyle w:val="FootnoteReference"/>
        </w:rPr>
        <w:footnoteRef/>
      </w:r>
      <w:r>
        <w:t xml:space="preserve"> Dow, Aisha 2015, 2015. “Melbourne’s new wave of skyscrapers could survive ‘100 years’”,</w:t>
      </w:r>
      <w:r w:rsidRPr="00B73646">
        <w:t xml:space="preserve"> </w:t>
      </w:r>
      <w:r w:rsidRPr="007D4ED7">
        <w:rPr>
          <w:i/>
        </w:rPr>
        <w:t>The Age</w:t>
      </w:r>
      <w:r>
        <w:t xml:space="preserve">, 18 March 2015, </w:t>
      </w:r>
      <w:hyperlink r:id="rId14" w:history="1">
        <w:r w:rsidRPr="000F074F">
          <w:rPr>
            <w:rStyle w:val="Hyperlink"/>
          </w:rPr>
          <w:t>http://www.theage.com.au/victoria/melbournes-new-wave-of-skyscrapers-could-survive-100-years-20150317-1m1dmx.html</w:t>
        </w:r>
      </w:hyperlink>
      <w:r>
        <w:rPr>
          <w:rStyle w:val="Hyperlink"/>
        </w:rPr>
        <w:t>.</w:t>
      </w:r>
    </w:p>
  </w:footnote>
  <w:footnote w:id="127">
    <w:p w:rsidR="0093736F" w:rsidRDefault="0093736F" w:rsidP="00612FD3">
      <w:pPr>
        <w:pStyle w:val="FootnoteText"/>
      </w:pPr>
      <w:r>
        <w:rPr>
          <w:rStyle w:val="FootnoteReference"/>
        </w:rPr>
        <w:footnoteRef/>
      </w:r>
      <w:r>
        <w:t xml:space="preserve"> ibid.</w:t>
      </w:r>
    </w:p>
  </w:footnote>
  <w:footnote w:id="128">
    <w:p w:rsidR="0093736F" w:rsidRDefault="0093736F" w:rsidP="00612FD3">
      <w:pPr>
        <w:pStyle w:val="FootnoteText"/>
      </w:pPr>
      <w:r>
        <w:rPr>
          <w:rStyle w:val="FootnoteReference"/>
        </w:rPr>
        <w:footnoteRef/>
      </w:r>
      <w:r>
        <w:t xml:space="preserve"> Aged Care Financing Authority 2015, </w:t>
      </w:r>
      <w:r>
        <w:rPr>
          <w:i/>
        </w:rPr>
        <w:t>Third report on the Funding and Financing of the Aged Care Sector</w:t>
      </w:r>
      <w:r>
        <w:t xml:space="preserve">, July 2015, available at </w:t>
      </w:r>
      <w:r w:rsidRPr="0015207D">
        <w:t>https://agedcare.health.gov.au/sites/g/files/net1426/f/documents/10_2015/2015_report_on_the_funding_and_financing_of_the_aged_care_sector.pdf</w:t>
      </w:r>
      <w:r>
        <w:t>.</w:t>
      </w:r>
    </w:p>
  </w:footnote>
  <w:footnote w:id="129">
    <w:p w:rsidR="0093736F" w:rsidRDefault="0093736F" w:rsidP="00612FD3">
      <w:pPr>
        <w:pStyle w:val="FootnoteText"/>
      </w:pPr>
      <w:r>
        <w:rPr>
          <w:rStyle w:val="FootnoteReference"/>
        </w:rPr>
        <w:footnoteRef/>
      </w:r>
      <w:r>
        <w:t xml:space="preserve"> Adelaide City Council 2007, </w:t>
      </w:r>
      <w:r>
        <w:rPr>
          <w:i/>
        </w:rPr>
        <w:t>Building Refurbishment Guide</w:t>
      </w:r>
      <w:r>
        <w:t xml:space="preserve">, August 2007, </w:t>
      </w:r>
      <w:hyperlink r:id="rId15" w:history="1">
        <w:r w:rsidRPr="00C53867">
          <w:rPr>
            <w:rStyle w:val="Hyperlink"/>
          </w:rPr>
          <w:t>https://www.cityofadelaide.com.au/assets/building_refurbishment_guide.pdf</w:t>
        </w:r>
      </w:hyperlink>
      <w:r>
        <w:rPr>
          <w:rStyle w:val="Hyperlink"/>
        </w:rPr>
        <w:t>.</w:t>
      </w:r>
    </w:p>
  </w:footnote>
  <w:footnote w:id="130">
    <w:p w:rsidR="0093736F" w:rsidRDefault="0093736F" w:rsidP="00612FD3">
      <w:pPr>
        <w:pStyle w:val="FootnoteText"/>
      </w:pPr>
      <w:r>
        <w:rPr>
          <w:rStyle w:val="FootnoteReference"/>
        </w:rPr>
        <w:footnoteRef/>
      </w:r>
      <w:r>
        <w:t xml:space="preserve"> Hardie, M., Khan, S., O’Donnell, A. and Miller, G. 2007, “The efficacy of waste management plans in Australian commercial construction refurbishment projects”, </w:t>
      </w:r>
      <w:r w:rsidRPr="004A06EA">
        <w:rPr>
          <w:i/>
        </w:rPr>
        <w:t>Australian Journal of Construction Economics and Buildin</w:t>
      </w:r>
      <w:r>
        <w:t xml:space="preserve">g, vol. 7, pp 26-36. </w:t>
      </w:r>
      <w:hyperlink r:id="rId16" w:history="1">
        <w:r w:rsidRPr="000F074F">
          <w:rPr>
            <w:rStyle w:val="Hyperlink"/>
          </w:rPr>
          <w:t>https://eprints.qut.edu.au/27538/1/27538.pdf</w:t>
        </w:r>
      </w:hyperlink>
      <w:r>
        <w:rPr>
          <w:rStyle w:val="Hyperlink"/>
        </w:rPr>
        <w:t>.</w:t>
      </w:r>
    </w:p>
  </w:footnote>
  <w:footnote w:id="131">
    <w:p w:rsidR="0093736F" w:rsidRDefault="0093736F" w:rsidP="00612FD3">
      <w:pPr>
        <w:pStyle w:val="FootnoteText"/>
      </w:pPr>
      <w:r>
        <w:rPr>
          <w:rStyle w:val="FootnoteReference"/>
        </w:rPr>
        <w:footnoteRef/>
      </w:r>
      <w:r>
        <w:t xml:space="preserve"> NSW Health 2011, </w:t>
      </w:r>
      <w:r>
        <w:rPr>
          <w:i/>
        </w:rPr>
        <w:t>Capital Projects – Economic Appraisal</w:t>
      </w:r>
      <w:r>
        <w:t xml:space="preserve">, Guideline Summary GL2011-006, 12 May 2011, </w:t>
      </w:r>
      <w:hyperlink r:id="rId17" w:history="1">
        <w:r w:rsidRPr="00C53867">
          <w:rPr>
            <w:rStyle w:val="Hyperlink"/>
          </w:rPr>
          <w:t>http://www1.health.nsw.gov.au/pds/ActivePDSDocuments/GL2011_006.pdf</w:t>
        </w:r>
      </w:hyperlink>
      <w:r>
        <w:rPr>
          <w:rStyle w:val="Hyperlink"/>
        </w:rPr>
        <w:t>.</w:t>
      </w:r>
    </w:p>
  </w:footnote>
  <w:footnote w:id="132">
    <w:p w:rsidR="0093736F" w:rsidRDefault="0093736F" w:rsidP="00612FD3">
      <w:pPr>
        <w:pStyle w:val="FootnoteText"/>
      </w:pPr>
      <w:r>
        <w:rPr>
          <w:rStyle w:val="FootnoteReference"/>
        </w:rPr>
        <w:footnoteRef/>
      </w:r>
      <w:r>
        <w:t xml:space="preserve"> pitt&amp;sherry 2015, </w:t>
      </w:r>
      <w:r w:rsidRPr="003209FA">
        <w:rPr>
          <w:i/>
        </w:rPr>
        <w:t>Energy efficiency Master Plan: Foundation Report</w:t>
      </w:r>
      <w:r>
        <w:t xml:space="preserve">, prepared for City of Sydney, 2 February 2015, Rev 1. p. iii.  </w:t>
      </w:r>
      <w:hyperlink r:id="rId18" w:history="1">
        <w:r w:rsidRPr="002D0928">
          <w:rPr>
            <w:rStyle w:val="Hyperlink"/>
          </w:rPr>
          <w:t>http://www.cityofsydney.nsw.gov.au/__data/assets/pdf_file/0019/225127/150216_EC_ITEM02_ATTACHMENTB.PDF</w:t>
        </w:r>
      </w:hyperlink>
      <w:r>
        <w:rPr>
          <w:rStyle w:val="Hyperlink"/>
        </w:rPr>
        <w:t>.</w:t>
      </w:r>
    </w:p>
  </w:footnote>
  <w:footnote w:id="133">
    <w:p w:rsidR="0093736F" w:rsidRDefault="0093736F" w:rsidP="00612FD3">
      <w:pPr>
        <w:pStyle w:val="FootnoteText"/>
      </w:pPr>
      <w:r>
        <w:rPr>
          <w:rStyle w:val="FootnoteReference"/>
        </w:rPr>
        <w:footnoteRef/>
      </w:r>
      <w:r>
        <w:t xml:space="preserve"> </w:t>
      </w:r>
      <w:bookmarkStart w:id="8264" w:name="_Hlk507851411"/>
      <w:r>
        <w:t xml:space="preserve">Lazar, Jim and Ken Colborn 2013, </w:t>
      </w:r>
      <w:r>
        <w:rPr>
          <w:i/>
        </w:rPr>
        <w:t>Recognizing the Full Value of Energy Efficiency (What’s Under the Feel-Good Frosting of the World’s Most Valuable Layer Cake of Benefits)</w:t>
      </w:r>
      <w:r>
        <w:t xml:space="preserve">, September 2013, available at </w:t>
      </w:r>
      <w:r w:rsidRPr="00B31FE8">
        <w:t>http://www.raponline.org/wp-content/uploads/2016/05/rap-lazarcolburn-layercakepaper-2013-sept-9.pdf</w:t>
      </w:r>
      <w:bookmarkEnd w:id="8264"/>
      <w:r>
        <w:t>.</w:t>
      </w:r>
    </w:p>
  </w:footnote>
  <w:footnote w:id="134">
    <w:p w:rsidR="0093736F" w:rsidRPr="008D5BA8" w:rsidRDefault="0093736F" w:rsidP="00612FD3">
      <w:pPr>
        <w:pStyle w:val="FootnoteText"/>
        <w:rPr>
          <w:lang w:val="en-GB"/>
        </w:rPr>
      </w:pPr>
      <w:r>
        <w:rPr>
          <w:rStyle w:val="FootnoteReference"/>
        </w:rPr>
        <w:footnoteRef/>
      </w:r>
      <w:r>
        <w:t xml:space="preserve"> </w:t>
      </w:r>
      <w:r>
        <w:rPr>
          <w:lang w:val="en-GB"/>
        </w:rPr>
        <w:t xml:space="preserve">Jacobs 2014, </w:t>
      </w:r>
      <w:r w:rsidRPr="00A77DD6">
        <w:rPr>
          <w:i/>
          <w:lang w:val="en-GB"/>
        </w:rPr>
        <w:t>NSW Energy efficiency programs: Cost-benefit analysis</w:t>
      </w:r>
      <w:r>
        <w:rPr>
          <w:lang w:val="en-GB"/>
        </w:rPr>
        <w:t>, Final report to the NSW Office of Environment and Heritage, pp. 68</w:t>
      </w:r>
      <w:r>
        <w:rPr>
          <w:lang w:val="en-GB"/>
        </w:rPr>
        <w:noBreakHyphen/>
        <w:t>75.</w:t>
      </w:r>
    </w:p>
  </w:footnote>
  <w:footnote w:id="135">
    <w:p w:rsidR="0093736F" w:rsidRPr="004C4FE5" w:rsidRDefault="0093736F" w:rsidP="00612FD3">
      <w:pPr>
        <w:pStyle w:val="FootnoteText"/>
        <w:rPr>
          <w:lang w:val="en-GB"/>
        </w:rPr>
      </w:pPr>
      <w:r>
        <w:rPr>
          <w:rStyle w:val="FootnoteReference"/>
        </w:rPr>
        <w:footnoteRef/>
      </w:r>
      <w:r>
        <w:t xml:space="preserve"> </w:t>
      </w:r>
      <w:r>
        <w:rPr>
          <w:lang w:val="en-GB"/>
        </w:rPr>
        <w:t xml:space="preserve">See Houston Kemp Economists 2017, </w:t>
      </w:r>
      <w:r w:rsidRPr="00A77DD6">
        <w:rPr>
          <w:i/>
          <w:lang w:val="en-GB"/>
        </w:rPr>
        <w:t>Residential Building Regulatory Impact Statement Methodology</w:t>
      </w:r>
      <w:r>
        <w:rPr>
          <w:lang w:val="en-GB"/>
        </w:rPr>
        <w:t>, A report for the Department of the Environment and Energy, 6 April 2017, pp. 14</w:t>
      </w:r>
      <w:r>
        <w:rPr>
          <w:lang w:val="en-GB"/>
        </w:rPr>
        <w:noBreakHyphen/>
        <w:t>15.</w:t>
      </w:r>
    </w:p>
  </w:footnote>
  <w:footnote w:id="136">
    <w:p w:rsidR="0093736F" w:rsidRPr="003E7C06" w:rsidRDefault="0093736F" w:rsidP="00612FD3">
      <w:pPr>
        <w:pStyle w:val="FootnoteText"/>
        <w:rPr>
          <w:lang w:val="en-GB"/>
        </w:rPr>
      </w:pPr>
      <w:r>
        <w:rPr>
          <w:rStyle w:val="FootnoteReference"/>
        </w:rPr>
        <w:footnoteRef/>
      </w:r>
      <w:r>
        <w:t xml:space="preserve"> </w:t>
      </w:r>
      <w:r>
        <w:rPr>
          <w:lang w:val="en-GB"/>
        </w:rPr>
        <w:t xml:space="preserve">NERA Economic Consulting 2014, </w:t>
      </w:r>
      <w:r w:rsidRPr="00A77DD6">
        <w:rPr>
          <w:i/>
          <w:lang w:val="en-GB"/>
        </w:rPr>
        <w:t>Economic Concepts for Pricing Electricity Network Services: A Report for the Australian Energy Market Commission</w:t>
      </w:r>
      <w:r>
        <w:rPr>
          <w:lang w:val="en-GB"/>
        </w:rPr>
        <w:t>, 21 July 2014, pp. 4</w:t>
      </w:r>
      <w:r>
        <w:rPr>
          <w:lang w:val="en-GB"/>
        </w:rPr>
        <w:noBreakHyphen/>
        <w:t>6.</w:t>
      </w:r>
    </w:p>
  </w:footnote>
  <w:footnote w:id="137">
    <w:p w:rsidR="0093736F" w:rsidRPr="00147496" w:rsidRDefault="0093736F" w:rsidP="00612FD3">
      <w:pPr>
        <w:pStyle w:val="FootnoteText"/>
        <w:rPr>
          <w:lang w:val="en-GB"/>
        </w:rPr>
      </w:pPr>
      <w:r>
        <w:rPr>
          <w:rStyle w:val="FootnoteReference"/>
        </w:rPr>
        <w:footnoteRef/>
      </w:r>
      <w:r>
        <w:t xml:space="preserve"> </w:t>
      </w:r>
      <w:r>
        <w:rPr>
          <w:lang w:val="en-GB"/>
        </w:rPr>
        <w:t xml:space="preserve">Australian Competition and Consumer Commission 2017, </w:t>
      </w:r>
      <w:r w:rsidRPr="00A77DD6">
        <w:rPr>
          <w:i/>
          <w:lang w:val="en-GB"/>
        </w:rPr>
        <w:t>Retail Electricity Pricing Inquiry</w:t>
      </w:r>
      <w:r>
        <w:rPr>
          <w:lang w:val="en-GB"/>
        </w:rPr>
        <w:t>, Preliminary report, 22 September 2017, pp. 53</w:t>
      </w:r>
      <w:r>
        <w:rPr>
          <w:lang w:val="en-GB"/>
        </w:rPr>
        <w:noBreakHyphen/>
        <w:t>75.</w:t>
      </w:r>
    </w:p>
  </w:footnote>
  <w:footnote w:id="138">
    <w:p w:rsidR="0093736F" w:rsidRPr="008D5BA8" w:rsidRDefault="0093736F" w:rsidP="00612FD3">
      <w:pPr>
        <w:pStyle w:val="FootnoteText"/>
        <w:rPr>
          <w:lang w:val="en-GB"/>
        </w:rPr>
      </w:pPr>
      <w:r>
        <w:rPr>
          <w:rStyle w:val="FootnoteReference"/>
        </w:rPr>
        <w:footnoteRef/>
      </w:r>
      <w:r>
        <w:t xml:space="preserve"> </w:t>
      </w:r>
      <w:r>
        <w:rPr>
          <w:lang w:val="en-GB"/>
        </w:rPr>
        <w:t>ibid, p. 51.</w:t>
      </w:r>
    </w:p>
  </w:footnote>
  <w:footnote w:id="139">
    <w:p w:rsidR="0093736F" w:rsidRPr="00A81246" w:rsidRDefault="0093736F" w:rsidP="00612FD3">
      <w:pPr>
        <w:pStyle w:val="FootnoteText"/>
        <w:rPr>
          <w:lang w:val="en-GB"/>
        </w:rPr>
      </w:pPr>
      <w:r>
        <w:rPr>
          <w:rStyle w:val="FootnoteReference"/>
        </w:rPr>
        <w:footnoteRef/>
      </w:r>
      <w:r>
        <w:t xml:space="preserve"> </w:t>
      </w:r>
      <w:r>
        <w:rPr>
          <w:lang w:val="en-GB"/>
        </w:rPr>
        <w:t>National Electricity Rules, Chapter 6: Economic Regulation of Distribution Services, p. 762.</w:t>
      </w:r>
    </w:p>
  </w:footnote>
  <w:footnote w:id="140">
    <w:p w:rsidR="0093736F" w:rsidRPr="000F4098" w:rsidRDefault="0093736F" w:rsidP="00612FD3">
      <w:pPr>
        <w:pStyle w:val="FootnoteText"/>
        <w:rPr>
          <w:lang w:val="en-GB"/>
        </w:rPr>
      </w:pPr>
      <w:r>
        <w:rPr>
          <w:rStyle w:val="FootnoteReference"/>
        </w:rPr>
        <w:footnoteRef/>
      </w:r>
      <w:r>
        <w:t xml:space="preserve"> </w:t>
      </w:r>
      <w:r>
        <w:rPr>
          <w:lang w:val="en-GB"/>
        </w:rPr>
        <w:t xml:space="preserve">See for example, Isaac, T. and Pears, A. 2016, </w:t>
      </w:r>
      <w:r w:rsidRPr="000F4098">
        <w:rPr>
          <w:i/>
          <w:lang w:val="en-GB"/>
        </w:rPr>
        <w:t>How cautious analysis could lead to a ‘do nothing’</w:t>
      </w:r>
      <w:r>
        <w:rPr>
          <w:i/>
          <w:lang w:val="en-GB"/>
        </w:rPr>
        <w:t xml:space="preserve"> </w:t>
      </w:r>
      <w:r w:rsidRPr="000F4098">
        <w:rPr>
          <w:i/>
          <w:lang w:val="en-GB"/>
        </w:rPr>
        <w:t>policy: A case study of the 6-star housing Regulation Impact Statement</w:t>
      </w:r>
      <w:r>
        <w:rPr>
          <w:lang w:val="en-GB"/>
        </w:rPr>
        <w:t>, July 2016, pp. 13</w:t>
      </w:r>
      <w:r>
        <w:rPr>
          <w:lang w:val="en-GB"/>
        </w:rPr>
        <w:noBreakHyphen/>
        <w:t xml:space="preserve">16; and pitt&amp;sherry 2013, </w:t>
      </w:r>
      <w:r w:rsidRPr="003E7C06">
        <w:rPr>
          <w:i/>
          <w:lang w:val="en-GB"/>
        </w:rPr>
        <w:t>Final report: Quantitative assessment of energy savings from building energy efficiency measures</w:t>
      </w:r>
      <w:r>
        <w:rPr>
          <w:lang w:val="en-GB"/>
        </w:rPr>
        <w:t>, Prepared for: Department of Climate Change and Energy Efficiency, 20 March 2013, pp. 36</w:t>
      </w:r>
      <w:r>
        <w:rPr>
          <w:lang w:val="en-GB"/>
        </w:rPr>
        <w:noBreakHyphen/>
        <w:t>41.</w:t>
      </w:r>
    </w:p>
  </w:footnote>
  <w:footnote w:id="141">
    <w:p w:rsidR="0093736F" w:rsidRPr="005D74B3" w:rsidRDefault="0093736F" w:rsidP="00612FD3">
      <w:pPr>
        <w:pStyle w:val="FootnoteText"/>
        <w:rPr>
          <w:lang w:val="en-GB"/>
        </w:rPr>
      </w:pPr>
      <w:r>
        <w:rPr>
          <w:rStyle w:val="FootnoteReference"/>
        </w:rPr>
        <w:footnoteRef/>
      </w:r>
      <w:r>
        <w:t xml:space="preserve"> </w:t>
      </w:r>
      <w:r>
        <w:rPr>
          <w:lang w:val="en-GB"/>
        </w:rPr>
        <w:t xml:space="preserve">Energy Action 2017, </w:t>
      </w:r>
      <w:r w:rsidRPr="005D74B3">
        <w:rPr>
          <w:i/>
          <w:lang w:val="en-GB"/>
        </w:rPr>
        <w:t>Energy Pricing Assumptions</w:t>
      </w:r>
      <w:r>
        <w:rPr>
          <w:lang w:val="en-GB"/>
        </w:rPr>
        <w:t>, NCC Section J Revision, 1 March 2017.</w:t>
      </w:r>
    </w:p>
  </w:footnote>
  <w:footnote w:id="142">
    <w:p w:rsidR="0093736F" w:rsidRPr="005D74B3" w:rsidRDefault="0093736F" w:rsidP="00612FD3">
      <w:pPr>
        <w:pStyle w:val="FootnoteText"/>
        <w:rPr>
          <w:lang w:val="en-GB"/>
        </w:rPr>
      </w:pPr>
      <w:r>
        <w:rPr>
          <w:rStyle w:val="FootnoteReference"/>
        </w:rPr>
        <w:footnoteRef/>
      </w:r>
      <w:r>
        <w:t xml:space="preserve"> </w:t>
      </w:r>
      <w:r>
        <w:rPr>
          <w:lang w:val="en-GB"/>
        </w:rPr>
        <w:t xml:space="preserve">Australian Energy Market Commission, </w:t>
      </w:r>
      <w:r w:rsidRPr="005D74B3">
        <w:rPr>
          <w:i/>
          <w:lang w:val="en-GB"/>
        </w:rPr>
        <w:t>2017 Residential Electricity Price Trends</w:t>
      </w:r>
      <w:r>
        <w:rPr>
          <w:lang w:val="en-GB"/>
        </w:rPr>
        <w:t>, Final Report, 18 December 2017.</w:t>
      </w:r>
    </w:p>
  </w:footnote>
  <w:footnote w:id="143">
    <w:p w:rsidR="0093736F" w:rsidRPr="005D74B3" w:rsidRDefault="0093736F" w:rsidP="00612FD3">
      <w:pPr>
        <w:pStyle w:val="FootnoteText"/>
        <w:rPr>
          <w:lang w:val="en-GB"/>
        </w:rPr>
      </w:pPr>
      <w:r>
        <w:rPr>
          <w:rStyle w:val="FootnoteReference"/>
        </w:rPr>
        <w:footnoteRef/>
      </w:r>
      <w:r>
        <w:t xml:space="preserve"> </w:t>
      </w:r>
      <w:r>
        <w:rPr>
          <w:lang w:val="en-GB"/>
        </w:rPr>
        <w:t xml:space="preserve">Oakley Greenwood 2016, </w:t>
      </w:r>
      <w:r w:rsidRPr="00E611FB">
        <w:rPr>
          <w:i/>
          <w:lang w:val="en-GB"/>
        </w:rPr>
        <w:t>Gas Price Trends Review</w:t>
      </w:r>
      <w:r>
        <w:rPr>
          <w:lang w:val="en-GB"/>
        </w:rPr>
        <w:t>, Prepared for the Department of Innovation, Industry and Science, February 2016.</w:t>
      </w:r>
    </w:p>
  </w:footnote>
  <w:footnote w:id="144">
    <w:p w:rsidR="0093736F" w:rsidRPr="005D74B3" w:rsidRDefault="0093736F" w:rsidP="00612FD3">
      <w:pPr>
        <w:pStyle w:val="FootnoteText"/>
        <w:rPr>
          <w:lang w:val="en-GB"/>
        </w:rPr>
      </w:pPr>
      <w:r>
        <w:rPr>
          <w:rStyle w:val="FootnoteReference"/>
        </w:rPr>
        <w:footnoteRef/>
      </w:r>
      <w:r>
        <w:t xml:space="preserve"> </w:t>
      </w:r>
      <w:r>
        <w:rPr>
          <w:lang w:val="en-GB"/>
        </w:rPr>
        <w:t>ibid.</w:t>
      </w:r>
    </w:p>
  </w:footnote>
  <w:footnote w:id="145">
    <w:p w:rsidR="0093736F" w:rsidRPr="002B3C0A" w:rsidRDefault="0093736F">
      <w:pPr>
        <w:pStyle w:val="FootnoteText"/>
        <w:rPr>
          <w:lang w:val="en-GB"/>
        </w:rPr>
      </w:pPr>
      <w:r>
        <w:rPr>
          <w:rStyle w:val="FootnoteReference"/>
        </w:rPr>
        <w:footnoteRef/>
      </w:r>
      <w:r>
        <w:t xml:space="preserve"> </w:t>
      </w:r>
      <w:r w:rsidRPr="007B74D1">
        <w:t xml:space="preserve">Australian Government Department of the Environment and Energy, </w:t>
      </w:r>
      <w:r w:rsidRPr="007B74D1">
        <w:rPr>
          <w:i/>
        </w:rPr>
        <w:t>National Greenhouse Accounts Factors</w:t>
      </w:r>
      <w:r w:rsidRPr="007B74D1">
        <w:t>, Australian National Greenhouse Accounts, July 2018, p. 12.</w:t>
      </w:r>
    </w:p>
  </w:footnote>
  <w:footnote w:id="146">
    <w:p w:rsidR="0093736F" w:rsidRPr="002B3C0A" w:rsidRDefault="0093736F">
      <w:pPr>
        <w:pStyle w:val="FootnoteText"/>
        <w:rPr>
          <w:lang w:val="en-GB"/>
        </w:rPr>
      </w:pPr>
      <w:r>
        <w:rPr>
          <w:rStyle w:val="FootnoteReference"/>
        </w:rPr>
        <w:footnoteRef/>
      </w:r>
      <w:r>
        <w:t xml:space="preserve"> </w:t>
      </w:r>
      <w:r w:rsidRPr="002B3C0A">
        <w:t xml:space="preserve">Australian Government Department of the Environment and Energy, </w:t>
      </w:r>
      <w:r w:rsidRPr="002B3C0A">
        <w:rPr>
          <w:i/>
        </w:rPr>
        <w:t>National Greenhouse Accounts Factors</w:t>
      </w:r>
      <w:r w:rsidRPr="002B3C0A">
        <w:t>, Australian National Greenhouse Accounts, July 2018, p. 66.</w:t>
      </w:r>
    </w:p>
  </w:footnote>
  <w:footnote w:id="147">
    <w:p w:rsidR="0093736F" w:rsidRPr="00E331C2" w:rsidRDefault="0093736F" w:rsidP="00612FD3">
      <w:pPr>
        <w:pStyle w:val="FootnoteText"/>
      </w:pPr>
      <w:r>
        <w:rPr>
          <w:rStyle w:val="FootnoteReference"/>
        </w:rPr>
        <w:footnoteRef/>
      </w:r>
      <w:r>
        <w:t xml:space="preserve"> </w:t>
      </w:r>
      <w:r w:rsidRPr="00E331C2">
        <w:t>Jotzo, F., Pezzey, J.</w:t>
      </w:r>
      <w:r>
        <w:t>,</w:t>
      </w:r>
      <w:r w:rsidRPr="00E331C2">
        <w:t xml:space="preserve"> van Dijk, J. and Mazouz, S. 2015, </w:t>
      </w:r>
      <w:r w:rsidRPr="00E331C2">
        <w:rPr>
          <w:i/>
        </w:rPr>
        <w:t>Social cost of carbon for NSW policy analysis</w:t>
      </w:r>
      <w:r w:rsidRPr="00E331C2">
        <w:t>, prepared for the NSW Department of Environment and Heritage, p. 9.</w:t>
      </w:r>
    </w:p>
  </w:footnote>
  <w:footnote w:id="148">
    <w:p w:rsidR="0093736F" w:rsidRDefault="0093736F" w:rsidP="00612FD3">
      <w:pPr>
        <w:pStyle w:val="FootnoteText"/>
      </w:pPr>
      <w:r>
        <w:rPr>
          <w:rStyle w:val="FootnoteReference"/>
        </w:rPr>
        <w:footnoteRef/>
      </w:r>
      <w:r>
        <w:t xml:space="preserve"> US EPA 2017, </w:t>
      </w:r>
      <w:r>
        <w:rPr>
          <w:i/>
        </w:rPr>
        <w:t>The Social Cost of Carbon: Estimating the Benefit of Reducing Greenhouse Gas Emissions</w:t>
      </w:r>
      <w:r>
        <w:t xml:space="preserve">, </w:t>
      </w:r>
      <w:r w:rsidRPr="0034294C">
        <w:t>https://19january2017snapshot.epa.gov/climatechange/social-cost-carbon_.html</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736F" w:rsidRPr="009D4FBD" w:rsidRDefault="0093736F" w:rsidP="00677846">
    <w:pPr>
      <w:pStyle w:val="Header"/>
      <w:ind w:left="0" w:right="-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LayoutGrid"/>
      <w:tblpPr w:leftFromText="181" w:rightFromText="181" w:vertAnchor="text" w:horzAnchor="page" w:tblpX="1" w:tblpY="1"/>
      <w:tblOverlap w:val="never"/>
      <w:tblW w:w="11907" w:type="dxa"/>
      <w:tblBorders>
        <w:bottom w:val="single" w:sz="4" w:space="0" w:color="F61D12" w:themeColor="accent2"/>
      </w:tblBorders>
      <w:tblLayout w:type="fixed"/>
      <w:tblLook w:val="04A0" w:firstRow="1" w:lastRow="0" w:firstColumn="1" w:lastColumn="0" w:noHBand="0" w:noVBand="1"/>
    </w:tblPr>
    <w:tblGrid>
      <w:gridCol w:w="2268"/>
      <w:gridCol w:w="1134"/>
      <w:gridCol w:w="6804"/>
      <w:gridCol w:w="1701"/>
    </w:tblGrid>
    <w:tr w:rsidR="0093736F" w:rsidTr="004E7620">
      <w:trPr>
        <w:trHeight w:val="624"/>
      </w:trPr>
      <w:tc>
        <w:tcPr>
          <w:tcW w:w="2268" w:type="dxa"/>
        </w:tcPr>
        <w:p w:rsidR="0093736F" w:rsidRDefault="0093736F" w:rsidP="008F1A78">
          <w:pPr>
            <w:pStyle w:val="Header"/>
            <w:ind w:left="0" w:right="-1"/>
          </w:pPr>
        </w:p>
      </w:tc>
      <w:tc>
        <w:tcPr>
          <w:tcW w:w="1134" w:type="dxa"/>
          <w:vAlign w:val="bottom"/>
        </w:tcPr>
        <w:p w:rsidR="0093736F" w:rsidRDefault="0093736F" w:rsidP="008F1A78">
          <w:pPr>
            <w:pStyle w:val="Header"/>
            <w:ind w:left="0" w:right="-1"/>
          </w:pPr>
        </w:p>
      </w:tc>
      <w:tc>
        <w:tcPr>
          <w:tcW w:w="6804" w:type="dxa"/>
          <w:vAlign w:val="bottom"/>
        </w:tcPr>
        <w:p w:rsidR="0093736F" w:rsidRDefault="0093736F" w:rsidP="008F1A78">
          <w:pPr>
            <w:pStyle w:val="Header"/>
            <w:ind w:left="0" w:right="-1"/>
            <w:jc w:val="right"/>
          </w:pPr>
        </w:p>
      </w:tc>
      <w:tc>
        <w:tcPr>
          <w:tcW w:w="1701" w:type="dxa"/>
        </w:tcPr>
        <w:p w:rsidR="0093736F" w:rsidRDefault="0093736F" w:rsidP="008F1A78">
          <w:pPr>
            <w:pStyle w:val="Header"/>
            <w:ind w:left="0" w:right="-1"/>
          </w:pPr>
        </w:p>
      </w:tc>
    </w:tr>
  </w:tbl>
  <w:p w:rsidR="0093736F" w:rsidRPr="008F1A78" w:rsidRDefault="0093736F" w:rsidP="00677846">
    <w:pPr>
      <w:pStyle w:val="Header"/>
      <w:ind w:left="0" w:right="-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LayoutGrid"/>
      <w:tblpPr w:leftFromText="181" w:rightFromText="181" w:vertAnchor="text" w:horzAnchor="page" w:tblpX="1" w:tblpY="1"/>
      <w:tblOverlap w:val="never"/>
      <w:tblW w:w="12474" w:type="dxa"/>
      <w:tblBorders>
        <w:bottom w:val="single" w:sz="4" w:space="0" w:color="F61D12" w:themeColor="accent2"/>
      </w:tblBorders>
      <w:tblLayout w:type="fixed"/>
      <w:tblLook w:val="04A0" w:firstRow="1" w:lastRow="0" w:firstColumn="1" w:lastColumn="0" w:noHBand="0" w:noVBand="1"/>
    </w:tblPr>
    <w:tblGrid>
      <w:gridCol w:w="2268"/>
      <w:gridCol w:w="7513"/>
      <w:gridCol w:w="992"/>
      <w:gridCol w:w="1701"/>
    </w:tblGrid>
    <w:tr w:rsidR="0093736F" w:rsidTr="004E7620">
      <w:trPr>
        <w:trHeight w:val="624"/>
      </w:trPr>
      <w:tc>
        <w:tcPr>
          <w:tcW w:w="2268" w:type="dxa"/>
        </w:tcPr>
        <w:p w:rsidR="0093736F" w:rsidRDefault="0093736F" w:rsidP="008F1A78">
          <w:pPr>
            <w:pStyle w:val="Header"/>
            <w:ind w:left="0" w:right="-1"/>
          </w:pPr>
        </w:p>
      </w:tc>
      <w:tc>
        <w:tcPr>
          <w:tcW w:w="7513" w:type="dxa"/>
          <w:vAlign w:val="bottom"/>
        </w:tcPr>
        <w:p w:rsidR="0093736F" w:rsidRDefault="0093736F" w:rsidP="008F1A78">
          <w:pPr>
            <w:pStyle w:val="Header"/>
            <w:ind w:left="0" w:right="-1"/>
          </w:pPr>
          <w:r>
            <w:rPr>
              <w:noProof/>
            </w:rPr>
            <w:fldChar w:fldCharType="begin"/>
          </w:r>
          <w:r>
            <w:rPr>
              <w:noProof/>
            </w:rPr>
            <w:instrText xml:space="preserve"> STYLEREF  Title </w:instrText>
          </w:r>
          <w:r>
            <w:rPr>
              <w:noProof/>
            </w:rPr>
            <w:fldChar w:fldCharType="separate"/>
          </w:r>
          <w:r>
            <w:rPr>
              <w:noProof/>
            </w:rPr>
            <w:t>Decision Regulation Impact Statement</w:t>
          </w:r>
          <w:r>
            <w:rPr>
              <w:noProof/>
            </w:rPr>
            <w:fldChar w:fldCharType="end"/>
          </w:r>
        </w:p>
      </w:tc>
      <w:tc>
        <w:tcPr>
          <w:tcW w:w="992" w:type="dxa"/>
          <w:vAlign w:val="bottom"/>
        </w:tcPr>
        <w:p w:rsidR="0093736F" w:rsidRDefault="0093736F" w:rsidP="008F1A78">
          <w:pPr>
            <w:pStyle w:val="Header"/>
            <w:ind w:left="0" w:right="-1"/>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tc>
      <w:tc>
        <w:tcPr>
          <w:tcW w:w="1701" w:type="dxa"/>
        </w:tcPr>
        <w:p w:rsidR="0093736F" w:rsidRDefault="0093736F" w:rsidP="008F1A78">
          <w:pPr>
            <w:pStyle w:val="Header"/>
            <w:ind w:left="0" w:right="-1"/>
          </w:pPr>
        </w:p>
      </w:tc>
    </w:tr>
  </w:tbl>
  <w:p w:rsidR="0093736F" w:rsidRPr="009D4FBD" w:rsidRDefault="0093736F" w:rsidP="00A43AF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LayoutGrid"/>
      <w:tblpPr w:leftFromText="181" w:rightFromText="181" w:vertAnchor="text" w:horzAnchor="page" w:tblpX="1" w:tblpY="1"/>
      <w:tblOverlap w:val="never"/>
      <w:tblW w:w="11907" w:type="dxa"/>
      <w:tblBorders>
        <w:bottom w:val="single" w:sz="4" w:space="0" w:color="F61D12" w:themeColor="accent2"/>
      </w:tblBorders>
      <w:tblLayout w:type="fixed"/>
      <w:tblLook w:val="04A0" w:firstRow="1" w:lastRow="0" w:firstColumn="1" w:lastColumn="0" w:noHBand="0" w:noVBand="1"/>
    </w:tblPr>
    <w:tblGrid>
      <w:gridCol w:w="2268"/>
      <w:gridCol w:w="1134"/>
      <w:gridCol w:w="6804"/>
      <w:gridCol w:w="1701"/>
    </w:tblGrid>
    <w:tr w:rsidR="0093736F" w:rsidTr="004E7620">
      <w:trPr>
        <w:trHeight w:val="624"/>
      </w:trPr>
      <w:tc>
        <w:tcPr>
          <w:tcW w:w="2268" w:type="dxa"/>
        </w:tcPr>
        <w:p w:rsidR="0093736F" w:rsidRDefault="0093736F" w:rsidP="00650F3E">
          <w:pPr>
            <w:pStyle w:val="Header"/>
            <w:ind w:left="0" w:right="-1"/>
          </w:pPr>
        </w:p>
      </w:tc>
      <w:tc>
        <w:tcPr>
          <w:tcW w:w="1134" w:type="dxa"/>
          <w:vAlign w:val="bottom"/>
        </w:tcPr>
        <w:p w:rsidR="0093736F" w:rsidRDefault="0093736F" w:rsidP="00650F3E">
          <w:pPr>
            <w:pStyle w:val="Header"/>
            <w:ind w:left="0" w:right="-1"/>
          </w:pPr>
          <w:r>
            <w:rPr>
              <w:rStyle w:val="PageNumber"/>
            </w:rPr>
            <w:fldChar w:fldCharType="begin"/>
          </w:r>
          <w:r>
            <w:rPr>
              <w:rStyle w:val="PageNumber"/>
            </w:rPr>
            <w:instrText xml:space="preserve"> PAGE </w:instrText>
          </w:r>
          <w:r>
            <w:rPr>
              <w:rStyle w:val="PageNumber"/>
            </w:rPr>
            <w:fldChar w:fldCharType="separate"/>
          </w:r>
          <w:r w:rsidR="00EA42ED">
            <w:rPr>
              <w:rStyle w:val="PageNumber"/>
              <w:noProof/>
            </w:rPr>
            <w:t>vi</w:t>
          </w:r>
          <w:r>
            <w:rPr>
              <w:rStyle w:val="PageNumber"/>
            </w:rPr>
            <w:fldChar w:fldCharType="end"/>
          </w:r>
        </w:p>
      </w:tc>
      <w:tc>
        <w:tcPr>
          <w:tcW w:w="6804" w:type="dxa"/>
          <w:vAlign w:val="bottom"/>
        </w:tcPr>
        <w:p w:rsidR="0093736F" w:rsidRDefault="0093736F" w:rsidP="00650F3E">
          <w:pPr>
            <w:pStyle w:val="Header"/>
            <w:ind w:left="0" w:right="-1"/>
            <w:jc w:val="right"/>
          </w:pPr>
          <w:r>
            <w:rPr>
              <w:noProof/>
            </w:rPr>
            <w:fldChar w:fldCharType="begin"/>
          </w:r>
          <w:r>
            <w:rPr>
              <w:noProof/>
            </w:rPr>
            <w:instrText xml:space="preserve"> STYLEREF  Title </w:instrText>
          </w:r>
          <w:r>
            <w:rPr>
              <w:noProof/>
            </w:rPr>
            <w:fldChar w:fldCharType="separate"/>
          </w:r>
          <w:r w:rsidR="00EA42ED">
            <w:rPr>
              <w:noProof/>
            </w:rPr>
            <w:t>Decision Regulation Impact Statement</w:t>
          </w:r>
          <w:r>
            <w:rPr>
              <w:noProof/>
            </w:rPr>
            <w:fldChar w:fldCharType="end"/>
          </w:r>
        </w:p>
      </w:tc>
      <w:tc>
        <w:tcPr>
          <w:tcW w:w="1701" w:type="dxa"/>
        </w:tcPr>
        <w:p w:rsidR="0093736F" w:rsidRDefault="0093736F" w:rsidP="00650F3E">
          <w:pPr>
            <w:pStyle w:val="Header"/>
            <w:ind w:left="0" w:right="-1"/>
          </w:pPr>
        </w:p>
      </w:tc>
    </w:tr>
  </w:tbl>
  <w:p w:rsidR="0093736F" w:rsidRDefault="0093736F" w:rsidP="00650F3E">
    <w:pPr>
      <w:pStyle w:val="Header"/>
      <w:ind w:left="0" w:right="-1"/>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LayoutGrid"/>
      <w:tblpPr w:leftFromText="181" w:rightFromText="181" w:vertAnchor="text" w:horzAnchor="page" w:tblpX="1" w:tblpY="1"/>
      <w:tblOverlap w:val="never"/>
      <w:tblW w:w="12474" w:type="dxa"/>
      <w:tblBorders>
        <w:bottom w:val="single" w:sz="4" w:space="0" w:color="F61D12" w:themeColor="accent2"/>
      </w:tblBorders>
      <w:tblLayout w:type="fixed"/>
      <w:tblLook w:val="04A0" w:firstRow="1" w:lastRow="0" w:firstColumn="1" w:lastColumn="0" w:noHBand="0" w:noVBand="1"/>
    </w:tblPr>
    <w:tblGrid>
      <w:gridCol w:w="2268"/>
      <w:gridCol w:w="7513"/>
      <w:gridCol w:w="992"/>
      <w:gridCol w:w="1701"/>
    </w:tblGrid>
    <w:tr w:rsidR="0093736F" w:rsidTr="004E7620">
      <w:trPr>
        <w:trHeight w:val="624"/>
      </w:trPr>
      <w:tc>
        <w:tcPr>
          <w:tcW w:w="2268" w:type="dxa"/>
        </w:tcPr>
        <w:p w:rsidR="0093736F" w:rsidRDefault="0093736F" w:rsidP="00650F3E">
          <w:pPr>
            <w:pStyle w:val="Header"/>
            <w:ind w:left="0" w:right="-1"/>
          </w:pPr>
        </w:p>
      </w:tc>
      <w:tc>
        <w:tcPr>
          <w:tcW w:w="7513" w:type="dxa"/>
          <w:vAlign w:val="bottom"/>
        </w:tcPr>
        <w:p w:rsidR="0093736F" w:rsidRDefault="0093736F" w:rsidP="00650F3E">
          <w:pPr>
            <w:pStyle w:val="Header"/>
            <w:ind w:left="0" w:right="-1"/>
          </w:pPr>
          <w:r>
            <w:rPr>
              <w:noProof/>
            </w:rPr>
            <w:fldChar w:fldCharType="begin"/>
          </w:r>
          <w:r>
            <w:rPr>
              <w:noProof/>
            </w:rPr>
            <w:instrText xml:space="preserve"> STYLEREF  Title </w:instrText>
          </w:r>
          <w:r>
            <w:rPr>
              <w:noProof/>
            </w:rPr>
            <w:fldChar w:fldCharType="separate"/>
          </w:r>
          <w:r w:rsidR="00EA42ED">
            <w:rPr>
              <w:noProof/>
            </w:rPr>
            <w:t>Decision Regulation Impact Statement</w:t>
          </w:r>
          <w:r>
            <w:rPr>
              <w:noProof/>
            </w:rPr>
            <w:fldChar w:fldCharType="end"/>
          </w:r>
        </w:p>
      </w:tc>
      <w:tc>
        <w:tcPr>
          <w:tcW w:w="992" w:type="dxa"/>
          <w:vAlign w:val="bottom"/>
        </w:tcPr>
        <w:p w:rsidR="0093736F" w:rsidRDefault="0093736F" w:rsidP="00650F3E">
          <w:pPr>
            <w:pStyle w:val="Header"/>
            <w:ind w:left="0" w:right="-1"/>
            <w:jc w:val="right"/>
          </w:pPr>
          <w:r>
            <w:rPr>
              <w:rStyle w:val="PageNumber"/>
            </w:rPr>
            <w:fldChar w:fldCharType="begin"/>
          </w:r>
          <w:r>
            <w:rPr>
              <w:rStyle w:val="PageNumber"/>
            </w:rPr>
            <w:instrText xml:space="preserve"> PAGE </w:instrText>
          </w:r>
          <w:r>
            <w:rPr>
              <w:rStyle w:val="PageNumber"/>
            </w:rPr>
            <w:fldChar w:fldCharType="separate"/>
          </w:r>
          <w:r w:rsidR="00EA42ED">
            <w:rPr>
              <w:rStyle w:val="PageNumber"/>
              <w:noProof/>
            </w:rPr>
            <w:t>iii</w:t>
          </w:r>
          <w:r>
            <w:rPr>
              <w:rStyle w:val="PageNumber"/>
            </w:rPr>
            <w:fldChar w:fldCharType="end"/>
          </w:r>
        </w:p>
      </w:tc>
      <w:tc>
        <w:tcPr>
          <w:tcW w:w="1701" w:type="dxa"/>
        </w:tcPr>
        <w:p w:rsidR="0093736F" w:rsidRDefault="0093736F" w:rsidP="00650F3E">
          <w:pPr>
            <w:pStyle w:val="Header"/>
            <w:ind w:left="0" w:right="-1"/>
          </w:pPr>
        </w:p>
      </w:tc>
    </w:tr>
  </w:tbl>
  <w:p w:rsidR="0093736F" w:rsidRPr="003D2A2B" w:rsidRDefault="0093736F" w:rsidP="00650F3E">
    <w:pPr>
      <w:pStyle w:val="Header"/>
      <w:ind w:left="0" w:right="-1"/>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LayoutGrid"/>
      <w:tblpPr w:leftFromText="181" w:rightFromText="181" w:vertAnchor="text" w:horzAnchor="page" w:tblpX="1" w:tblpY="1"/>
      <w:tblOverlap w:val="never"/>
      <w:tblW w:w="11907" w:type="dxa"/>
      <w:tblBorders>
        <w:bottom w:val="single" w:sz="4" w:space="0" w:color="F61D12" w:themeColor="accent2"/>
      </w:tblBorders>
      <w:tblLayout w:type="fixed"/>
      <w:tblLook w:val="04A0" w:firstRow="1" w:lastRow="0" w:firstColumn="1" w:lastColumn="0" w:noHBand="0" w:noVBand="1"/>
    </w:tblPr>
    <w:tblGrid>
      <w:gridCol w:w="2268"/>
      <w:gridCol w:w="1134"/>
      <w:gridCol w:w="6804"/>
      <w:gridCol w:w="1701"/>
    </w:tblGrid>
    <w:tr w:rsidR="0093736F" w:rsidTr="006D44B3">
      <w:trPr>
        <w:trHeight w:val="624"/>
      </w:trPr>
      <w:tc>
        <w:tcPr>
          <w:tcW w:w="2268" w:type="dxa"/>
        </w:tcPr>
        <w:p w:rsidR="0093736F" w:rsidRDefault="0093736F" w:rsidP="006D44B3">
          <w:pPr>
            <w:pStyle w:val="Header"/>
            <w:ind w:left="0" w:right="-1"/>
          </w:pPr>
        </w:p>
      </w:tc>
      <w:tc>
        <w:tcPr>
          <w:tcW w:w="1134" w:type="dxa"/>
          <w:vAlign w:val="bottom"/>
        </w:tcPr>
        <w:p w:rsidR="0093736F" w:rsidRDefault="0093736F" w:rsidP="006D44B3">
          <w:pPr>
            <w:pStyle w:val="Header"/>
            <w:ind w:left="0" w:right="-1"/>
          </w:pPr>
          <w:r>
            <w:rPr>
              <w:rStyle w:val="PageNumber"/>
            </w:rPr>
            <w:fldChar w:fldCharType="begin"/>
          </w:r>
          <w:r>
            <w:rPr>
              <w:rStyle w:val="PageNumber"/>
            </w:rPr>
            <w:instrText xml:space="preserve"> PAGE </w:instrText>
          </w:r>
          <w:r>
            <w:rPr>
              <w:rStyle w:val="PageNumber"/>
            </w:rPr>
            <w:fldChar w:fldCharType="separate"/>
          </w:r>
          <w:r w:rsidR="00EA42ED">
            <w:rPr>
              <w:rStyle w:val="PageNumber"/>
              <w:noProof/>
            </w:rPr>
            <w:t>26</w:t>
          </w:r>
          <w:r>
            <w:rPr>
              <w:rStyle w:val="PageNumber"/>
            </w:rPr>
            <w:fldChar w:fldCharType="end"/>
          </w:r>
        </w:p>
      </w:tc>
      <w:tc>
        <w:tcPr>
          <w:tcW w:w="6804" w:type="dxa"/>
          <w:vAlign w:val="bottom"/>
        </w:tcPr>
        <w:p w:rsidR="0093736F" w:rsidRDefault="0093736F" w:rsidP="006D44B3">
          <w:pPr>
            <w:pStyle w:val="Header"/>
            <w:ind w:left="0" w:right="-1"/>
            <w:jc w:val="right"/>
          </w:pPr>
          <w:r>
            <w:rPr>
              <w:noProof/>
            </w:rPr>
            <w:fldChar w:fldCharType="begin"/>
          </w:r>
          <w:r>
            <w:rPr>
              <w:noProof/>
            </w:rPr>
            <w:instrText xml:space="preserve"> STYLEREF  Title </w:instrText>
          </w:r>
          <w:r>
            <w:rPr>
              <w:noProof/>
            </w:rPr>
            <w:fldChar w:fldCharType="separate"/>
          </w:r>
          <w:r w:rsidR="00EA42ED">
            <w:rPr>
              <w:noProof/>
            </w:rPr>
            <w:t>Decision Regulation Impact Statement</w:t>
          </w:r>
          <w:r>
            <w:rPr>
              <w:noProof/>
            </w:rPr>
            <w:fldChar w:fldCharType="end"/>
          </w:r>
        </w:p>
      </w:tc>
      <w:tc>
        <w:tcPr>
          <w:tcW w:w="1701" w:type="dxa"/>
        </w:tcPr>
        <w:p w:rsidR="0093736F" w:rsidRDefault="0093736F" w:rsidP="006D44B3">
          <w:pPr>
            <w:pStyle w:val="Header"/>
            <w:ind w:left="0" w:right="-1"/>
          </w:pPr>
        </w:p>
      </w:tc>
    </w:tr>
  </w:tbl>
  <w:p w:rsidR="0093736F" w:rsidRPr="009D4FBD" w:rsidRDefault="0093736F" w:rsidP="00677846">
    <w:pPr>
      <w:pStyle w:val="Header"/>
      <w:ind w:left="0" w:right="-1"/>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LayoutGrid"/>
      <w:tblpPr w:leftFromText="181" w:rightFromText="181" w:vertAnchor="text" w:horzAnchor="page" w:tblpX="1" w:tblpY="1"/>
      <w:tblOverlap w:val="never"/>
      <w:tblW w:w="12474" w:type="dxa"/>
      <w:tblBorders>
        <w:bottom w:val="single" w:sz="4" w:space="0" w:color="F61D12" w:themeColor="accent2"/>
      </w:tblBorders>
      <w:tblLayout w:type="fixed"/>
      <w:tblLook w:val="04A0" w:firstRow="1" w:lastRow="0" w:firstColumn="1" w:lastColumn="0" w:noHBand="0" w:noVBand="1"/>
    </w:tblPr>
    <w:tblGrid>
      <w:gridCol w:w="2268"/>
      <w:gridCol w:w="7513"/>
      <w:gridCol w:w="992"/>
      <w:gridCol w:w="1701"/>
    </w:tblGrid>
    <w:tr w:rsidR="0093736F" w:rsidTr="004E7620">
      <w:trPr>
        <w:trHeight w:val="624"/>
      </w:trPr>
      <w:tc>
        <w:tcPr>
          <w:tcW w:w="2268" w:type="dxa"/>
        </w:tcPr>
        <w:p w:rsidR="0093736F" w:rsidRDefault="0093736F" w:rsidP="006D44B3">
          <w:pPr>
            <w:pStyle w:val="Header"/>
            <w:ind w:left="0" w:right="-1"/>
          </w:pPr>
        </w:p>
      </w:tc>
      <w:tc>
        <w:tcPr>
          <w:tcW w:w="7513" w:type="dxa"/>
          <w:vAlign w:val="bottom"/>
        </w:tcPr>
        <w:p w:rsidR="0093736F" w:rsidRDefault="0093736F" w:rsidP="006D44B3">
          <w:pPr>
            <w:pStyle w:val="Header"/>
            <w:ind w:left="0" w:right="-1"/>
          </w:pPr>
          <w:r>
            <w:rPr>
              <w:noProof/>
            </w:rPr>
            <w:fldChar w:fldCharType="begin"/>
          </w:r>
          <w:r>
            <w:rPr>
              <w:noProof/>
            </w:rPr>
            <w:instrText xml:space="preserve"> STYLEREF  Title </w:instrText>
          </w:r>
          <w:r>
            <w:rPr>
              <w:noProof/>
            </w:rPr>
            <w:fldChar w:fldCharType="separate"/>
          </w:r>
          <w:r w:rsidR="00EA42ED">
            <w:rPr>
              <w:noProof/>
            </w:rPr>
            <w:t>Decision Regulation Impact Statement</w:t>
          </w:r>
          <w:r>
            <w:rPr>
              <w:noProof/>
            </w:rPr>
            <w:fldChar w:fldCharType="end"/>
          </w:r>
        </w:p>
      </w:tc>
      <w:tc>
        <w:tcPr>
          <w:tcW w:w="992" w:type="dxa"/>
          <w:vAlign w:val="bottom"/>
        </w:tcPr>
        <w:p w:rsidR="0093736F" w:rsidRDefault="0093736F" w:rsidP="006D44B3">
          <w:pPr>
            <w:pStyle w:val="Header"/>
            <w:ind w:left="0" w:right="-1"/>
            <w:jc w:val="right"/>
          </w:pPr>
          <w:r>
            <w:rPr>
              <w:rStyle w:val="PageNumber"/>
            </w:rPr>
            <w:fldChar w:fldCharType="begin"/>
          </w:r>
          <w:r>
            <w:rPr>
              <w:rStyle w:val="PageNumber"/>
            </w:rPr>
            <w:instrText xml:space="preserve"> PAGE </w:instrText>
          </w:r>
          <w:r>
            <w:rPr>
              <w:rStyle w:val="PageNumber"/>
            </w:rPr>
            <w:fldChar w:fldCharType="separate"/>
          </w:r>
          <w:r w:rsidR="00EA42ED">
            <w:rPr>
              <w:rStyle w:val="PageNumber"/>
              <w:noProof/>
            </w:rPr>
            <w:t>27</w:t>
          </w:r>
          <w:r>
            <w:rPr>
              <w:rStyle w:val="PageNumber"/>
            </w:rPr>
            <w:fldChar w:fldCharType="end"/>
          </w:r>
        </w:p>
      </w:tc>
      <w:tc>
        <w:tcPr>
          <w:tcW w:w="1701" w:type="dxa"/>
        </w:tcPr>
        <w:p w:rsidR="0093736F" w:rsidRDefault="0093736F" w:rsidP="006D44B3">
          <w:pPr>
            <w:pStyle w:val="Header"/>
            <w:ind w:left="0" w:right="-1"/>
          </w:pPr>
        </w:p>
      </w:tc>
    </w:tr>
  </w:tbl>
  <w:p w:rsidR="0093736F" w:rsidRPr="009D4FBD" w:rsidRDefault="0093736F" w:rsidP="00677846">
    <w:pPr>
      <w:pStyle w:val="Header"/>
      <w:ind w:left="0" w:right="-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24A2B7F8"/>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A99A1F9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23254EB"/>
    <w:multiLevelType w:val="multilevel"/>
    <w:tmpl w:val="A8A0795C"/>
    <w:numStyleLink w:val="RecommendationNumbers"/>
  </w:abstractNum>
  <w:abstractNum w:abstractNumId="3" w15:restartNumberingAfterBreak="0">
    <w:nsid w:val="051F302B"/>
    <w:multiLevelType w:val="multilevel"/>
    <w:tmpl w:val="CB3EC8D0"/>
    <w:lvl w:ilvl="0">
      <w:start w:val="1"/>
      <w:numFmt w:val="bullet"/>
      <w:lvlText w:val="■"/>
      <w:lvlJc w:val="left"/>
      <w:pPr>
        <w:tabs>
          <w:tab w:val="num" w:pos="284"/>
        </w:tabs>
        <w:ind w:left="284" w:hanging="284"/>
      </w:pPr>
      <w:rPr>
        <w:rFonts w:ascii="Franklin Gothic Demi" w:hAnsi="Franklin Gothic Demi" w:hint="default"/>
        <w:color w:val="9B917E" w:themeColor="accent4"/>
        <w:position w:val="3"/>
        <w:sz w:val="16"/>
      </w:rPr>
    </w:lvl>
    <w:lvl w:ilvl="1">
      <w:start w:val="1"/>
      <w:numFmt w:val="bullet"/>
      <w:lvlText w:val="–"/>
      <w:lvlJc w:val="left"/>
      <w:pPr>
        <w:tabs>
          <w:tab w:val="num" w:pos="567"/>
        </w:tabs>
        <w:ind w:left="567" w:hanging="283"/>
      </w:pPr>
      <w:rPr>
        <w:rFonts w:hint="default"/>
      </w:rPr>
    </w:lvl>
    <w:lvl w:ilvl="2">
      <w:start w:val="1"/>
      <w:numFmt w:val="bullet"/>
      <w:lvlText w:val="…"/>
      <w:lvlJc w:val="left"/>
      <w:pPr>
        <w:tabs>
          <w:tab w:val="num" w:pos="907"/>
        </w:tabs>
        <w:ind w:left="907" w:hanging="340"/>
      </w:pPr>
      <w:rPr>
        <w:rFonts w:ascii="Calisto MT" w:hAnsi="Calisto MT" w:hint="default"/>
        <w:color w:val="9B917E" w:themeColor="accent4"/>
        <w:position w:val="3"/>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AC902B9"/>
    <w:multiLevelType w:val="multilevel"/>
    <w:tmpl w:val="7286E43A"/>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C6C37E3"/>
    <w:multiLevelType w:val="multilevel"/>
    <w:tmpl w:val="5BCE45E4"/>
    <w:numStyleLink w:val="NoteListNumber"/>
  </w:abstractNum>
  <w:abstractNum w:abstractNumId="6" w15:restartNumberingAfterBreak="0">
    <w:nsid w:val="0DF0714B"/>
    <w:multiLevelType w:val="multilevel"/>
    <w:tmpl w:val="0C09001F"/>
    <w:name w:val="NoteNumbers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E1F659F"/>
    <w:multiLevelType w:val="multilevel"/>
    <w:tmpl w:val="60E6D4CC"/>
    <w:styleLink w:val="ListNumbers"/>
    <w:lvl w:ilvl="0">
      <w:start w:val="1"/>
      <w:numFmt w:val="decimal"/>
      <w:pStyle w:val="ListNumber"/>
      <w:lvlText w:val="%1"/>
      <w:lvlJc w:val="left"/>
      <w:pPr>
        <w:tabs>
          <w:tab w:val="num" w:pos="284"/>
        </w:tabs>
        <w:ind w:left="284" w:hanging="284"/>
      </w:pPr>
      <w:rPr>
        <w:rFonts w:ascii="Calisto MT" w:hAnsi="Calisto MT" w:hint="default"/>
      </w:rPr>
    </w:lvl>
    <w:lvl w:ilvl="1">
      <w:start w:val="1"/>
      <w:numFmt w:val="lowerLetter"/>
      <w:pStyle w:val="ListNumber2"/>
      <w:lvlText w:val="%2)"/>
      <w:lvlJc w:val="left"/>
      <w:pPr>
        <w:tabs>
          <w:tab w:val="num" w:pos="567"/>
        </w:tabs>
        <w:ind w:left="567" w:hanging="283"/>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 w15:restartNumberingAfterBreak="0">
    <w:nsid w:val="0FCD5BE7"/>
    <w:multiLevelType w:val="singleLevel"/>
    <w:tmpl w:val="1E20FD22"/>
    <w:lvl w:ilvl="0">
      <w:start w:val="1"/>
      <w:numFmt w:val="bullet"/>
      <w:lvlText w:val="■"/>
      <w:lvlJc w:val="left"/>
      <w:pPr>
        <w:ind w:left="360" w:hanging="360"/>
      </w:pPr>
      <w:rPr>
        <w:rFonts w:ascii="Franklin Gothic Demi" w:hAnsi="Franklin Gothic Demi" w:hint="default"/>
        <w:color w:val="EF1209"/>
        <w:position w:val="2"/>
      </w:rPr>
    </w:lvl>
  </w:abstractNum>
  <w:abstractNum w:abstractNumId="9" w15:restartNumberingAfterBreak="0">
    <w:nsid w:val="155F2054"/>
    <w:multiLevelType w:val="hybridMultilevel"/>
    <w:tmpl w:val="F1A860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58D63BB"/>
    <w:multiLevelType w:val="multilevel"/>
    <w:tmpl w:val="5BCE45E4"/>
    <w:styleLink w:val="NoteListNumber"/>
    <w:lvl w:ilvl="0">
      <w:start w:val="1"/>
      <w:numFmt w:val="none"/>
      <w:lvlRestart w:val="0"/>
      <w:suff w:val="nothing"/>
      <w:lvlText w:val="%1"/>
      <w:lvlJc w:val="left"/>
      <w:pPr>
        <w:ind w:left="0" w:firstLine="0"/>
      </w:pPr>
      <w:rPr>
        <w:rFonts w:ascii="Calibri" w:hAnsi="Calibri" w:cs="Calibri" w:hint="default"/>
        <w:b/>
        <w:i w:val="0"/>
        <w:color w:val="C6BFAB" w:themeColor="accent3"/>
        <w:position w:val="4"/>
      </w:rPr>
    </w:lvl>
    <w:lvl w:ilvl="1">
      <w:start w:val="1"/>
      <w:numFmt w:val="lowerLetter"/>
      <w:lvlText w:val="%1%2"/>
      <w:lvlJc w:val="left"/>
      <w:pPr>
        <w:tabs>
          <w:tab w:val="num" w:pos="170"/>
        </w:tabs>
        <w:ind w:left="170" w:hanging="170"/>
      </w:pPr>
      <w:rPr>
        <w:rFonts w:hint="default"/>
        <w:b/>
        <w:i w:val="0"/>
        <w:color w:val="C6BFAB" w:themeColor="accent3"/>
        <w:position w:val="4"/>
      </w:rPr>
    </w:lvl>
    <w:lvl w:ilvl="2">
      <w:start w:val="1"/>
      <w:numFmt w:val="none"/>
      <w:lvlRestart w:val="0"/>
      <w:suff w:val="nothing"/>
      <w:lvlText w:val="%1"/>
      <w:lvlJc w:val="left"/>
      <w:pPr>
        <w:ind w:left="1224" w:hanging="504"/>
      </w:pPr>
      <w:rPr>
        <w:rFonts w:hint="default"/>
      </w:rPr>
    </w:lvl>
    <w:lvl w:ilvl="3">
      <w:start w:val="1"/>
      <w:numFmt w:val="none"/>
      <w:lvlRestart w:val="0"/>
      <w:suff w:val="nothing"/>
      <w:lvlText w:val="%1"/>
      <w:lvlJc w:val="left"/>
      <w:pPr>
        <w:ind w:left="1728" w:hanging="648"/>
      </w:pPr>
      <w:rPr>
        <w:rFonts w:hint="default"/>
      </w:rPr>
    </w:lvl>
    <w:lvl w:ilvl="4">
      <w:start w:val="1"/>
      <w:numFmt w:val="none"/>
      <w:lvlRestart w:val="0"/>
      <w:suff w:val="nothing"/>
      <w:lvlText w:val="%1"/>
      <w:lvlJc w:val="left"/>
      <w:pPr>
        <w:ind w:left="2232" w:hanging="792"/>
      </w:pPr>
      <w:rPr>
        <w:rFonts w:hint="default"/>
      </w:rPr>
    </w:lvl>
    <w:lvl w:ilvl="5">
      <w:start w:val="1"/>
      <w:numFmt w:val="none"/>
      <w:lvlRestart w:val="0"/>
      <w:suff w:val="nothing"/>
      <w:lvlText w:val="%1"/>
      <w:lvlJc w:val="left"/>
      <w:pPr>
        <w:ind w:left="2736" w:hanging="936"/>
      </w:pPr>
      <w:rPr>
        <w:rFonts w:hint="default"/>
      </w:rPr>
    </w:lvl>
    <w:lvl w:ilvl="6">
      <w:start w:val="1"/>
      <w:numFmt w:val="none"/>
      <w:lvlRestart w:val="0"/>
      <w:suff w:val="nothing"/>
      <w:lvlText w:val="%1"/>
      <w:lvlJc w:val="left"/>
      <w:pPr>
        <w:ind w:left="3240" w:hanging="1080"/>
      </w:pPr>
      <w:rPr>
        <w:rFonts w:hint="default"/>
      </w:rPr>
    </w:lvl>
    <w:lvl w:ilvl="7">
      <w:start w:val="1"/>
      <w:numFmt w:val="none"/>
      <w:lvlRestart w:val="0"/>
      <w:suff w:val="nothing"/>
      <w:lvlText w:val="%1"/>
      <w:lvlJc w:val="left"/>
      <w:pPr>
        <w:ind w:left="3744" w:hanging="1224"/>
      </w:pPr>
      <w:rPr>
        <w:rFonts w:hint="default"/>
      </w:rPr>
    </w:lvl>
    <w:lvl w:ilvl="8">
      <w:start w:val="1"/>
      <w:numFmt w:val="none"/>
      <w:lvlRestart w:val="0"/>
      <w:suff w:val="nothing"/>
      <w:lvlText w:val="%1"/>
      <w:lvlJc w:val="left"/>
      <w:pPr>
        <w:ind w:left="4320" w:hanging="1440"/>
      </w:pPr>
      <w:rPr>
        <w:rFonts w:hint="default"/>
      </w:rPr>
    </w:lvl>
  </w:abstractNum>
  <w:abstractNum w:abstractNumId="11" w15:restartNumberingAfterBreak="0">
    <w:nsid w:val="19B85820"/>
    <w:multiLevelType w:val="multilevel"/>
    <w:tmpl w:val="F94A5772"/>
    <w:styleLink w:val="ChartListBullets"/>
    <w:lvl w:ilvl="0">
      <w:start w:val="1"/>
      <w:numFmt w:val="bullet"/>
      <w:pStyle w:val="ChartListBullet"/>
      <w:lvlText w:val="■"/>
      <w:lvlJc w:val="left"/>
      <w:pPr>
        <w:tabs>
          <w:tab w:val="num" w:pos="170"/>
        </w:tabs>
        <w:ind w:left="170" w:hanging="170"/>
      </w:pPr>
      <w:rPr>
        <w:rFonts w:ascii="Franklin Gothic Book" w:hAnsi="Franklin Gothic Book" w:hint="default"/>
        <w:color w:val="9B917E" w:themeColor="accent4"/>
        <w:position w:val="2"/>
        <w:sz w:val="12"/>
      </w:rPr>
    </w:lvl>
    <w:lvl w:ilvl="1">
      <w:start w:val="1"/>
      <w:numFmt w:val="bullet"/>
      <w:pStyle w:val="ChartListBullet2"/>
      <w:lvlText w:val="–"/>
      <w:lvlJc w:val="left"/>
      <w:pPr>
        <w:tabs>
          <w:tab w:val="num" w:pos="340"/>
        </w:tabs>
        <w:ind w:left="340" w:hanging="170"/>
      </w:pPr>
      <w:rPr>
        <w:rFonts w:ascii="Franklin Gothic Book" w:hAnsi="Franklin Gothic Book"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5416D84"/>
    <w:multiLevelType w:val="multilevel"/>
    <w:tmpl w:val="5BCE45E4"/>
    <w:lvl w:ilvl="0">
      <w:start w:val="1"/>
      <w:numFmt w:val="none"/>
      <w:lvlRestart w:val="0"/>
      <w:suff w:val="nothing"/>
      <w:lvlText w:val="%1"/>
      <w:lvlJc w:val="left"/>
      <w:pPr>
        <w:ind w:left="0" w:firstLine="0"/>
      </w:pPr>
      <w:rPr>
        <w:rFonts w:ascii="Calibri" w:hAnsi="Calibri" w:cs="Calibri" w:hint="default"/>
        <w:b/>
        <w:i w:val="0"/>
        <w:color w:val="C6BFAB" w:themeColor="accent3"/>
        <w:position w:val="4"/>
      </w:rPr>
    </w:lvl>
    <w:lvl w:ilvl="1">
      <w:start w:val="1"/>
      <w:numFmt w:val="lowerLetter"/>
      <w:lvlText w:val="%1%2"/>
      <w:lvlJc w:val="left"/>
      <w:pPr>
        <w:tabs>
          <w:tab w:val="num" w:pos="170"/>
        </w:tabs>
        <w:ind w:left="170" w:hanging="170"/>
      </w:pPr>
      <w:rPr>
        <w:rFonts w:hint="default"/>
        <w:b/>
        <w:i w:val="0"/>
        <w:color w:val="C6BFAB" w:themeColor="accent3"/>
        <w:position w:val="4"/>
      </w:rPr>
    </w:lvl>
    <w:lvl w:ilvl="2">
      <w:start w:val="1"/>
      <w:numFmt w:val="none"/>
      <w:lvlRestart w:val="0"/>
      <w:suff w:val="nothing"/>
      <w:lvlText w:val="%1"/>
      <w:lvlJc w:val="left"/>
      <w:pPr>
        <w:ind w:left="1224" w:hanging="504"/>
      </w:pPr>
      <w:rPr>
        <w:rFonts w:hint="default"/>
      </w:rPr>
    </w:lvl>
    <w:lvl w:ilvl="3">
      <w:start w:val="1"/>
      <w:numFmt w:val="none"/>
      <w:lvlRestart w:val="0"/>
      <w:suff w:val="nothing"/>
      <w:lvlText w:val="%1"/>
      <w:lvlJc w:val="left"/>
      <w:pPr>
        <w:ind w:left="1728" w:hanging="648"/>
      </w:pPr>
      <w:rPr>
        <w:rFonts w:hint="default"/>
      </w:rPr>
    </w:lvl>
    <w:lvl w:ilvl="4">
      <w:start w:val="1"/>
      <w:numFmt w:val="none"/>
      <w:lvlRestart w:val="0"/>
      <w:suff w:val="nothing"/>
      <w:lvlText w:val="%1"/>
      <w:lvlJc w:val="left"/>
      <w:pPr>
        <w:ind w:left="2232" w:hanging="792"/>
      </w:pPr>
      <w:rPr>
        <w:rFonts w:hint="default"/>
      </w:rPr>
    </w:lvl>
    <w:lvl w:ilvl="5">
      <w:start w:val="1"/>
      <w:numFmt w:val="none"/>
      <w:lvlRestart w:val="0"/>
      <w:suff w:val="nothing"/>
      <w:lvlText w:val="%1"/>
      <w:lvlJc w:val="left"/>
      <w:pPr>
        <w:ind w:left="2736" w:hanging="936"/>
      </w:pPr>
      <w:rPr>
        <w:rFonts w:hint="default"/>
      </w:rPr>
    </w:lvl>
    <w:lvl w:ilvl="6">
      <w:start w:val="1"/>
      <w:numFmt w:val="none"/>
      <w:lvlRestart w:val="0"/>
      <w:suff w:val="nothing"/>
      <w:lvlText w:val="%1"/>
      <w:lvlJc w:val="left"/>
      <w:pPr>
        <w:ind w:left="3240" w:hanging="1080"/>
      </w:pPr>
      <w:rPr>
        <w:rFonts w:hint="default"/>
      </w:rPr>
    </w:lvl>
    <w:lvl w:ilvl="7">
      <w:start w:val="1"/>
      <w:numFmt w:val="none"/>
      <w:lvlRestart w:val="0"/>
      <w:suff w:val="nothing"/>
      <w:lvlText w:val="%1"/>
      <w:lvlJc w:val="left"/>
      <w:pPr>
        <w:ind w:left="3744" w:hanging="1224"/>
      </w:pPr>
      <w:rPr>
        <w:rFonts w:hint="default"/>
      </w:rPr>
    </w:lvl>
    <w:lvl w:ilvl="8">
      <w:start w:val="1"/>
      <w:numFmt w:val="none"/>
      <w:lvlRestart w:val="0"/>
      <w:suff w:val="nothing"/>
      <w:lvlText w:val="%1"/>
      <w:lvlJc w:val="left"/>
      <w:pPr>
        <w:ind w:left="4320" w:hanging="1440"/>
      </w:pPr>
      <w:rPr>
        <w:rFonts w:hint="default"/>
      </w:rPr>
    </w:lvl>
  </w:abstractNum>
  <w:abstractNum w:abstractNumId="13" w15:restartNumberingAfterBreak="0">
    <w:nsid w:val="27006C08"/>
    <w:multiLevelType w:val="multilevel"/>
    <w:tmpl w:val="149034BA"/>
    <w:styleLink w:val="KeyPointBullets"/>
    <w:lvl w:ilvl="0">
      <w:start w:val="1"/>
      <w:numFmt w:val="bullet"/>
      <w:pStyle w:val="KeyPoint"/>
      <w:lvlText w:val="■"/>
      <w:lvlJc w:val="left"/>
      <w:pPr>
        <w:tabs>
          <w:tab w:val="num" w:pos="284"/>
        </w:tabs>
        <w:ind w:left="284" w:hanging="284"/>
      </w:pPr>
      <w:rPr>
        <w:rFonts w:ascii="Franklin Gothic Demi" w:hAnsi="Franklin Gothic Demi" w:hint="default"/>
        <w:color w:val="F61D12" w:themeColor="accent2"/>
      </w:rPr>
    </w:lvl>
    <w:lvl w:ilvl="1">
      <w:start w:val="1"/>
      <w:numFmt w:val="bullet"/>
      <w:pStyle w:val="KeyPoint2"/>
      <w:lvlText w:val="–"/>
      <w:lvlJc w:val="left"/>
      <w:pPr>
        <w:tabs>
          <w:tab w:val="num" w:pos="567"/>
        </w:tabs>
        <w:ind w:left="567" w:hanging="283"/>
      </w:pPr>
      <w:rPr>
        <w:rFonts w:ascii="Franklin Gothic Demi" w:hAnsi="Franklin Gothic Demi" w:hint="default"/>
        <w:color w:val="F61D12" w:themeColor="accent2"/>
        <w:position w:val="2"/>
      </w:rPr>
    </w:lvl>
    <w:lvl w:ilvl="2">
      <w:start w:val="1"/>
      <w:numFmt w:val="bullet"/>
      <w:pStyle w:val="KeyPoint3"/>
      <w:lvlText w:val="…"/>
      <w:lvlJc w:val="left"/>
      <w:pPr>
        <w:tabs>
          <w:tab w:val="num" w:pos="992"/>
        </w:tabs>
        <w:ind w:left="992" w:hanging="425"/>
      </w:pPr>
      <w:rPr>
        <w:rFonts w:ascii="Franklin Gothic Demi" w:hAnsi="Franklin Gothic Demi" w:hint="default"/>
        <w:color w:val="F61D12" w:themeColor="accen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7E231F0"/>
    <w:multiLevelType w:val="multilevel"/>
    <w:tmpl w:val="A8A0795C"/>
    <w:styleLink w:val="RecommendationNumbers"/>
    <w:lvl w:ilvl="0">
      <w:start w:val="1"/>
      <w:numFmt w:val="decimal"/>
      <w:pStyle w:val="RecommendationNumber"/>
      <w:lvlText w:val="%1"/>
      <w:lvlJc w:val="left"/>
      <w:pPr>
        <w:tabs>
          <w:tab w:val="num" w:pos="284"/>
        </w:tabs>
        <w:ind w:left="284" w:hanging="284"/>
      </w:pPr>
      <w:rPr>
        <w:rFonts w:hint="default"/>
      </w:rPr>
    </w:lvl>
    <w:lvl w:ilvl="1">
      <w:start w:val="1"/>
      <w:numFmt w:val="lowerLetter"/>
      <w:pStyle w:val="RecommendationNumber2"/>
      <w:lvlText w:val="%2)"/>
      <w:lvlJc w:val="left"/>
      <w:pPr>
        <w:tabs>
          <w:tab w:val="num" w:pos="567"/>
        </w:tabs>
        <w:ind w:left="567" w:hanging="283"/>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2C74085"/>
    <w:multiLevelType w:val="hybridMultilevel"/>
    <w:tmpl w:val="B2EED16E"/>
    <w:lvl w:ilvl="0" w:tplc="0C090001">
      <w:start w:val="1"/>
      <w:numFmt w:val="bullet"/>
      <w:lvlText w:val=""/>
      <w:lvlJc w:val="left"/>
      <w:pPr>
        <w:ind w:left="436" w:hanging="360"/>
      </w:pPr>
      <w:rPr>
        <w:rFonts w:ascii="Symbol" w:hAnsi="Symbol" w:hint="default"/>
      </w:rPr>
    </w:lvl>
    <w:lvl w:ilvl="1" w:tplc="0C090003">
      <w:start w:val="1"/>
      <w:numFmt w:val="bullet"/>
      <w:lvlText w:val="o"/>
      <w:lvlJc w:val="left"/>
      <w:pPr>
        <w:ind w:left="1156" w:hanging="360"/>
      </w:pPr>
      <w:rPr>
        <w:rFonts w:ascii="Courier New" w:hAnsi="Courier New" w:cs="Courier New" w:hint="default"/>
      </w:rPr>
    </w:lvl>
    <w:lvl w:ilvl="2" w:tplc="0C090005">
      <w:start w:val="1"/>
      <w:numFmt w:val="bullet"/>
      <w:lvlText w:val=""/>
      <w:lvlJc w:val="left"/>
      <w:pPr>
        <w:ind w:left="1876" w:hanging="360"/>
      </w:pPr>
      <w:rPr>
        <w:rFonts w:ascii="Wingdings" w:hAnsi="Wingdings" w:hint="default"/>
      </w:rPr>
    </w:lvl>
    <w:lvl w:ilvl="3" w:tplc="0C090001">
      <w:start w:val="1"/>
      <w:numFmt w:val="bullet"/>
      <w:lvlText w:val=""/>
      <w:lvlJc w:val="left"/>
      <w:pPr>
        <w:ind w:left="2596" w:hanging="360"/>
      </w:pPr>
      <w:rPr>
        <w:rFonts w:ascii="Symbol" w:hAnsi="Symbol" w:hint="default"/>
      </w:rPr>
    </w:lvl>
    <w:lvl w:ilvl="4" w:tplc="0C090003">
      <w:start w:val="1"/>
      <w:numFmt w:val="bullet"/>
      <w:lvlText w:val="o"/>
      <w:lvlJc w:val="left"/>
      <w:pPr>
        <w:ind w:left="3316" w:hanging="360"/>
      </w:pPr>
      <w:rPr>
        <w:rFonts w:ascii="Courier New" w:hAnsi="Courier New" w:cs="Courier New" w:hint="default"/>
      </w:rPr>
    </w:lvl>
    <w:lvl w:ilvl="5" w:tplc="0C090005">
      <w:start w:val="1"/>
      <w:numFmt w:val="bullet"/>
      <w:lvlText w:val=""/>
      <w:lvlJc w:val="left"/>
      <w:pPr>
        <w:ind w:left="4036" w:hanging="360"/>
      </w:pPr>
      <w:rPr>
        <w:rFonts w:ascii="Wingdings" w:hAnsi="Wingdings" w:hint="default"/>
      </w:rPr>
    </w:lvl>
    <w:lvl w:ilvl="6" w:tplc="0C090001">
      <w:start w:val="1"/>
      <w:numFmt w:val="bullet"/>
      <w:lvlText w:val=""/>
      <w:lvlJc w:val="left"/>
      <w:pPr>
        <w:ind w:left="4756" w:hanging="360"/>
      </w:pPr>
      <w:rPr>
        <w:rFonts w:ascii="Symbol" w:hAnsi="Symbol" w:hint="default"/>
      </w:rPr>
    </w:lvl>
    <w:lvl w:ilvl="7" w:tplc="0C090003">
      <w:start w:val="1"/>
      <w:numFmt w:val="bullet"/>
      <w:lvlText w:val="o"/>
      <w:lvlJc w:val="left"/>
      <w:pPr>
        <w:ind w:left="5476" w:hanging="360"/>
      </w:pPr>
      <w:rPr>
        <w:rFonts w:ascii="Courier New" w:hAnsi="Courier New" w:cs="Courier New" w:hint="default"/>
      </w:rPr>
    </w:lvl>
    <w:lvl w:ilvl="8" w:tplc="0C090005">
      <w:start w:val="1"/>
      <w:numFmt w:val="bullet"/>
      <w:lvlText w:val=""/>
      <w:lvlJc w:val="left"/>
      <w:pPr>
        <w:ind w:left="6196" w:hanging="360"/>
      </w:pPr>
      <w:rPr>
        <w:rFonts w:ascii="Wingdings" w:hAnsi="Wingdings" w:hint="default"/>
      </w:rPr>
    </w:lvl>
  </w:abstractNum>
  <w:abstractNum w:abstractNumId="16" w15:restartNumberingAfterBreak="0">
    <w:nsid w:val="34624A0E"/>
    <w:multiLevelType w:val="multilevel"/>
    <w:tmpl w:val="5BCE45E4"/>
    <w:numStyleLink w:val="NoteListNumber"/>
  </w:abstractNum>
  <w:abstractNum w:abstractNumId="17" w15:restartNumberingAfterBreak="0">
    <w:nsid w:val="3487660B"/>
    <w:multiLevelType w:val="multilevel"/>
    <w:tmpl w:val="5BCE45E4"/>
    <w:numStyleLink w:val="NoteListNumber"/>
  </w:abstractNum>
  <w:abstractNum w:abstractNumId="18" w15:restartNumberingAfterBreak="0">
    <w:nsid w:val="41535386"/>
    <w:multiLevelType w:val="multilevel"/>
    <w:tmpl w:val="8C8656A2"/>
    <w:styleLink w:val="TableListNumbers"/>
    <w:lvl w:ilvl="0">
      <w:start w:val="1"/>
      <w:numFmt w:val="decimal"/>
      <w:pStyle w:val="TableListNumber"/>
      <w:lvlText w:val="%1"/>
      <w:lvlJc w:val="left"/>
      <w:pPr>
        <w:tabs>
          <w:tab w:val="num" w:pos="170"/>
        </w:tabs>
        <w:ind w:left="170" w:hanging="170"/>
      </w:pPr>
      <w:rPr>
        <w:rFonts w:ascii="Franklin Gothic Book" w:hAnsi="Franklin Gothic Book" w:hint="default"/>
      </w:rPr>
    </w:lvl>
    <w:lvl w:ilvl="1">
      <w:start w:val="1"/>
      <w:numFmt w:val="lowerLetter"/>
      <w:pStyle w:val="TableListNumber2"/>
      <w:lvlText w:val="%2)"/>
      <w:lvlJc w:val="left"/>
      <w:pPr>
        <w:tabs>
          <w:tab w:val="num" w:pos="340"/>
        </w:tabs>
        <w:ind w:left="340" w:hanging="17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15:restartNumberingAfterBreak="0">
    <w:nsid w:val="44286FE3"/>
    <w:multiLevelType w:val="hybridMultilevel"/>
    <w:tmpl w:val="0786007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0" w15:restartNumberingAfterBreak="0">
    <w:nsid w:val="49260147"/>
    <w:multiLevelType w:val="hybridMultilevel"/>
    <w:tmpl w:val="4268E5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E3E75E8"/>
    <w:multiLevelType w:val="multilevel"/>
    <w:tmpl w:val="49B2C914"/>
    <w:styleLink w:val="HeadingNumbers"/>
    <w:lvl w:ilvl="0">
      <w:start w:val="1"/>
      <w:numFmt w:val="decimal"/>
      <w:pStyle w:val="Heading1"/>
      <w:lvlText w:val="%1"/>
      <w:lvlJc w:val="left"/>
      <w:pPr>
        <w:tabs>
          <w:tab w:val="num" w:pos="567"/>
        </w:tabs>
        <w:ind w:left="567" w:hanging="567"/>
      </w:pPr>
      <w:rPr>
        <w:rFonts w:hint="default"/>
        <w:b w:val="0"/>
        <w:i/>
        <w:color w:val="auto"/>
        <w:sz w:val="36"/>
      </w:rPr>
    </w:lvl>
    <w:lvl w:ilvl="1">
      <w:start w:val="1"/>
      <w:numFmt w:val="none"/>
      <w:lvlRestart w:val="0"/>
      <w:pStyle w:val="Heading2"/>
      <w:suff w:val="nothing"/>
      <w:lvlText w:val=""/>
      <w:lvlJc w:val="left"/>
      <w:pPr>
        <w:ind w:left="0" w:firstLine="0"/>
      </w:pPr>
      <w:rPr>
        <w:rFonts w:hint="default"/>
      </w:rPr>
    </w:lvl>
    <w:lvl w:ilvl="2">
      <w:start w:val="1"/>
      <w:numFmt w:val="none"/>
      <w:lvlRestart w:val="0"/>
      <w:pStyle w:val="Heading3"/>
      <w:suff w:val="nothing"/>
      <w:lvlText w:val=""/>
      <w:lvlJc w:val="left"/>
      <w:pPr>
        <w:ind w:left="0" w:firstLine="0"/>
      </w:pPr>
      <w:rPr>
        <w:rFonts w:hint="default"/>
      </w:rPr>
    </w:lvl>
    <w:lvl w:ilvl="3">
      <w:start w:val="1"/>
      <w:numFmt w:val="none"/>
      <w:lvlRestart w:val="0"/>
      <w:pStyle w:val="Heading4"/>
      <w:suff w:val="nothing"/>
      <w:lvlText w:val=""/>
      <w:lvlJc w:val="left"/>
      <w:pPr>
        <w:ind w:left="0" w:firstLine="0"/>
      </w:pPr>
      <w:rPr>
        <w:rFonts w:hint="default"/>
      </w:rPr>
    </w:lvl>
    <w:lvl w:ilvl="4">
      <w:start w:val="1"/>
      <w:numFmt w:val="none"/>
      <w:lvlRestart w:val="0"/>
      <w:pStyle w:val="Heading5"/>
      <w:suff w:val="nothing"/>
      <w:lvlText w:val=""/>
      <w:lvlJc w:val="left"/>
      <w:pPr>
        <w:ind w:left="0" w:firstLine="0"/>
      </w:pPr>
      <w:rPr>
        <w:rFonts w:hint="default"/>
      </w:rPr>
    </w:lvl>
    <w:lvl w:ilvl="5">
      <w:start w:val="1"/>
      <w:numFmt w:val="upperLetter"/>
      <w:lvlRestart w:val="0"/>
      <w:pStyle w:val="Heading6"/>
      <w:lvlText w:val="%6"/>
      <w:lvlJc w:val="left"/>
      <w:pPr>
        <w:tabs>
          <w:tab w:val="num" w:pos="567"/>
        </w:tabs>
        <w:ind w:left="567" w:hanging="567"/>
      </w:pPr>
      <w:rPr>
        <w:rFonts w:hint="default"/>
        <w:b w:val="0"/>
        <w:i/>
        <w:caps w:val="0"/>
        <w:sz w:val="36"/>
        <w:szCs w:val="28"/>
      </w:rPr>
    </w:lvl>
    <w:lvl w:ilvl="6">
      <w:start w:val="1"/>
      <w:numFmt w:val="none"/>
      <w:lvlRestart w:val="0"/>
      <w:pStyle w:val="Heading7"/>
      <w:suff w:val="nothing"/>
      <w:lvlText w:val=""/>
      <w:lvlJc w:val="left"/>
      <w:pPr>
        <w:ind w:left="0" w:firstLine="0"/>
      </w:pPr>
      <w:rPr>
        <w:rFonts w:hint="default"/>
        <w:caps/>
        <w:sz w:val="22"/>
        <w:szCs w:val="22"/>
      </w:rPr>
    </w:lvl>
    <w:lvl w:ilvl="7">
      <w:start w:val="1"/>
      <w:numFmt w:val="none"/>
      <w:lvlRestart w:val="0"/>
      <w:pStyle w:val="Heading8"/>
      <w:suff w:val="nothing"/>
      <w:lvlText w:val=""/>
      <w:lvlJc w:val="left"/>
      <w:pPr>
        <w:ind w:left="0" w:firstLine="0"/>
      </w:pPr>
      <w:rPr>
        <w:rFonts w:asciiTheme="majorHAnsi" w:hAnsiTheme="majorHAnsi" w:hint="default"/>
      </w:rPr>
    </w:lvl>
    <w:lvl w:ilvl="8">
      <w:start w:val="1"/>
      <w:numFmt w:val="none"/>
      <w:lvlRestart w:val="0"/>
      <w:pStyle w:val="Heading9"/>
      <w:suff w:val="nothing"/>
      <w:lvlText w:val=""/>
      <w:lvlJc w:val="left"/>
      <w:pPr>
        <w:ind w:left="0" w:firstLine="0"/>
      </w:pPr>
      <w:rPr>
        <w:rFonts w:asciiTheme="majorHAnsi" w:hAnsiTheme="majorHAnsi" w:hint="default"/>
      </w:rPr>
    </w:lvl>
  </w:abstractNum>
  <w:abstractNum w:abstractNumId="22" w15:restartNumberingAfterBreak="0">
    <w:nsid w:val="542E221A"/>
    <w:multiLevelType w:val="multilevel"/>
    <w:tmpl w:val="567ADE74"/>
    <w:styleLink w:val="TableListBullets"/>
    <w:lvl w:ilvl="0">
      <w:start w:val="1"/>
      <w:numFmt w:val="bullet"/>
      <w:pStyle w:val="TableListBullet"/>
      <w:lvlText w:val="■"/>
      <w:lvlJc w:val="left"/>
      <w:pPr>
        <w:tabs>
          <w:tab w:val="num" w:pos="170"/>
        </w:tabs>
        <w:ind w:left="170" w:hanging="170"/>
      </w:pPr>
      <w:rPr>
        <w:rFonts w:ascii="Franklin Gothic Book" w:hAnsi="Franklin Gothic Book"/>
        <w:color w:val="9B917E" w:themeColor="accent4"/>
        <w:spacing w:val="0"/>
        <w:w w:val="100"/>
        <w:position w:val="3"/>
        <w:sz w:val="12"/>
      </w:rPr>
    </w:lvl>
    <w:lvl w:ilvl="1">
      <w:start w:val="1"/>
      <w:numFmt w:val="bullet"/>
      <w:pStyle w:val="TableListBullet2"/>
      <w:lvlText w:val="–"/>
      <w:lvlJc w:val="left"/>
      <w:pPr>
        <w:tabs>
          <w:tab w:val="num" w:pos="340"/>
        </w:tabs>
        <w:ind w:left="340" w:hanging="170"/>
      </w:pPr>
      <w:rPr>
        <w:rFonts w:ascii="Arial" w:hAnsi="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6787896"/>
    <w:multiLevelType w:val="multilevel"/>
    <w:tmpl w:val="567ADE74"/>
    <w:numStyleLink w:val="TableListBullets"/>
  </w:abstractNum>
  <w:abstractNum w:abstractNumId="24" w15:restartNumberingAfterBreak="0">
    <w:nsid w:val="58B8648D"/>
    <w:multiLevelType w:val="multilevel"/>
    <w:tmpl w:val="5BCE45E4"/>
    <w:lvl w:ilvl="0">
      <w:start w:val="1"/>
      <w:numFmt w:val="none"/>
      <w:lvlRestart w:val="0"/>
      <w:suff w:val="nothing"/>
      <w:lvlText w:val="%1"/>
      <w:lvlJc w:val="left"/>
      <w:pPr>
        <w:ind w:left="0" w:firstLine="0"/>
      </w:pPr>
      <w:rPr>
        <w:rFonts w:ascii="Calibri" w:hAnsi="Calibri" w:cs="Calibri" w:hint="default"/>
        <w:b/>
        <w:i w:val="0"/>
        <w:color w:val="C6BFAB" w:themeColor="accent3"/>
        <w:position w:val="4"/>
      </w:rPr>
    </w:lvl>
    <w:lvl w:ilvl="1">
      <w:start w:val="1"/>
      <w:numFmt w:val="lowerLetter"/>
      <w:pStyle w:val="NoteNumber"/>
      <w:lvlText w:val="%1%2"/>
      <w:lvlJc w:val="left"/>
      <w:pPr>
        <w:tabs>
          <w:tab w:val="num" w:pos="170"/>
        </w:tabs>
        <w:ind w:left="170" w:hanging="170"/>
      </w:pPr>
      <w:rPr>
        <w:rFonts w:hint="default"/>
        <w:b/>
        <w:i w:val="0"/>
        <w:color w:val="C6BFAB" w:themeColor="accent3"/>
        <w:position w:val="4"/>
      </w:rPr>
    </w:lvl>
    <w:lvl w:ilvl="2">
      <w:start w:val="1"/>
      <w:numFmt w:val="none"/>
      <w:lvlRestart w:val="0"/>
      <w:suff w:val="nothing"/>
      <w:lvlText w:val="%1"/>
      <w:lvlJc w:val="left"/>
      <w:pPr>
        <w:ind w:left="1224" w:hanging="504"/>
      </w:pPr>
      <w:rPr>
        <w:rFonts w:hint="default"/>
      </w:rPr>
    </w:lvl>
    <w:lvl w:ilvl="3">
      <w:start w:val="1"/>
      <w:numFmt w:val="none"/>
      <w:lvlRestart w:val="0"/>
      <w:suff w:val="nothing"/>
      <w:lvlText w:val="%1"/>
      <w:lvlJc w:val="left"/>
      <w:pPr>
        <w:ind w:left="1728" w:hanging="648"/>
      </w:pPr>
      <w:rPr>
        <w:rFonts w:hint="default"/>
      </w:rPr>
    </w:lvl>
    <w:lvl w:ilvl="4">
      <w:start w:val="1"/>
      <w:numFmt w:val="none"/>
      <w:lvlRestart w:val="0"/>
      <w:suff w:val="nothing"/>
      <w:lvlText w:val="%1"/>
      <w:lvlJc w:val="left"/>
      <w:pPr>
        <w:ind w:left="2232" w:hanging="792"/>
      </w:pPr>
      <w:rPr>
        <w:rFonts w:hint="default"/>
      </w:rPr>
    </w:lvl>
    <w:lvl w:ilvl="5">
      <w:start w:val="1"/>
      <w:numFmt w:val="none"/>
      <w:lvlRestart w:val="0"/>
      <w:suff w:val="nothing"/>
      <w:lvlText w:val="%1"/>
      <w:lvlJc w:val="left"/>
      <w:pPr>
        <w:ind w:left="2736" w:hanging="936"/>
      </w:pPr>
      <w:rPr>
        <w:rFonts w:hint="default"/>
      </w:rPr>
    </w:lvl>
    <w:lvl w:ilvl="6">
      <w:start w:val="1"/>
      <w:numFmt w:val="none"/>
      <w:lvlRestart w:val="0"/>
      <w:suff w:val="nothing"/>
      <w:lvlText w:val="%1"/>
      <w:lvlJc w:val="left"/>
      <w:pPr>
        <w:ind w:left="3240" w:hanging="1080"/>
      </w:pPr>
      <w:rPr>
        <w:rFonts w:hint="default"/>
      </w:rPr>
    </w:lvl>
    <w:lvl w:ilvl="7">
      <w:start w:val="1"/>
      <w:numFmt w:val="none"/>
      <w:lvlRestart w:val="0"/>
      <w:suff w:val="nothing"/>
      <w:lvlText w:val="%1"/>
      <w:lvlJc w:val="left"/>
      <w:pPr>
        <w:ind w:left="3744" w:hanging="1224"/>
      </w:pPr>
      <w:rPr>
        <w:rFonts w:hint="default"/>
      </w:rPr>
    </w:lvl>
    <w:lvl w:ilvl="8">
      <w:start w:val="1"/>
      <w:numFmt w:val="none"/>
      <w:lvlRestart w:val="0"/>
      <w:suff w:val="nothing"/>
      <w:lvlText w:val="%1"/>
      <w:lvlJc w:val="left"/>
      <w:pPr>
        <w:ind w:left="4320" w:hanging="1440"/>
      </w:pPr>
      <w:rPr>
        <w:rFonts w:hint="default"/>
      </w:rPr>
    </w:lvl>
  </w:abstractNum>
  <w:abstractNum w:abstractNumId="25" w15:restartNumberingAfterBreak="0">
    <w:nsid w:val="6C420028"/>
    <w:multiLevelType w:val="multilevel"/>
    <w:tmpl w:val="AD122346"/>
    <w:styleLink w:val="ChartListNumber"/>
    <w:lvl w:ilvl="0">
      <w:start w:val="1"/>
      <w:numFmt w:val="decimal"/>
      <w:pStyle w:val="ChartListNumber0"/>
      <w:lvlText w:val="%1"/>
      <w:lvlJc w:val="left"/>
      <w:pPr>
        <w:tabs>
          <w:tab w:val="num" w:pos="170"/>
        </w:tabs>
        <w:ind w:left="170" w:hanging="17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718120EA"/>
    <w:multiLevelType w:val="multilevel"/>
    <w:tmpl w:val="CB3EC8D0"/>
    <w:styleLink w:val="ListBullets"/>
    <w:lvl w:ilvl="0">
      <w:start w:val="1"/>
      <w:numFmt w:val="bullet"/>
      <w:pStyle w:val="ListBullet"/>
      <w:lvlText w:val="■"/>
      <w:lvlJc w:val="left"/>
      <w:pPr>
        <w:tabs>
          <w:tab w:val="num" w:pos="284"/>
        </w:tabs>
        <w:ind w:left="284" w:hanging="284"/>
      </w:pPr>
      <w:rPr>
        <w:rFonts w:ascii="Franklin Gothic Demi" w:hAnsi="Franklin Gothic Demi" w:hint="default"/>
        <w:color w:val="9B917E" w:themeColor="accent4"/>
        <w:position w:val="3"/>
        <w:sz w:val="16"/>
      </w:rPr>
    </w:lvl>
    <w:lvl w:ilvl="1">
      <w:start w:val="1"/>
      <w:numFmt w:val="bullet"/>
      <w:pStyle w:val="ListBullet2"/>
      <w:lvlText w:val="–"/>
      <w:lvlJc w:val="left"/>
      <w:pPr>
        <w:tabs>
          <w:tab w:val="num" w:pos="567"/>
        </w:tabs>
        <w:ind w:left="567" w:hanging="283"/>
      </w:pPr>
      <w:rPr>
        <w:rFonts w:hint="default"/>
      </w:rPr>
    </w:lvl>
    <w:lvl w:ilvl="2">
      <w:start w:val="1"/>
      <w:numFmt w:val="bullet"/>
      <w:pStyle w:val="ListBullet3"/>
      <w:lvlText w:val="…"/>
      <w:lvlJc w:val="left"/>
      <w:pPr>
        <w:tabs>
          <w:tab w:val="num" w:pos="907"/>
        </w:tabs>
        <w:ind w:left="907" w:hanging="340"/>
      </w:pPr>
      <w:rPr>
        <w:rFonts w:ascii="Calisto MT" w:hAnsi="Calisto MT" w:hint="default"/>
        <w:color w:val="9B917E" w:themeColor="accent4"/>
        <w:position w:val="3"/>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720F67A8"/>
    <w:multiLevelType w:val="multilevel"/>
    <w:tmpl w:val="0C090029"/>
    <w:name w:val="NoteNumbers"/>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8" w15:restartNumberingAfterBreak="0">
    <w:nsid w:val="72BB502B"/>
    <w:multiLevelType w:val="multilevel"/>
    <w:tmpl w:val="CB90F828"/>
    <w:lvl w:ilvl="0">
      <w:start w:val="1"/>
      <w:numFmt w:val="lowerLetter"/>
      <w:lvlRestart w:val="0"/>
      <w:lvlText w:val="%1"/>
      <w:lvlJc w:val="left"/>
      <w:pPr>
        <w:tabs>
          <w:tab w:val="num" w:pos="170"/>
        </w:tabs>
        <w:ind w:left="0" w:firstLine="0"/>
      </w:pPr>
      <w:rPr>
        <w:rFonts w:hint="default"/>
        <w:b/>
        <w:bCs w:val="0"/>
        <w:i w:val="0"/>
        <w:iCs w:val="0"/>
        <w:caps w:val="0"/>
        <w:smallCaps w:val="0"/>
        <w:strike w:val="0"/>
        <w:dstrike w:val="0"/>
        <w:noProof w:val="0"/>
        <w:vanish w:val="0"/>
        <w:color w:val="00497E"/>
        <w:spacing w:val="0"/>
        <w:kern w:val="0"/>
        <w:position w:val="0"/>
        <w:sz w:val="16"/>
        <w:szCs w:val="1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1440"/>
        </w:tabs>
        <w:ind w:left="1440" w:hanging="363"/>
      </w:pPr>
      <w:rPr>
        <w:rFonts w:hint="default"/>
      </w:rPr>
    </w:lvl>
    <w:lvl w:ilvl="2">
      <w:start w:val="1"/>
      <w:numFmt w:val="lowerRoman"/>
      <w:lvlText w:val="%3."/>
      <w:lvlJc w:val="right"/>
      <w:pPr>
        <w:tabs>
          <w:tab w:val="num" w:pos="2160"/>
        </w:tabs>
        <w:ind w:left="2160" w:hanging="181"/>
      </w:pPr>
      <w:rPr>
        <w:rFonts w:hint="default"/>
      </w:rPr>
    </w:lvl>
    <w:lvl w:ilvl="3">
      <w:start w:val="1"/>
      <w:numFmt w:val="decimal"/>
      <w:lvlText w:val="%4."/>
      <w:lvlJc w:val="left"/>
      <w:pPr>
        <w:tabs>
          <w:tab w:val="num" w:pos="2880"/>
        </w:tabs>
        <w:ind w:left="2880" w:hanging="363"/>
      </w:pPr>
      <w:rPr>
        <w:rFonts w:hint="default"/>
      </w:rPr>
    </w:lvl>
    <w:lvl w:ilvl="4">
      <w:start w:val="1"/>
      <w:numFmt w:val="lowerLetter"/>
      <w:lvlText w:val="%5."/>
      <w:lvlJc w:val="left"/>
      <w:pPr>
        <w:tabs>
          <w:tab w:val="num" w:pos="3600"/>
        </w:tabs>
        <w:ind w:left="3600" w:hanging="363"/>
      </w:pPr>
      <w:rPr>
        <w:rFonts w:hint="default"/>
      </w:rPr>
    </w:lvl>
    <w:lvl w:ilvl="5">
      <w:start w:val="1"/>
      <w:numFmt w:val="lowerRoman"/>
      <w:lvlText w:val="%6."/>
      <w:lvlJc w:val="right"/>
      <w:pPr>
        <w:tabs>
          <w:tab w:val="num" w:pos="4320"/>
        </w:tabs>
        <w:ind w:left="4320" w:hanging="181"/>
      </w:pPr>
      <w:rPr>
        <w:rFonts w:hint="default"/>
      </w:rPr>
    </w:lvl>
    <w:lvl w:ilvl="6">
      <w:start w:val="1"/>
      <w:numFmt w:val="decimal"/>
      <w:lvlText w:val="%7."/>
      <w:lvlJc w:val="left"/>
      <w:pPr>
        <w:tabs>
          <w:tab w:val="num" w:pos="5040"/>
        </w:tabs>
        <w:ind w:left="5040" w:hanging="363"/>
      </w:pPr>
      <w:rPr>
        <w:rFonts w:hint="default"/>
      </w:rPr>
    </w:lvl>
    <w:lvl w:ilvl="7">
      <w:start w:val="1"/>
      <w:numFmt w:val="lowerLetter"/>
      <w:lvlText w:val="%8."/>
      <w:lvlJc w:val="left"/>
      <w:pPr>
        <w:tabs>
          <w:tab w:val="num" w:pos="5760"/>
        </w:tabs>
        <w:ind w:left="5760" w:hanging="363"/>
      </w:pPr>
      <w:rPr>
        <w:rFonts w:hint="default"/>
      </w:rPr>
    </w:lvl>
    <w:lvl w:ilvl="8">
      <w:start w:val="1"/>
      <w:numFmt w:val="lowerRoman"/>
      <w:lvlText w:val="%9."/>
      <w:lvlJc w:val="right"/>
      <w:pPr>
        <w:tabs>
          <w:tab w:val="num" w:pos="6480"/>
        </w:tabs>
        <w:ind w:left="6480" w:hanging="181"/>
      </w:pPr>
      <w:rPr>
        <w:rFonts w:hint="default"/>
      </w:rPr>
    </w:lvl>
  </w:abstractNum>
  <w:abstractNum w:abstractNumId="29" w15:restartNumberingAfterBreak="0">
    <w:nsid w:val="7C3A0DF8"/>
    <w:multiLevelType w:val="multilevel"/>
    <w:tmpl w:val="E6863C72"/>
    <w:lvl w:ilvl="0">
      <w:start w:val="1"/>
      <w:numFmt w:val="none"/>
      <w:lvlRestart w:val="0"/>
      <w:suff w:val="nothing"/>
      <w:lvlText w:val="%1"/>
      <w:lvlJc w:val="left"/>
      <w:pPr>
        <w:ind w:left="0" w:firstLine="0"/>
      </w:pPr>
      <w:rPr>
        <w:rFonts w:ascii="Calibri" w:hAnsi="Calibri" w:cs="Calibri" w:hint="default"/>
        <w:b/>
        <w:i w:val="0"/>
        <w:color w:val="C6BFAB" w:themeColor="accent3"/>
        <w:position w:val="4"/>
      </w:rPr>
    </w:lvl>
    <w:lvl w:ilvl="1">
      <w:start w:val="1"/>
      <w:numFmt w:val="lowerLetter"/>
      <w:lvlText w:val="%1%2"/>
      <w:lvlJc w:val="left"/>
      <w:pPr>
        <w:tabs>
          <w:tab w:val="num" w:pos="170"/>
        </w:tabs>
        <w:ind w:left="170" w:hanging="170"/>
      </w:pPr>
      <w:rPr>
        <w:rFonts w:hint="default"/>
        <w:b/>
        <w:i w:val="0"/>
        <w:color w:val="C6BFAB" w:themeColor="accent3"/>
        <w:position w:val="4"/>
      </w:rPr>
    </w:lvl>
    <w:lvl w:ilvl="2">
      <w:start w:val="1"/>
      <w:numFmt w:val="none"/>
      <w:lvlRestart w:val="0"/>
      <w:suff w:val="nothing"/>
      <w:lvlText w:val="%1"/>
      <w:lvlJc w:val="left"/>
      <w:pPr>
        <w:ind w:left="1224" w:hanging="504"/>
      </w:pPr>
      <w:rPr>
        <w:rFonts w:hint="default"/>
      </w:rPr>
    </w:lvl>
    <w:lvl w:ilvl="3">
      <w:start w:val="1"/>
      <w:numFmt w:val="none"/>
      <w:lvlRestart w:val="0"/>
      <w:suff w:val="nothing"/>
      <w:lvlText w:val="%1"/>
      <w:lvlJc w:val="left"/>
      <w:pPr>
        <w:ind w:left="1728" w:hanging="648"/>
      </w:pPr>
      <w:rPr>
        <w:rFonts w:hint="default"/>
      </w:rPr>
    </w:lvl>
    <w:lvl w:ilvl="4">
      <w:start w:val="1"/>
      <w:numFmt w:val="none"/>
      <w:lvlRestart w:val="0"/>
      <w:suff w:val="nothing"/>
      <w:lvlText w:val="%1"/>
      <w:lvlJc w:val="left"/>
      <w:pPr>
        <w:ind w:left="2232" w:hanging="792"/>
      </w:pPr>
      <w:rPr>
        <w:rFonts w:hint="default"/>
      </w:rPr>
    </w:lvl>
    <w:lvl w:ilvl="5">
      <w:start w:val="1"/>
      <w:numFmt w:val="none"/>
      <w:lvlRestart w:val="0"/>
      <w:suff w:val="nothing"/>
      <w:lvlText w:val="%1"/>
      <w:lvlJc w:val="left"/>
      <w:pPr>
        <w:ind w:left="2736" w:hanging="936"/>
      </w:pPr>
      <w:rPr>
        <w:rFonts w:hint="default"/>
      </w:rPr>
    </w:lvl>
    <w:lvl w:ilvl="6">
      <w:start w:val="1"/>
      <w:numFmt w:val="none"/>
      <w:lvlRestart w:val="0"/>
      <w:suff w:val="nothing"/>
      <w:lvlText w:val="%1"/>
      <w:lvlJc w:val="left"/>
      <w:pPr>
        <w:ind w:left="3240" w:hanging="1080"/>
      </w:pPr>
      <w:rPr>
        <w:rFonts w:hint="default"/>
      </w:rPr>
    </w:lvl>
    <w:lvl w:ilvl="7">
      <w:start w:val="1"/>
      <w:numFmt w:val="none"/>
      <w:lvlRestart w:val="0"/>
      <w:suff w:val="nothing"/>
      <w:lvlText w:val="%1"/>
      <w:lvlJc w:val="left"/>
      <w:pPr>
        <w:ind w:left="3744" w:hanging="1224"/>
      </w:pPr>
      <w:rPr>
        <w:rFonts w:hint="default"/>
      </w:rPr>
    </w:lvl>
    <w:lvl w:ilvl="8">
      <w:start w:val="1"/>
      <w:numFmt w:val="none"/>
      <w:lvlRestart w:val="0"/>
      <w:suff w:val="nothing"/>
      <w:lvlText w:val="%1"/>
      <w:lvlJc w:val="left"/>
      <w:pPr>
        <w:ind w:left="4320" w:hanging="1440"/>
      </w:pPr>
      <w:rPr>
        <w:rFonts w:hint="default"/>
      </w:rPr>
    </w:lvl>
  </w:abstractNum>
  <w:num w:numId="1">
    <w:abstractNumId w:val="18"/>
  </w:num>
  <w:num w:numId="2">
    <w:abstractNumId w:val="22"/>
  </w:num>
  <w:num w:numId="3">
    <w:abstractNumId w:val="11"/>
  </w:num>
  <w:num w:numId="4">
    <w:abstractNumId w:val="25"/>
  </w:num>
  <w:num w:numId="5">
    <w:abstractNumId w:val="21"/>
  </w:num>
  <w:num w:numId="6">
    <w:abstractNumId w:val="14"/>
  </w:num>
  <w:num w:numId="7">
    <w:abstractNumId w:val="29"/>
  </w:num>
  <w:num w:numId="8">
    <w:abstractNumId w:val="26"/>
    <w:lvlOverride w:ilvl="0">
      <w:lvl w:ilvl="0">
        <w:start w:val="1"/>
        <w:numFmt w:val="bullet"/>
        <w:pStyle w:val="ListBullet"/>
        <w:lvlText w:val="■"/>
        <w:lvlJc w:val="left"/>
        <w:pPr>
          <w:tabs>
            <w:tab w:val="num" w:pos="284"/>
          </w:tabs>
          <w:ind w:left="284" w:hanging="284"/>
        </w:pPr>
        <w:rPr>
          <w:rFonts w:ascii="Franklin Gothic Demi" w:hAnsi="Franklin Gothic Demi" w:hint="default"/>
          <w:color w:val="006B7A" w:themeColor="accent1"/>
        </w:rPr>
      </w:lvl>
    </w:lvlOverride>
    <w:lvlOverride w:ilvl="1">
      <w:lvl w:ilvl="1">
        <w:start w:val="1"/>
        <w:numFmt w:val="bullet"/>
        <w:pStyle w:val="ListBullet2"/>
        <w:lvlText w:val="–"/>
        <w:lvlJc w:val="left"/>
        <w:pPr>
          <w:tabs>
            <w:tab w:val="num" w:pos="567"/>
          </w:tabs>
          <w:ind w:left="567" w:hanging="283"/>
        </w:pPr>
        <w:rPr>
          <w:rFonts w:ascii="Franklin Gothic Demi" w:hAnsi="Franklin Gothic Demi" w:hint="default"/>
          <w:color w:val="006B7A" w:themeColor="accent1"/>
          <w:position w:val="2"/>
        </w:rPr>
      </w:lvl>
    </w:lvlOverride>
    <w:lvlOverride w:ilvl="2">
      <w:lvl w:ilvl="2">
        <w:start w:val="1"/>
        <w:numFmt w:val="bullet"/>
        <w:pStyle w:val="ListBullet3"/>
        <w:lvlText w:val="…"/>
        <w:lvlJc w:val="left"/>
        <w:pPr>
          <w:tabs>
            <w:tab w:val="num" w:pos="992"/>
          </w:tabs>
          <w:ind w:left="992" w:hanging="425"/>
        </w:pPr>
        <w:rPr>
          <w:rFonts w:ascii="Franklin Gothic Demi" w:hAnsi="Franklin Gothic Demi" w:hint="default"/>
          <w:color w:val="EF1209"/>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9">
    <w:abstractNumId w:val="23"/>
  </w:num>
  <w:num w:numId="10">
    <w:abstractNumId w:val="2"/>
  </w:num>
  <w:num w:numId="11">
    <w:abstractNumId w:val="26"/>
  </w:num>
  <w:num w:numId="12">
    <w:abstractNumId w:val="7"/>
  </w:num>
  <w:num w:numId="13">
    <w:abstractNumId w:val="13"/>
  </w:num>
  <w:num w:numId="14">
    <w:abstractNumId w:val="10"/>
  </w:num>
  <w:num w:numId="15">
    <w:abstractNumId w:val="17"/>
  </w:num>
  <w:num w:numId="16">
    <w:abstractNumId w:val="4"/>
  </w:num>
  <w:num w:numId="17">
    <w:abstractNumId w:val="16"/>
  </w:num>
  <w:num w:numId="1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num>
  <w:num w:numId="20">
    <w:abstractNumId w:val="5"/>
  </w:num>
  <w:num w:numId="21">
    <w:abstractNumId w:val="21"/>
  </w:num>
  <w:num w:numId="22">
    <w:abstractNumId w:val="21"/>
  </w:num>
  <w:num w:numId="23">
    <w:abstractNumId w:val="21"/>
  </w:num>
  <w:num w:numId="24">
    <w:abstractNumId w:val="21"/>
  </w:num>
  <w:num w:numId="25">
    <w:abstractNumId w:val="21"/>
  </w:num>
  <w:num w:numId="26">
    <w:abstractNumId w:val="21"/>
  </w:num>
  <w:num w:numId="27">
    <w:abstractNumId w:val="21"/>
  </w:num>
  <w:num w:numId="28">
    <w:abstractNumId w:val="21"/>
  </w:num>
  <w:num w:numId="29">
    <w:abstractNumId w:val="29"/>
  </w:num>
  <w:num w:numId="30">
    <w:abstractNumId w:val="26"/>
  </w:num>
  <w:num w:numId="31">
    <w:abstractNumId w:val="7"/>
  </w:num>
  <w:num w:numId="32">
    <w:abstractNumId w:val="12"/>
  </w:num>
  <w:num w:numId="3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
  </w:num>
  <w:num w:numId="3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
  </w:num>
  <w:num w:numId="41">
    <w:abstractNumId w:val="1"/>
  </w:num>
  <w:num w:numId="42">
    <w:abstractNumId w:val="15"/>
  </w:num>
  <w:num w:numId="43">
    <w:abstractNumId w:val="0"/>
  </w:num>
  <w:num w:numId="44">
    <w:abstractNumId w:val="9"/>
  </w:num>
  <w:num w:numId="45">
    <w:abstractNumId w:val="26"/>
  </w:num>
  <w:num w:numId="46">
    <w:abstractNumId w:val="3"/>
  </w:num>
  <w:num w:numId="47">
    <w:abstractNumId w:val="20"/>
  </w:num>
  <w:num w:numId="4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activeWritingStyle w:appName="MSWord" w:lang="en-GB" w:vendorID="64" w:dllVersion="6" w:nlCheck="1" w:checkStyle="1"/>
  <w:activeWritingStyle w:appName="MSWord" w:lang="en-AU" w:vendorID="64" w:dllVersion="131078" w:nlCheck="1" w:checkStyle="1"/>
  <w:activeWritingStyle w:appName="MSWord" w:lang="en-GB" w:vendorID="64" w:dllVersion="131078" w:nlCheck="1" w:checkStyle="1"/>
  <w:activeWritingStyle w:appName="MSWord" w:lang="en-US" w:vendorID="64" w:dllVersion="131078" w:nlCheck="1" w:checkStyle="1"/>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ocumentProtection w:edit="readOnly" w:enforcement="0"/>
  <w:defaultTabStop w:val="284"/>
  <w:clickAndTypeStyle w:val="BodyText"/>
  <w:evenAndOddHeaders/>
  <w:drawingGridHorizontalSpacing w:val="142"/>
  <w:drawingGridVerticalSpacing w:val="142"/>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2FD3"/>
    <w:rsid w:val="00000726"/>
    <w:rsid w:val="00001CF9"/>
    <w:rsid w:val="00002721"/>
    <w:rsid w:val="0000404E"/>
    <w:rsid w:val="00004361"/>
    <w:rsid w:val="000053BF"/>
    <w:rsid w:val="00005768"/>
    <w:rsid w:val="00006740"/>
    <w:rsid w:val="00006D68"/>
    <w:rsid w:val="000078F0"/>
    <w:rsid w:val="00007D0D"/>
    <w:rsid w:val="00010447"/>
    <w:rsid w:val="00010588"/>
    <w:rsid w:val="00012226"/>
    <w:rsid w:val="000135FA"/>
    <w:rsid w:val="00014030"/>
    <w:rsid w:val="00015742"/>
    <w:rsid w:val="0001609D"/>
    <w:rsid w:val="000168BA"/>
    <w:rsid w:val="00017D5A"/>
    <w:rsid w:val="00020137"/>
    <w:rsid w:val="000202A5"/>
    <w:rsid w:val="00022345"/>
    <w:rsid w:val="00024206"/>
    <w:rsid w:val="00024872"/>
    <w:rsid w:val="00024879"/>
    <w:rsid w:val="00025FD2"/>
    <w:rsid w:val="00027E7C"/>
    <w:rsid w:val="0003192F"/>
    <w:rsid w:val="000331D6"/>
    <w:rsid w:val="00036FD6"/>
    <w:rsid w:val="000372F4"/>
    <w:rsid w:val="00037CB9"/>
    <w:rsid w:val="00037F9E"/>
    <w:rsid w:val="00040588"/>
    <w:rsid w:val="00040DED"/>
    <w:rsid w:val="00042363"/>
    <w:rsid w:val="00043FE2"/>
    <w:rsid w:val="00045326"/>
    <w:rsid w:val="000460D8"/>
    <w:rsid w:val="000461CB"/>
    <w:rsid w:val="000473DD"/>
    <w:rsid w:val="00051172"/>
    <w:rsid w:val="00052303"/>
    <w:rsid w:val="0005455A"/>
    <w:rsid w:val="00054AAC"/>
    <w:rsid w:val="00061CDB"/>
    <w:rsid w:val="00061F24"/>
    <w:rsid w:val="00063CA8"/>
    <w:rsid w:val="00063D61"/>
    <w:rsid w:val="000642B7"/>
    <w:rsid w:val="000652FC"/>
    <w:rsid w:val="00065889"/>
    <w:rsid w:val="00067FA2"/>
    <w:rsid w:val="00070083"/>
    <w:rsid w:val="000701E7"/>
    <w:rsid w:val="00070654"/>
    <w:rsid w:val="000719EA"/>
    <w:rsid w:val="00072873"/>
    <w:rsid w:val="00073C36"/>
    <w:rsid w:val="000746A6"/>
    <w:rsid w:val="0008370B"/>
    <w:rsid w:val="000845DC"/>
    <w:rsid w:val="000866A5"/>
    <w:rsid w:val="000872FB"/>
    <w:rsid w:val="000873CC"/>
    <w:rsid w:val="00087E40"/>
    <w:rsid w:val="00090B41"/>
    <w:rsid w:val="000923A8"/>
    <w:rsid w:val="00092BC9"/>
    <w:rsid w:val="00092C85"/>
    <w:rsid w:val="00094293"/>
    <w:rsid w:val="00095461"/>
    <w:rsid w:val="00095D2C"/>
    <w:rsid w:val="0009623A"/>
    <w:rsid w:val="00096FFE"/>
    <w:rsid w:val="000978D6"/>
    <w:rsid w:val="000A04F6"/>
    <w:rsid w:val="000A3975"/>
    <w:rsid w:val="000A5492"/>
    <w:rsid w:val="000A6224"/>
    <w:rsid w:val="000A744E"/>
    <w:rsid w:val="000B09A4"/>
    <w:rsid w:val="000B2602"/>
    <w:rsid w:val="000B397D"/>
    <w:rsid w:val="000B513C"/>
    <w:rsid w:val="000B585D"/>
    <w:rsid w:val="000B6546"/>
    <w:rsid w:val="000B6DF3"/>
    <w:rsid w:val="000C35CB"/>
    <w:rsid w:val="000C438B"/>
    <w:rsid w:val="000C55C5"/>
    <w:rsid w:val="000C67AD"/>
    <w:rsid w:val="000D052F"/>
    <w:rsid w:val="000D4C79"/>
    <w:rsid w:val="000D53CB"/>
    <w:rsid w:val="000D738C"/>
    <w:rsid w:val="000D7FA0"/>
    <w:rsid w:val="000E06BD"/>
    <w:rsid w:val="000E1652"/>
    <w:rsid w:val="000E2732"/>
    <w:rsid w:val="000E3271"/>
    <w:rsid w:val="000E5329"/>
    <w:rsid w:val="000E5731"/>
    <w:rsid w:val="000E7163"/>
    <w:rsid w:val="000F1CEF"/>
    <w:rsid w:val="000F76FA"/>
    <w:rsid w:val="000F7DCD"/>
    <w:rsid w:val="00103268"/>
    <w:rsid w:val="0010339F"/>
    <w:rsid w:val="00104F9D"/>
    <w:rsid w:val="00105BB0"/>
    <w:rsid w:val="00106B92"/>
    <w:rsid w:val="00110AC0"/>
    <w:rsid w:val="001113DF"/>
    <w:rsid w:val="001117FA"/>
    <w:rsid w:val="00112299"/>
    <w:rsid w:val="001132FF"/>
    <w:rsid w:val="001139E1"/>
    <w:rsid w:val="00114298"/>
    <w:rsid w:val="001143E2"/>
    <w:rsid w:val="00121235"/>
    <w:rsid w:val="00122CBF"/>
    <w:rsid w:val="00123574"/>
    <w:rsid w:val="00125045"/>
    <w:rsid w:val="001267A4"/>
    <w:rsid w:val="00131EC3"/>
    <w:rsid w:val="00132A04"/>
    <w:rsid w:val="00134A2B"/>
    <w:rsid w:val="00135841"/>
    <w:rsid w:val="0013655A"/>
    <w:rsid w:val="001370F6"/>
    <w:rsid w:val="00137548"/>
    <w:rsid w:val="001377F8"/>
    <w:rsid w:val="00140070"/>
    <w:rsid w:val="001415D4"/>
    <w:rsid w:val="00141E1F"/>
    <w:rsid w:val="00141FED"/>
    <w:rsid w:val="001423D2"/>
    <w:rsid w:val="00143A66"/>
    <w:rsid w:val="00143F02"/>
    <w:rsid w:val="00144AC4"/>
    <w:rsid w:val="00144B99"/>
    <w:rsid w:val="00144EC0"/>
    <w:rsid w:val="001451C0"/>
    <w:rsid w:val="00145444"/>
    <w:rsid w:val="00147133"/>
    <w:rsid w:val="00150F7F"/>
    <w:rsid w:val="00151D8E"/>
    <w:rsid w:val="0015309D"/>
    <w:rsid w:val="001533BB"/>
    <w:rsid w:val="00154DF2"/>
    <w:rsid w:val="00154EE1"/>
    <w:rsid w:val="00155EBB"/>
    <w:rsid w:val="00156FB3"/>
    <w:rsid w:val="00157456"/>
    <w:rsid w:val="0015766D"/>
    <w:rsid w:val="001605E1"/>
    <w:rsid w:val="00160701"/>
    <w:rsid w:val="001609BC"/>
    <w:rsid w:val="00160C29"/>
    <w:rsid w:val="00160FB8"/>
    <w:rsid w:val="00161A1A"/>
    <w:rsid w:val="00161E5C"/>
    <w:rsid w:val="00161FB8"/>
    <w:rsid w:val="001624ED"/>
    <w:rsid w:val="001640D9"/>
    <w:rsid w:val="001647E4"/>
    <w:rsid w:val="00164A52"/>
    <w:rsid w:val="00164C8C"/>
    <w:rsid w:val="00164E8C"/>
    <w:rsid w:val="001653F3"/>
    <w:rsid w:val="00167266"/>
    <w:rsid w:val="0017266F"/>
    <w:rsid w:val="00172A23"/>
    <w:rsid w:val="00172EE8"/>
    <w:rsid w:val="0017310D"/>
    <w:rsid w:val="00173B54"/>
    <w:rsid w:val="001750CC"/>
    <w:rsid w:val="001753E9"/>
    <w:rsid w:val="001754CB"/>
    <w:rsid w:val="00175CEE"/>
    <w:rsid w:val="001762D3"/>
    <w:rsid w:val="00176390"/>
    <w:rsid w:val="001767F9"/>
    <w:rsid w:val="0018077F"/>
    <w:rsid w:val="00182068"/>
    <w:rsid w:val="00183D43"/>
    <w:rsid w:val="00183D95"/>
    <w:rsid w:val="001850B1"/>
    <w:rsid w:val="001852E4"/>
    <w:rsid w:val="0019242D"/>
    <w:rsid w:val="0019261A"/>
    <w:rsid w:val="00192B26"/>
    <w:rsid w:val="00192D12"/>
    <w:rsid w:val="00192F70"/>
    <w:rsid w:val="00193954"/>
    <w:rsid w:val="001951A7"/>
    <w:rsid w:val="00195939"/>
    <w:rsid w:val="0019703F"/>
    <w:rsid w:val="001970C9"/>
    <w:rsid w:val="001972A5"/>
    <w:rsid w:val="001A0013"/>
    <w:rsid w:val="001A01BC"/>
    <w:rsid w:val="001A066A"/>
    <w:rsid w:val="001A08AD"/>
    <w:rsid w:val="001A0B79"/>
    <w:rsid w:val="001A1065"/>
    <w:rsid w:val="001A2A99"/>
    <w:rsid w:val="001A2D20"/>
    <w:rsid w:val="001A3C7C"/>
    <w:rsid w:val="001A4BDB"/>
    <w:rsid w:val="001A513D"/>
    <w:rsid w:val="001A59B2"/>
    <w:rsid w:val="001A6EA7"/>
    <w:rsid w:val="001A6EAB"/>
    <w:rsid w:val="001A7147"/>
    <w:rsid w:val="001B0B61"/>
    <w:rsid w:val="001B1B01"/>
    <w:rsid w:val="001B25D3"/>
    <w:rsid w:val="001B2F94"/>
    <w:rsid w:val="001B3438"/>
    <w:rsid w:val="001B3876"/>
    <w:rsid w:val="001B4EBC"/>
    <w:rsid w:val="001B747F"/>
    <w:rsid w:val="001B7C37"/>
    <w:rsid w:val="001C0972"/>
    <w:rsid w:val="001C0E54"/>
    <w:rsid w:val="001C24C9"/>
    <w:rsid w:val="001C3CC5"/>
    <w:rsid w:val="001C3E07"/>
    <w:rsid w:val="001C41C7"/>
    <w:rsid w:val="001C6315"/>
    <w:rsid w:val="001C63F8"/>
    <w:rsid w:val="001D200A"/>
    <w:rsid w:val="001D2D60"/>
    <w:rsid w:val="001D3E1A"/>
    <w:rsid w:val="001D6065"/>
    <w:rsid w:val="001D62C9"/>
    <w:rsid w:val="001D72A4"/>
    <w:rsid w:val="001D7791"/>
    <w:rsid w:val="001E0362"/>
    <w:rsid w:val="001E04F5"/>
    <w:rsid w:val="001E2A83"/>
    <w:rsid w:val="001E2D52"/>
    <w:rsid w:val="001E31FC"/>
    <w:rsid w:val="001E34F6"/>
    <w:rsid w:val="001E3D69"/>
    <w:rsid w:val="001E4E51"/>
    <w:rsid w:val="001E6A14"/>
    <w:rsid w:val="001E6D1F"/>
    <w:rsid w:val="001F182E"/>
    <w:rsid w:val="001F2906"/>
    <w:rsid w:val="001F3652"/>
    <w:rsid w:val="001F3E78"/>
    <w:rsid w:val="001F438A"/>
    <w:rsid w:val="001F45EB"/>
    <w:rsid w:val="001F5579"/>
    <w:rsid w:val="001F5611"/>
    <w:rsid w:val="001F62C5"/>
    <w:rsid w:val="001F650C"/>
    <w:rsid w:val="001F6F0E"/>
    <w:rsid w:val="001F6F43"/>
    <w:rsid w:val="001F7379"/>
    <w:rsid w:val="001F79C6"/>
    <w:rsid w:val="002006F2"/>
    <w:rsid w:val="00200DE7"/>
    <w:rsid w:val="0020198E"/>
    <w:rsid w:val="00202BB1"/>
    <w:rsid w:val="002043F1"/>
    <w:rsid w:val="00204787"/>
    <w:rsid w:val="002054AC"/>
    <w:rsid w:val="00206E57"/>
    <w:rsid w:val="002078CE"/>
    <w:rsid w:val="00212CA5"/>
    <w:rsid w:val="002149C9"/>
    <w:rsid w:val="00214A87"/>
    <w:rsid w:val="002159B4"/>
    <w:rsid w:val="002164D6"/>
    <w:rsid w:val="00216C8F"/>
    <w:rsid w:val="00217000"/>
    <w:rsid w:val="0021708E"/>
    <w:rsid w:val="002175B7"/>
    <w:rsid w:val="0021770B"/>
    <w:rsid w:val="0022165D"/>
    <w:rsid w:val="00221BE0"/>
    <w:rsid w:val="00222007"/>
    <w:rsid w:val="00222BF5"/>
    <w:rsid w:val="0022386A"/>
    <w:rsid w:val="002249BD"/>
    <w:rsid w:val="00225068"/>
    <w:rsid w:val="00225D69"/>
    <w:rsid w:val="00226230"/>
    <w:rsid w:val="002262E1"/>
    <w:rsid w:val="00227536"/>
    <w:rsid w:val="00227C65"/>
    <w:rsid w:val="00230635"/>
    <w:rsid w:val="00231E5E"/>
    <w:rsid w:val="002321B8"/>
    <w:rsid w:val="00232F15"/>
    <w:rsid w:val="00234760"/>
    <w:rsid w:val="00234EAC"/>
    <w:rsid w:val="002355AE"/>
    <w:rsid w:val="00235787"/>
    <w:rsid w:val="002360AA"/>
    <w:rsid w:val="0023701E"/>
    <w:rsid w:val="00237D6C"/>
    <w:rsid w:val="00237FB1"/>
    <w:rsid w:val="002411F9"/>
    <w:rsid w:val="0024172A"/>
    <w:rsid w:val="00242508"/>
    <w:rsid w:val="00242C46"/>
    <w:rsid w:val="00243B95"/>
    <w:rsid w:val="00244662"/>
    <w:rsid w:val="002451BA"/>
    <w:rsid w:val="0025014B"/>
    <w:rsid w:val="002501B3"/>
    <w:rsid w:val="00251244"/>
    <w:rsid w:val="00251538"/>
    <w:rsid w:val="00252A3F"/>
    <w:rsid w:val="00252BEA"/>
    <w:rsid w:val="0025306F"/>
    <w:rsid w:val="0025379D"/>
    <w:rsid w:val="0025390C"/>
    <w:rsid w:val="00253D9A"/>
    <w:rsid w:val="00254D0F"/>
    <w:rsid w:val="00255187"/>
    <w:rsid w:val="00255341"/>
    <w:rsid w:val="002568C5"/>
    <w:rsid w:val="00257809"/>
    <w:rsid w:val="002579B4"/>
    <w:rsid w:val="00257C05"/>
    <w:rsid w:val="00257F35"/>
    <w:rsid w:val="002613B7"/>
    <w:rsid w:val="002616E8"/>
    <w:rsid w:val="00261A76"/>
    <w:rsid w:val="00262F13"/>
    <w:rsid w:val="002646BA"/>
    <w:rsid w:val="002658EB"/>
    <w:rsid w:val="0026652F"/>
    <w:rsid w:val="00266E56"/>
    <w:rsid w:val="0027008A"/>
    <w:rsid w:val="00271F6A"/>
    <w:rsid w:val="00274BEB"/>
    <w:rsid w:val="00274C89"/>
    <w:rsid w:val="002761F9"/>
    <w:rsid w:val="00280D84"/>
    <w:rsid w:val="00280F86"/>
    <w:rsid w:val="00280FB4"/>
    <w:rsid w:val="002812E4"/>
    <w:rsid w:val="002829D9"/>
    <w:rsid w:val="00287996"/>
    <w:rsid w:val="00290273"/>
    <w:rsid w:val="00290880"/>
    <w:rsid w:val="00290E04"/>
    <w:rsid w:val="0029248B"/>
    <w:rsid w:val="00292E93"/>
    <w:rsid w:val="00293F2D"/>
    <w:rsid w:val="00295012"/>
    <w:rsid w:val="00295145"/>
    <w:rsid w:val="00296E89"/>
    <w:rsid w:val="00297500"/>
    <w:rsid w:val="00297A4C"/>
    <w:rsid w:val="002A09E0"/>
    <w:rsid w:val="002A0F2F"/>
    <w:rsid w:val="002A3E2D"/>
    <w:rsid w:val="002A5062"/>
    <w:rsid w:val="002A63B7"/>
    <w:rsid w:val="002A7161"/>
    <w:rsid w:val="002A7183"/>
    <w:rsid w:val="002A77AA"/>
    <w:rsid w:val="002A7FBB"/>
    <w:rsid w:val="002B1B67"/>
    <w:rsid w:val="002B3C0A"/>
    <w:rsid w:val="002B418C"/>
    <w:rsid w:val="002B4CEA"/>
    <w:rsid w:val="002B68C2"/>
    <w:rsid w:val="002B76B3"/>
    <w:rsid w:val="002B7F27"/>
    <w:rsid w:val="002C0234"/>
    <w:rsid w:val="002C0B69"/>
    <w:rsid w:val="002C1088"/>
    <w:rsid w:val="002C2B5A"/>
    <w:rsid w:val="002C4DAF"/>
    <w:rsid w:val="002C5E17"/>
    <w:rsid w:val="002D0F84"/>
    <w:rsid w:val="002D12E6"/>
    <w:rsid w:val="002D16DF"/>
    <w:rsid w:val="002D1EA5"/>
    <w:rsid w:val="002D219D"/>
    <w:rsid w:val="002D245D"/>
    <w:rsid w:val="002D2613"/>
    <w:rsid w:val="002D30F9"/>
    <w:rsid w:val="002D4888"/>
    <w:rsid w:val="002D4C2F"/>
    <w:rsid w:val="002D5DA9"/>
    <w:rsid w:val="002D7073"/>
    <w:rsid w:val="002D7D08"/>
    <w:rsid w:val="002D7DB9"/>
    <w:rsid w:val="002E0543"/>
    <w:rsid w:val="002E19D0"/>
    <w:rsid w:val="002E1E6B"/>
    <w:rsid w:val="002E28FA"/>
    <w:rsid w:val="002E3000"/>
    <w:rsid w:val="002E33D3"/>
    <w:rsid w:val="002E42E5"/>
    <w:rsid w:val="002E4B26"/>
    <w:rsid w:val="002E5345"/>
    <w:rsid w:val="002E641C"/>
    <w:rsid w:val="002E7417"/>
    <w:rsid w:val="002E7FE4"/>
    <w:rsid w:val="002F0378"/>
    <w:rsid w:val="002F0710"/>
    <w:rsid w:val="002F1E2B"/>
    <w:rsid w:val="002F2AD2"/>
    <w:rsid w:val="002F2DAD"/>
    <w:rsid w:val="002F2E1C"/>
    <w:rsid w:val="002F30A0"/>
    <w:rsid w:val="002F3165"/>
    <w:rsid w:val="002F3BED"/>
    <w:rsid w:val="002F54D7"/>
    <w:rsid w:val="00300555"/>
    <w:rsid w:val="00300DE5"/>
    <w:rsid w:val="00300FE4"/>
    <w:rsid w:val="0030137D"/>
    <w:rsid w:val="00301A86"/>
    <w:rsid w:val="00301B6D"/>
    <w:rsid w:val="0030293B"/>
    <w:rsid w:val="003034B4"/>
    <w:rsid w:val="003037CA"/>
    <w:rsid w:val="00303E96"/>
    <w:rsid w:val="00304198"/>
    <w:rsid w:val="00304C10"/>
    <w:rsid w:val="00305777"/>
    <w:rsid w:val="00311B52"/>
    <w:rsid w:val="003126F2"/>
    <w:rsid w:val="003139AD"/>
    <w:rsid w:val="00314C70"/>
    <w:rsid w:val="00316F23"/>
    <w:rsid w:val="00316FB2"/>
    <w:rsid w:val="003202CB"/>
    <w:rsid w:val="00320797"/>
    <w:rsid w:val="00320B11"/>
    <w:rsid w:val="0032168E"/>
    <w:rsid w:val="00322697"/>
    <w:rsid w:val="00323985"/>
    <w:rsid w:val="003247B1"/>
    <w:rsid w:val="00324AC0"/>
    <w:rsid w:val="0032647A"/>
    <w:rsid w:val="00326D2F"/>
    <w:rsid w:val="00330B3D"/>
    <w:rsid w:val="00331C7A"/>
    <w:rsid w:val="0033281E"/>
    <w:rsid w:val="003328E5"/>
    <w:rsid w:val="003331E1"/>
    <w:rsid w:val="00333489"/>
    <w:rsid w:val="003336FB"/>
    <w:rsid w:val="0033648C"/>
    <w:rsid w:val="00337419"/>
    <w:rsid w:val="00337449"/>
    <w:rsid w:val="00340000"/>
    <w:rsid w:val="00341BE5"/>
    <w:rsid w:val="00342223"/>
    <w:rsid w:val="00343707"/>
    <w:rsid w:val="00344521"/>
    <w:rsid w:val="00345A25"/>
    <w:rsid w:val="00345D3D"/>
    <w:rsid w:val="00347146"/>
    <w:rsid w:val="0034759A"/>
    <w:rsid w:val="00347926"/>
    <w:rsid w:val="00347B60"/>
    <w:rsid w:val="003506BD"/>
    <w:rsid w:val="003506C7"/>
    <w:rsid w:val="00350F84"/>
    <w:rsid w:val="0035105D"/>
    <w:rsid w:val="003521E9"/>
    <w:rsid w:val="00352312"/>
    <w:rsid w:val="00352EC0"/>
    <w:rsid w:val="00354223"/>
    <w:rsid w:val="003561F3"/>
    <w:rsid w:val="0035659D"/>
    <w:rsid w:val="00357024"/>
    <w:rsid w:val="00357067"/>
    <w:rsid w:val="003573D1"/>
    <w:rsid w:val="00357593"/>
    <w:rsid w:val="00357B8F"/>
    <w:rsid w:val="0036015B"/>
    <w:rsid w:val="00360168"/>
    <w:rsid w:val="0036025E"/>
    <w:rsid w:val="00361797"/>
    <w:rsid w:val="003620E4"/>
    <w:rsid w:val="00363874"/>
    <w:rsid w:val="00363A6B"/>
    <w:rsid w:val="00363C20"/>
    <w:rsid w:val="00364961"/>
    <w:rsid w:val="00364BF0"/>
    <w:rsid w:val="00370399"/>
    <w:rsid w:val="00370C88"/>
    <w:rsid w:val="00370F15"/>
    <w:rsid w:val="0037127D"/>
    <w:rsid w:val="0037167C"/>
    <w:rsid w:val="003726AE"/>
    <w:rsid w:val="0037281D"/>
    <w:rsid w:val="00372E7F"/>
    <w:rsid w:val="00373553"/>
    <w:rsid w:val="0037389E"/>
    <w:rsid w:val="003746C2"/>
    <w:rsid w:val="00374706"/>
    <w:rsid w:val="00375A3B"/>
    <w:rsid w:val="00375BA6"/>
    <w:rsid w:val="00375F1A"/>
    <w:rsid w:val="003818BB"/>
    <w:rsid w:val="003822C2"/>
    <w:rsid w:val="003830ED"/>
    <w:rsid w:val="00383FDA"/>
    <w:rsid w:val="00384703"/>
    <w:rsid w:val="00386158"/>
    <w:rsid w:val="0038664C"/>
    <w:rsid w:val="00387CB5"/>
    <w:rsid w:val="00390399"/>
    <w:rsid w:val="00392952"/>
    <w:rsid w:val="00394D91"/>
    <w:rsid w:val="00395D18"/>
    <w:rsid w:val="003966C8"/>
    <w:rsid w:val="00396ABD"/>
    <w:rsid w:val="00396F36"/>
    <w:rsid w:val="00397578"/>
    <w:rsid w:val="00397DC8"/>
    <w:rsid w:val="00397EF7"/>
    <w:rsid w:val="003A0222"/>
    <w:rsid w:val="003A19DB"/>
    <w:rsid w:val="003A1DFF"/>
    <w:rsid w:val="003A20B3"/>
    <w:rsid w:val="003A22CD"/>
    <w:rsid w:val="003A24B5"/>
    <w:rsid w:val="003A28F7"/>
    <w:rsid w:val="003A2BED"/>
    <w:rsid w:val="003A4189"/>
    <w:rsid w:val="003B03C4"/>
    <w:rsid w:val="003B0F2C"/>
    <w:rsid w:val="003B187C"/>
    <w:rsid w:val="003B221A"/>
    <w:rsid w:val="003B2B11"/>
    <w:rsid w:val="003B3BE9"/>
    <w:rsid w:val="003B3D27"/>
    <w:rsid w:val="003B4AAA"/>
    <w:rsid w:val="003B5EBE"/>
    <w:rsid w:val="003B6B16"/>
    <w:rsid w:val="003B7167"/>
    <w:rsid w:val="003C166E"/>
    <w:rsid w:val="003C168C"/>
    <w:rsid w:val="003C16DB"/>
    <w:rsid w:val="003C392D"/>
    <w:rsid w:val="003C3A35"/>
    <w:rsid w:val="003C420B"/>
    <w:rsid w:val="003C4883"/>
    <w:rsid w:val="003C50D4"/>
    <w:rsid w:val="003C53D9"/>
    <w:rsid w:val="003C62AC"/>
    <w:rsid w:val="003D007E"/>
    <w:rsid w:val="003D0A62"/>
    <w:rsid w:val="003D139A"/>
    <w:rsid w:val="003D2A2B"/>
    <w:rsid w:val="003D32B3"/>
    <w:rsid w:val="003D41EA"/>
    <w:rsid w:val="003D5CF0"/>
    <w:rsid w:val="003D6EAB"/>
    <w:rsid w:val="003D6FA5"/>
    <w:rsid w:val="003D72D9"/>
    <w:rsid w:val="003D7406"/>
    <w:rsid w:val="003D764D"/>
    <w:rsid w:val="003E1F01"/>
    <w:rsid w:val="003E428F"/>
    <w:rsid w:val="003E4E5C"/>
    <w:rsid w:val="003E547F"/>
    <w:rsid w:val="003E5943"/>
    <w:rsid w:val="003E627B"/>
    <w:rsid w:val="003E7141"/>
    <w:rsid w:val="003F17B1"/>
    <w:rsid w:val="003F1A41"/>
    <w:rsid w:val="003F1EA9"/>
    <w:rsid w:val="003F28DD"/>
    <w:rsid w:val="003F3859"/>
    <w:rsid w:val="003F3BD6"/>
    <w:rsid w:val="003F3E18"/>
    <w:rsid w:val="003F4D9B"/>
    <w:rsid w:val="003F4EAD"/>
    <w:rsid w:val="003F6ACF"/>
    <w:rsid w:val="003F76D1"/>
    <w:rsid w:val="0040126F"/>
    <w:rsid w:val="00402DAF"/>
    <w:rsid w:val="004062FB"/>
    <w:rsid w:val="00406AD8"/>
    <w:rsid w:val="00407097"/>
    <w:rsid w:val="00407359"/>
    <w:rsid w:val="004073EA"/>
    <w:rsid w:val="00407B9C"/>
    <w:rsid w:val="00407E63"/>
    <w:rsid w:val="00411A55"/>
    <w:rsid w:val="00411FDB"/>
    <w:rsid w:val="00415E68"/>
    <w:rsid w:val="0041733A"/>
    <w:rsid w:val="004201BE"/>
    <w:rsid w:val="00420637"/>
    <w:rsid w:val="004209F6"/>
    <w:rsid w:val="00420C8B"/>
    <w:rsid w:val="00420E66"/>
    <w:rsid w:val="00422105"/>
    <w:rsid w:val="004223CC"/>
    <w:rsid w:val="00422897"/>
    <w:rsid w:val="00422A07"/>
    <w:rsid w:val="00423461"/>
    <w:rsid w:val="00425BAF"/>
    <w:rsid w:val="0042634F"/>
    <w:rsid w:val="004263AE"/>
    <w:rsid w:val="0042768D"/>
    <w:rsid w:val="00430E53"/>
    <w:rsid w:val="00431443"/>
    <w:rsid w:val="00431B6D"/>
    <w:rsid w:val="00435194"/>
    <w:rsid w:val="00435EE9"/>
    <w:rsid w:val="00436EC7"/>
    <w:rsid w:val="00437572"/>
    <w:rsid w:val="00437D32"/>
    <w:rsid w:val="00440E6F"/>
    <w:rsid w:val="004411DB"/>
    <w:rsid w:val="0044170E"/>
    <w:rsid w:val="00441DA4"/>
    <w:rsid w:val="00442369"/>
    <w:rsid w:val="00443BA9"/>
    <w:rsid w:val="00443E7D"/>
    <w:rsid w:val="00444736"/>
    <w:rsid w:val="004452F5"/>
    <w:rsid w:val="00445D6D"/>
    <w:rsid w:val="0044762A"/>
    <w:rsid w:val="004511A8"/>
    <w:rsid w:val="0045144D"/>
    <w:rsid w:val="00451CC6"/>
    <w:rsid w:val="00451F31"/>
    <w:rsid w:val="0045255E"/>
    <w:rsid w:val="0045456F"/>
    <w:rsid w:val="00454FAD"/>
    <w:rsid w:val="0045559C"/>
    <w:rsid w:val="004559DC"/>
    <w:rsid w:val="004562C8"/>
    <w:rsid w:val="004563C5"/>
    <w:rsid w:val="00456E37"/>
    <w:rsid w:val="00457271"/>
    <w:rsid w:val="00457745"/>
    <w:rsid w:val="00457CDE"/>
    <w:rsid w:val="00457E0A"/>
    <w:rsid w:val="00461B22"/>
    <w:rsid w:val="00461C05"/>
    <w:rsid w:val="00463768"/>
    <w:rsid w:val="0046437D"/>
    <w:rsid w:val="004649C6"/>
    <w:rsid w:val="00465609"/>
    <w:rsid w:val="004660B0"/>
    <w:rsid w:val="0046709B"/>
    <w:rsid w:val="00467D80"/>
    <w:rsid w:val="00467FBA"/>
    <w:rsid w:val="00470EA9"/>
    <w:rsid w:val="0047158C"/>
    <w:rsid w:val="0047188E"/>
    <w:rsid w:val="00471A32"/>
    <w:rsid w:val="00471FDA"/>
    <w:rsid w:val="0047263E"/>
    <w:rsid w:val="004742B8"/>
    <w:rsid w:val="00475A61"/>
    <w:rsid w:val="00475BA5"/>
    <w:rsid w:val="00475EAF"/>
    <w:rsid w:val="0047640F"/>
    <w:rsid w:val="00476CB3"/>
    <w:rsid w:val="0047722D"/>
    <w:rsid w:val="00481E74"/>
    <w:rsid w:val="00483887"/>
    <w:rsid w:val="004851C6"/>
    <w:rsid w:val="00487211"/>
    <w:rsid w:val="0049011A"/>
    <w:rsid w:val="00491C57"/>
    <w:rsid w:val="0049244A"/>
    <w:rsid w:val="00492E43"/>
    <w:rsid w:val="004942E0"/>
    <w:rsid w:val="00495E87"/>
    <w:rsid w:val="00497862"/>
    <w:rsid w:val="004A02A0"/>
    <w:rsid w:val="004A1B3F"/>
    <w:rsid w:val="004A1B8D"/>
    <w:rsid w:val="004A217A"/>
    <w:rsid w:val="004A26AE"/>
    <w:rsid w:val="004A272C"/>
    <w:rsid w:val="004A2B30"/>
    <w:rsid w:val="004A375F"/>
    <w:rsid w:val="004A3FA1"/>
    <w:rsid w:val="004A435A"/>
    <w:rsid w:val="004A570B"/>
    <w:rsid w:val="004A6747"/>
    <w:rsid w:val="004A7F86"/>
    <w:rsid w:val="004B0C23"/>
    <w:rsid w:val="004B15D9"/>
    <w:rsid w:val="004B1755"/>
    <w:rsid w:val="004B1CE6"/>
    <w:rsid w:val="004B22A1"/>
    <w:rsid w:val="004B4881"/>
    <w:rsid w:val="004B781D"/>
    <w:rsid w:val="004B7C4A"/>
    <w:rsid w:val="004B7EA5"/>
    <w:rsid w:val="004C0741"/>
    <w:rsid w:val="004C1481"/>
    <w:rsid w:val="004C1C7D"/>
    <w:rsid w:val="004C31EE"/>
    <w:rsid w:val="004C50F9"/>
    <w:rsid w:val="004C5201"/>
    <w:rsid w:val="004C54C7"/>
    <w:rsid w:val="004C5593"/>
    <w:rsid w:val="004C57F5"/>
    <w:rsid w:val="004C5D85"/>
    <w:rsid w:val="004C6101"/>
    <w:rsid w:val="004C640F"/>
    <w:rsid w:val="004C7E14"/>
    <w:rsid w:val="004D181C"/>
    <w:rsid w:val="004D2679"/>
    <w:rsid w:val="004D3F73"/>
    <w:rsid w:val="004D3FB4"/>
    <w:rsid w:val="004D400A"/>
    <w:rsid w:val="004D515B"/>
    <w:rsid w:val="004D55B1"/>
    <w:rsid w:val="004D5649"/>
    <w:rsid w:val="004D6AA5"/>
    <w:rsid w:val="004D76D8"/>
    <w:rsid w:val="004E0119"/>
    <w:rsid w:val="004E0CD6"/>
    <w:rsid w:val="004E0FE7"/>
    <w:rsid w:val="004E1233"/>
    <w:rsid w:val="004E13DA"/>
    <w:rsid w:val="004E29E3"/>
    <w:rsid w:val="004E3424"/>
    <w:rsid w:val="004E3854"/>
    <w:rsid w:val="004E4A71"/>
    <w:rsid w:val="004E5295"/>
    <w:rsid w:val="004E60D5"/>
    <w:rsid w:val="004E6334"/>
    <w:rsid w:val="004E7620"/>
    <w:rsid w:val="004F17D7"/>
    <w:rsid w:val="004F1824"/>
    <w:rsid w:val="004F57BA"/>
    <w:rsid w:val="004F6255"/>
    <w:rsid w:val="004F7137"/>
    <w:rsid w:val="004F76C9"/>
    <w:rsid w:val="004F785D"/>
    <w:rsid w:val="004F7DFE"/>
    <w:rsid w:val="00500292"/>
    <w:rsid w:val="00500DAC"/>
    <w:rsid w:val="00500DE6"/>
    <w:rsid w:val="00501A93"/>
    <w:rsid w:val="00502303"/>
    <w:rsid w:val="005030D2"/>
    <w:rsid w:val="0050317E"/>
    <w:rsid w:val="0050505D"/>
    <w:rsid w:val="00505430"/>
    <w:rsid w:val="00505BE4"/>
    <w:rsid w:val="005060A4"/>
    <w:rsid w:val="00506818"/>
    <w:rsid w:val="00506BA3"/>
    <w:rsid w:val="00506FEA"/>
    <w:rsid w:val="00507193"/>
    <w:rsid w:val="0051089E"/>
    <w:rsid w:val="005109E1"/>
    <w:rsid w:val="00511610"/>
    <w:rsid w:val="00511766"/>
    <w:rsid w:val="00512EC0"/>
    <w:rsid w:val="00513E5F"/>
    <w:rsid w:val="00515344"/>
    <w:rsid w:val="005153A6"/>
    <w:rsid w:val="00515CB5"/>
    <w:rsid w:val="00516EAF"/>
    <w:rsid w:val="005170CE"/>
    <w:rsid w:val="005206C5"/>
    <w:rsid w:val="00521655"/>
    <w:rsid w:val="005224E8"/>
    <w:rsid w:val="00523924"/>
    <w:rsid w:val="00524339"/>
    <w:rsid w:val="0052456A"/>
    <w:rsid w:val="00525030"/>
    <w:rsid w:val="00525404"/>
    <w:rsid w:val="005257C9"/>
    <w:rsid w:val="00525FEC"/>
    <w:rsid w:val="0052602A"/>
    <w:rsid w:val="0052768D"/>
    <w:rsid w:val="00527E7D"/>
    <w:rsid w:val="0053055B"/>
    <w:rsid w:val="00530D64"/>
    <w:rsid w:val="0053103E"/>
    <w:rsid w:val="00531D59"/>
    <w:rsid w:val="0053282E"/>
    <w:rsid w:val="005330DC"/>
    <w:rsid w:val="00534F47"/>
    <w:rsid w:val="00535F8B"/>
    <w:rsid w:val="005362A1"/>
    <w:rsid w:val="0053699A"/>
    <w:rsid w:val="00536D4D"/>
    <w:rsid w:val="005376E5"/>
    <w:rsid w:val="00537C50"/>
    <w:rsid w:val="005409B7"/>
    <w:rsid w:val="00541050"/>
    <w:rsid w:val="00541543"/>
    <w:rsid w:val="005432DB"/>
    <w:rsid w:val="00543728"/>
    <w:rsid w:val="005441EE"/>
    <w:rsid w:val="005465F8"/>
    <w:rsid w:val="00547AE8"/>
    <w:rsid w:val="00550FDA"/>
    <w:rsid w:val="005514A0"/>
    <w:rsid w:val="005515FB"/>
    <w:rsid w:val="00551A1C"/>
    <w:rsid w:val="00552321"/>
    <w:rsid w:val="00552D9A"/>
    <w:rsid w:val="005540FE"/>
    <w:rsid w:val="005549A2"/>
    <w:rsid w:val="00556412"/>
    <w:rsid w:val="0055684D"/>
    <w:rsid w:val="0056021E"/>
    <w:rsid w:val="00561398"/>
    <w:rsid w:val="00563472"/>
    <w:rsid w:val="00566BC3"/>
    <w:rsid w:val="005674F7"/>
    <w:rsid w:val="0056775D"/>
    <w:rsid w:val="005709FE"/>
    <w:rsid w:val="00570FDC"/>
    <w:rsid w:val="005718F0"/>
    <w:rsid w:val="00571E16"/>
    <w:rsid w:val="0057294A"/>
    <w:rsid w:val="00572ED0"/>
    <w:rsid w:val="005738E7"/>
    <w:rsid w:val="00573B72"/>
    <w:rsid w:val="00573FA9"/>
    <w:rsid w:val="00575AC1"/>
    <w:rsid w:val="005767CE"/>
    <w:rsid w:val="00576964"/>
    <w:rsid w:val="00576C2E"/>
    <w:rsid w:val="00580E06"/>
    <w:rsid w:val="00582149"/>
    <w:rsid w:val="00585629"/>
    <w:rsid w:val="0058597E"/>
    <w:rsid w:val="00587291"/>
    <w:rsid w:val="0058744D"/>
    <w:rsid w:val="00590988"/>
    <w:rsid w:val="005912F9"/>
    <w:rsid w:val="00591C8C"/>
    <w:rsid w:val="00591E5D"/>
    <w:rsid w:val="00591EDC"/>
    <w:rsid w:val="00591F69"/>
    <w:rsid w:val="00592C11"/>
    <w:rsid w:val="00592EA1"/>
    <w:rsid w:val="00594CAA"/>
    <w:rsid w:val="005954D6"/>
    <w:rsid w:val="00595B1E"/>
    <w:rsid w:val="005961AB"/>
    <w:rsid w:val="00596EBF"/>
    <w:rsid w:val="00597C4B"/>
    <w:rsid w:val="005A124F"/>
    <w:rsid w:val="005A1711"/>
    <w:rsid w:val="005A182C"/>
    <w:rsid w:val="005A1AFB"/>
    <w:rsid w:val="005A224A"/>
    <w:rsid w:val="005A2F9F"/>
    <w:rsid w:val="005A39F1"/>
    <w:rsid w:val="005A3FCF"/>
    <w:rsid w:val="005A4194"/>
    <w:rsid w:val="005A4FFC"/>
    <w:rsid w:val="005A6134"/>
    <w:rsid w:val="005A622E"/>
    <w:rsid w:val="005B1FD7"/>
    <w:rsid w:val="005B2377"/>
    <w:rsid w:val="005B30E1"/>
    <w:rsid w:val="005B3A90"/>
    <w:rsid w:val="005B435E"/>
    <w:rsid w:val="005B4670"/>
    <w:rsid w:val="005B710F"/>
    <w:rsid w:val="005C01FA"/>
    <w:rsid w:val="005C046D"/>
    <w:rsid w:val="005C0FDC"/>
    <w:rsid w:val="005C1EFC"/>
    <w:rsid w:val="005C2384"/>
    <w:rsid w:val="005C386A"/>
    <w:rsid w:val="005C42B4"/>
    <w:rsid w:val="005C5257"/>
    <w:rsid w:val="005C5337"/>
    <w:rsid w:val="005C5FB3"/>
    <w:rsid w:val="005C655D"/>
    <w:rsid w:val="005C76A4"/>
    <w:rsid w:val="005C7918"/>
    <w:rsid w:val="005C7A16"/>
    <w:rsid w:val="005D0C5F"/>
    <w:rsid w:val="005D1813"/>
    <w:rsid w:val="005D3C6B"/>
    <w:rsid w:val="005D417E"/>
    <w:rsid w:val="005D43B1"/>
    <w:rsid w:val="005D4A02"/>
    <w:rsid w:val="005D5B85"/>
    <w:rsid w:val="005D693A"/>
    <w:rsid w:val="005D6F19"/>
    <w:rsid w:val="005D7C32"/>
    <w:rsid w:val="005E105F"/>
    <w:rsid w:val="005E1D27"/>
    <w:rsid w:val="005E2466"/>
    <w:rsid w:val="005E2796"/>
    <w:rsid w:val="005E310C"/>
    <w:rsid w:val="005E43A8"/>
    <w:rsid w:val="005E4B08"/>
    <w:rsid w:val="005E6B5F"/>
    <w:rsid w:val="005E710A"/>
    <w:rsid w:val="005E7CBB"/>
    <w:rsid w:val="005F0B61"/>
    <w:rsid w:val="005F20FC"/>
    <w:rsid w:val="005F2E4B"/>
    <w:rsid w:val="005F3A7A"/>
    <w:rsid w:val="005F42E6"/>
    <w:rsid w:val="005F5898"/>
    <w:rsid w:val="005F636C"/>
    <w:rsid w:val="005F689F"/>
    <w:rsid w:val="005F6E78"/>
    <w:rsid w:val="005F6F98"/>
    <w:rsid w:val="005F76CD"/>
    <w:rsid w:val="0060478E"/>
    <w:rsid w:val="0060506D"/>
    <w:rsid w:val="00605AC1"/>
    <w:rsid w:val="00605D38"/>
    <w:rsid w:val="00606B6D"/>
    <w:rsid w:val="006104AF"/>
    <w:rsid w:val="00610CC1"/>
    <w:rsid w:val="0061153D"/>
    <w:rsid w:val="006118A4"/>
    <w:rsid w:val="00612FD3"/>
    <w:rsid w:val="00613248"/>
    <w:rsid w:val="006132D8"/>
    <w:rsid w:val="006133DD"/>
    <w:rsid w:val="0061350B"/>
    <w:rsid w:val="00613616"/>
    <w:rsid w:val="00613863"/>
    <w:rsid w:val="00613AA4"/>
    <w:rsid w:val="0061412E"/>
    <w:rsid w:val="00615336"/>
    <w:rsid w:val="006158B1"/>
    <w:rsid w:val="006160E3"/>
    <w:rsid w:val="00616E6E"/>
    <w:rsid w:val="00620567"/>
    <w:rsid w:val="00620E39"/>
    <w:rsid w:val="00621B0C"/>
    <w:rsid w:val="006220D4"/>
    <w:rsid w:val="00622549"/>
    <w:rsid w:val="00624E85"/>
    <w:rsid w:val="00624F08"/>
    <w:rsid w:val="00627DF4"/>
    <w:rsid w:val="00631232"/>
    <w:rsid w:val="00631A1E"/>
    <w:rsid w:val="00632AF6"/>
    <w:rsid w:val="0063390F"/>
    <w:rsid w:val="00636B5B"/>
    <w:rsid w:val="00637168"/>
    <w:rsid w:val="006379E3"/>
    <w:rsid w:val="00640294"/>
    <w:rsid w:val="00640507"/>
    <w:rsid w:val="00640A54"/>
    <w:rsid w:val="00640BE2"/>
    <w:rsid w:val="006417B1"/>
    <w:rsid w:val="006448EE"/>
    <w:rsid w:val="0064735E"/>
    <w:rsid w:val="006474F4"/>
    <w:rsid w:val="0065080C"/>
    <w:rsid w:val="00650F3E"/>
    <w:rsid w:val="0065255D"/>
    <w:rsid w:val="00652CE1"/>
    <w:rsid w:val="006533D6"/>
    <w:rsid w:val="00654141"/>
    <w:rsid w:val="006544F3"/>
    <w:rsid w:val="00655656"/>
    <w:rsid w:val="00656D2E"/>
    <w:rsid w:val="00660B2D"/>
    <w:rsid w:val="00661D2C"/>
    <w:rsid w:val="00661FA5"/>
    <w:rsid w:val="00662762"/>
    <w:rsid w:val="00663324"/>
    <w:rsid w:val="00664723"/>
    <w:rsid w:val="006655D3"/>
    <w:rsid w:val="00665E4E"/>
    <w:rsid w:val="00667378"/>
    <w:rsid w:val="006677C1"/>
    <w:rsid w:val="00667F28"/>
    <w:rsid w:val="0067052D"/>
    <w:rsid w:val="00670536"/>
    <w:rsid w:val="006712CD"/>
    <w:rsid w:val="00672603"/>
    <w:rsid w:val="006730DA"/>
    <w:rsid w:val="00673C24"/>
    <w:rsid w:val="00674239"/>
    <w:rsid w:val="006774D5"/>
    <w:rsid w:val="00677846"/>
    <w:rsid w:val="00677ED3"/>
    <w:rsid w:val="00677FEF"/>
    <w:rsid w:val="006800D1"/>
    <w:rsid w:val="0068075B"/>
    <w:rsid w:val="00681E72"/>
    <w:rsid w:val="00682820"/>
    <w:rsid w:val="00683E22"/>
    <w:rsid w:val="00683E41"/>
    <w:rsid w:val="00686561"/>
    <w:rsid w:val="00686E72"/>
    <w:rsid w:val="0069153C"/>
    <w:rsid w:val="006919D2"/>
    <w:rsid w:val="0069258E"/>
    <w:rsid w:val="00692803"/>
    <w:rsid w:val="00692B32"/>
    <w:rsid w:val="00693BE8"/>
    <w:rsid w:val="00693CD2"/>
    <w:rsid w:val="00693EAE"/>
    <w:rsid w:val="00695C93"/>
    <w:rsid w:val="006A614B"/>
    <w:rsid w:val="006A62FB"/>
    <w:rsid w:val="006A725A"/>
    <w:rsid w:val="006A78D4"/>
    <w:rsid w:val="006B21B6"/>
    <w:rsid w:val="006B2949"/>
    <w:rsid w:val="006B333A"/>
    <w:rsid w:val="006B3382"/>
    <w:rsid w:val="006B34C3"/>
    <w:rsid w:val="006B352F"/>
    <w:rsid w:val="006B3FE2"/>
    <w:rsid w:val="006B6291"/>
    <w:rsid w:val="006B62AE"/>
    <w:rsid w:val="006B7980"/>
    <w:rsid w:val="006B79B8"/>
    <w:rsid w:val="006C0010"/>
    <w:rsid w:val="006C0F62"/>
    <w:rsid w:val="006C24EB"/>
    <w:rsid w:val="006C27C9"/>
    <w:rsid w:val="006C3099"/>
    <w:rsid w:val="006C3639"/>
    <w:rsid w:val="006C4922"/>
    <w:rsid w:val="006C4A9A"/>
    <w:rsid w:val="006C4FF3"/>
    <w:rsid w:val="006C5856"/>
    <w:rsid w:val="006C6ABD"/>
    <w:rsid w:val="006D0F27"/>
    <w:rsid w:val="006D10AA"/>
    <w:rsid w:val="006D4107"/>
    <w:rsid w:val="006D44B3"/>
    <w:rsid w:val="006D4C53"/>
    <w:rsid w:val="006D4DC7"/>
    <w:rsid w:val="006D54D5"/>
    <w:rsid w:val="006D5994"/>
    <w:rsid w:val="006D6517"/>
    <w:rsid w:val="006D7BDA"/>
    <w:rsid w:val="006E0165"/>
    <w:rsid w:val="006E02EF"/>
    <w:rsid w:val="006E03FF"/>
    <w:rsid w:val="006E2350"/>
    <w:rsid w:val="006E2EE9"/>
    <w:rsid w:val="006E31DA"/>
    <w:rsid w:val="006E3787"/>
    <w:rsid w:val="006E4CA3"/>
    <w:rsid w:val="006E5440"/>
    <w:rsid w:val="006E5DA7"/>
    <w:rsid w:val="006E5F62"/>
    <w:rsid w:val="006F043F"/>
    <w:rsid w:val="006F1603"/>
    <w:rsid w:val="006F16A2"/>
    <w:rsid w:val="006F185B"/>
    <w:rsid w:val="006F1BD6"/>
    <w:rsid w:val="006F1C6A"/>
    <w:rsid w:val="006F25AA"/>
    <w:rsid w:val="006F3243"/>
    <w:rsid w:val="006F3811"/>
    <w:rsid w:val="006F3C38"/>
    <w:rsid w:val="006F3F36"/>
    <w:rsid w:val="006F506E"/>
    <w:rsid w:val="006F5DA3"/>
    <w:rsid w:val="006F644B"/>
    <w:rsid w:val="006F7AE6"/>
    <w:rsid w:val="00702F7B"/>
    <w:rsid w:val="00704A2B"/>
    <w:rsid w:val="00706285"/>
    <w:rsid w:val="00706740"/>
    <w:rsid w:val="00706EE6"/>
    <w:rsid w:val="0071092E"/>
    <w:rsid w:val="00711A8E"/>
    <w:rsid w:val="00712004"/>
    <w:rsid w:val="00712E5B"/>
    <w:rsid w:val="0071480D"/>
    <w:rsid w:val="00714B01"/>
    <w:rsid w:val="00714BC2"/>
    <w:rsid w:val="0071617D"/>
    <w:rsid w:val="00721CE9"/>
    <w:rsid w:val="007229DE"/>
    <w:rsid w:val="00723662"/>
    <w:rsid w:val="00723738"/>
    <w:rsid w:val="00723BE6"/>
    <w:rsid w:val="007248CB"/>
    <w:rsid w:val="00724E70"/>
    <w:rsid w:val="0072548C"/>
    <w:rsid w:val="007257CE"/>
    <w:rsid w:val="00726AA9"/>
    <w:rsid w:val="00727552"/>
    <w:rsid w:val="007305AA"/>
    <w:rsid w:val="00730B4D"/>
    <w:rsid w:val="0073118C"/>
    <w:rsid w:val="00731FC7"/>
    <w:rsid w:val="00732BC9"/>
    <w:rsid w:val="007348DE"/>
    <w:rsid w:val="0073507D"/>
    <w:rsid w:val="00736C3A"/>
    <w:rsid w:val="00736E88"/>
    <w:rsid w:val="00740354"/>
    <w:rsid w:val="007415B7"/>
    <w:rsid w:val="00742A5F"/>
    <w:rsid w:val="00742C66"/>
    <w:rsid w:val="007438FF"/>
    <w:rsid w:val="00744D5E"/>
    <w:rsid w:val="00745458"/>
    <w:rsid w:val="00745A24"/>
    <w:rsid w:val="00745AD9"/>
    <w:rsid w:val="00745B58"/>
    <w:rsid w:val="0074727D"/>
    <w:rsid w:val="00750274"/>
    <w:rsid w:val="007502CF"/>
    <w:rsid w:val="00750394"/>
    <w:rsid w:val="007505E8"/>
    <w:rsid w:val="007531FF"/>
    <w:rsid w:val="00753209"/>
    <w:rsid w:val="0075413C"/>
    <w:rsid w:val="007563C2"/>
    <w:rsid w:val="00756880"/>
    <w:rsid w:val="007604B6"/>
    <w:rsid w:val="00761543"/>
    <w:rsid w:val="00761663"/>
    <w:rsid w:val="00761937"/>
    <w:rsid w:val="00761F60"/>
    <w:rsid w:val="00762D3B"/>
    <w:rsid w:val="00765577"/>
    <w:rsid w:val="00765802"/>
    <w:rsid w:val="00765F09"/>
    <w:rsid w:val="00767378"/>
    <w:rsid w:val="0076787A"/>
    <w:rsid w:val="00767B48"/>
    <w:rsid w:val="007701E2"/>
    <w:rsid w:val="00771BA4"/>
    <w:rsid w:val="007730F1"/>
    <w:rsid w:val="00773870"/>
    <w:rsid w:val="00775130"/>
    <w:rsid w:val="00776B5B"/>
    <w:rsid w:val="007772AA"/>
    <w:rsid w:val="007773B8"/>
    <w:rsid w:val="00780249"/>
    <w:rsid w:val="007804DC"/>
    <w:rsid w:val="007827BF"/>
    <w:rsid w:val="00782B84"/>
    <w:rsid w:val="00784F08"/>
    <w:rsid w:val="00785447"/>
    <w:rsid w:val="00786E51"/>
    <w:rsid w:val="00787992"/>
    <w:rsid w:val="00787ED2"/>
    <w:rsid w:val="0079124B"/>
    <w:rsid w:val="0079268F"/>
    <w:rsid w:val="00793112"/>
    <w:rsid w:val="0079334C"/>
    <w:rsid w:val="0079671B"/>
    <w:rsid w:val="007969BE"/>
    <w:rsid w:val="007A0201"/>
    <w:rsid w:val="007A1A0A"/>
    <w:rsid w:val="007A2A3B"/>
    <w:rsid w:val="007A2EFE"/>
    <w:rsid w:val="007A4A55"/>
    <w:rsid w:val="007A5039"/>
    <w:rsid w:val="007A5368"/>
    <w:rsid w:val="007A5B73"/>
    <w:rsid w:val="007A61BD"/>
    <w:rsid w:val="007A7117"/>
    <w:rsid w:val="007A7183"/>
    <w:rsid w:val="007A76B3"/>
    <w:rsid w:val="007A7D14"/>
    <w:rsid w:val="007B0420"/>
    <w:rsid w:val="007B15E9"/>
    <w:rsid w:val="007B311B"/>
    <w:rsid w:val="007B3F04"/>
    <w:rsid w:val="007B5C92"/>
    <w:rsid w:val="007B70E6"/>
    <w:rsid w:val="007B7CBE"/>
    <w:rsid w:val="007C0583"/>
    <w:rsid w:val="007C2655"/>
    <w:rsid w:val="007C3085"/>
    <w:rsid w:val="007C4C46"/>
    <w:rsid w:val="007C5BCE"/>
    <w:rsid w:val="007C6A96"/>
    <w:rsid w:val="007C7036"/>
    <w:rsid w:val="007D07A2"/>
    <w:rsid w:val="007D13E1"/>
    <w:rsid w:val="007D1B4F"/>
    <w:rsid w:val="007D4B7A"/>
    <w:rsid w:val="007D4D16"/>
    <w:rsid w:val="007D4FCC"/>
    <w:rsid w:val="007D58E9"/>
    <w:rsid w:val="007D75DB"/>
    <w:rsid w:val="007D7D99"/>
    <w:rsid w:val="007E0671"/>
    <w:rsid w:val="007E0CC5"/>
    <w:rsid w:val="007E2AB4"/>
    <w:rsid w:val="007E2F6B"/>
    <w:rsid w:val="007E44F6"/>
    <w:rsid w:val="007E5965"/>
    <w:rsid w:val="007E7120"/>
    <w:rsid w:val="007E7845"/>
    <w:rsid w:val="007F008C"/>
    <w:rsid w:val="007F104C"/>
    <w:rsid w:val="007F153B"/>
    <w:rsid w:val="007F1C74"/>
    <w:rsid w:val="007F23CC"/>
    <w:rsid w:val="007F33BF"/>
    <w:rsid w:val="007F56B3"/>
    <w:rsid w:val="007F6AA6"/>
    <w:rsid w:val="007F7A98"/>
    <w:rsid w:val="00800EC1"/>
    <w:rsid w:val="00801019"/>
    <w:rsid w:val="0080129B"/>
    <w:rsid w:val="00801784"/>
    <w:rsid w:val="00801EC2"/>
    <w:rsid w:val="00802B83"/>
    <w:rsid w:val="00806565"/>
    <w:rsid w:val="0081013A"/>
    <w:rsid w:val="00811EC1"/>
    <w:rsid w:val="00813488"/>
    <w:rsid w:val="008137E2"/>
    <w:rsid w:val="00813860"/>
    <w:rsid w:val="008149DF"/>
    <w:rsid w:val="00814A0C"/>
    <w:rsid w:val="00814B8B"/>
    <w:rsid w:val="00817952"/>
    <w:rsid w:val="008209BC"/>
    <w:rsid w:val="008229C0"/>
    <w:rsid w:val="00823390"/>
    <w:rsid w:val="00823491"/>
    <w:rsid w:val="00824A16"/>
    <w:rsid w:val="00825668"/>
    <w:rsid w:val="008258EF"/>
    <w:rsid w:val="00826061"/>
    <w:rsid w:val="00827105"/>
    <w:rsid w:val="008274D9"/>
    <w:rsid w:val="00830E27"/>
    <w:rsid w:val="00830E79"/>
    <w:rsid w:val="008313A6"/>
    <w:rsid w:val="00831B9F"/>
    <w:rsid w:val="00831D96"/>
    <w:rsid w:val="00835EE0"/>
    <w:rsid w:val="008363EF"/>
    <w:rsid w:val="00840134"/>
    <w:rsid w:val="0084177E"/>
    <w:rsid w:val="00842B43"/>
    <w:rsid w:val="00842DE9"/>
    <w:rsid w:val="00842EA2"/>
    <w:rsid w:val="00846689"/>
    <w:rsid w:val="00847AB2"/>
    <w:rsid w:val="00847F97"/>
    <w:rsid w:val="00850B88"/>
    <w:rsid w:val="008519F1"/>
    <w:rsid w:val="0085245D"/>
    <w:rsid w:val="00853742"/>
    <w:rsid w:val="00853AF0"/>
    <w:rsid w:val="008544EC"/>
    <w:rsid w:val="008548E0"/>
    <w:rsid w:val="008566BE"/>
    <w:rsid w:val="008579F6"/>
    <w:rsid w:val="00860A7E"/>
    <w:rsid w:val="00860E29"/>
    <w:rsid w:val="00861243"/>
    <w:rsid w:val="00861E71"/>
    <w:rsid w:val="00862E4E"/>
    <w:rsid w:val="00862E5B"/>
    <w:rsid w:val="00863131"/>
    <w:rsid w:val="00863464"/>
    <w:rsid w:val="0086389A"/>
    <w:rsid w:val="00863E3F"/>
    <w:rsid w:val="0086519C"/>
    <w:rsid w:val="00865BAD"/>
    <w:rsid w:val="00866943"/>
    <w:rsid w:val="00866F41"/>
    <w:rsid w:val="00867422"/>
    <w:rsid w:val="008676F3"/>
    <w:rsid w:val="00867843"/>
    <w:rsid w:val="0087097F"/>
    <w:rsid w:val="008721E7"/>
    <w:rsid w:val="00873D6F"/>
    <w:rsid w:val="00876619"/>
    <w:rsid w:val="008771EC"/>
    <w:rsid w:val="00877619"/>
    <w:rsid w:val="00880026"/>
    <w:rsid w:val="00880622"/>
    <w:rsid w:val="00881089"/>
    <w:rsid w:val="008821C1"/>
    <w:rsid w:val="008823DC"/>
    <w:rsid w:val="00883B7A"/>
    <w:rsid w:val="00883FCA"/>
    <w:rsid w:val="008845DD"/>
    <w:rsid w:val="00884722"/>
    <w:rsid w:val="00885BED"/>
    <w:rsid w:val="00886ACB"/>
    <w:rsid w:val="00887545"/>
    <w:rsid w:val="00887BDA"/>
    <w:rsid w:val="008925BC"/>
    <w:rsid w:val="0089278E"/>
    <w:rsid w:val="008927DE"/>
    <w:rsid w:val="0089311B"/>
    <w:rsid w:val="00893306"/>
    <w:rsid w:val="00894468"/>
    <w:rsid w:val="00895F8B"/>
    <w:rsid w:val="0089698C"/>
    <w:rsid w:val="0089767C"/>
    <w:rsid w:val="008A036A"/>
    <w:rsid w:val="008A08D3"/>
    <w:rsid w:val="008A09B4"/>
    <w:rsid w:val="008A0E66"/>
    <w:rsid w:val="008A186B"/>
    <w:rsid w:val="008A2494"/>
    <w:rsid w:val="008A31C7"/>
    <w:rsid w:val="008A350D"/>
    <w:rsid w:val="008A4341"/>
    <w:rsid w:val="008A5DE8"/>
    <w:rsid w:val="008A6012"/>
    <w:rsid w:val="008B002D"/>
    <w:rsid w:val="008B0049"/>
    <w:rsid w:val="008B486B"/>
    <w:rsid w:val="008B67FA"/>
    <w:rsid w:val="008B7A7E"/>
    <w:rsid w:val="008B7F09"/>
    <w:rsid w:val="008C13C1"/>
    <w:rsid w:val="008C1749"/>
    <w:rsid w:val="008C4D10"/>
    <w:rsid w:val="008C52A8"/>
    <w:rsid w:val="008C5B32"/>
    <w:rsid w:val="008C5B49"/>
    <w:rsid w:val="008C63D2"/>
    <w:rsid w:val="008D029C"/>
    <w:rsid w:val="008D1885"/>
    <w:rsid w:val="008D25E9"/>
    <w:rsid w:val="008D2E56"/>
    <w:rsid w:val="008D3341"/>
    <w:rsid w:val="008D3820"/>
    <w:rsid w:val="008D3ED4"/>
    <w:rsid w:val="008D5863"/>
    <w:rsid w:val="008D5EE7"/>
    <w:rsid w:val="008D6101"/>
    <w:rsid w:val="008D63BD"/>
    <w:rsid w:val="008E02A7"/>
    <w:rsid w:val="008E1E19"/>
    <w:rsid w:val="008E2EA1"/>
    <w:rsid w:val="008E5B99"/>
    <w:rsid w:val="008E5FCF"/>
    <w:rsid w:val="008E7855"/>
    <w:rsid w:val="008F01A4"/>
    <w:rsid w:val="008F104E"/>
    <w:rsid w:val="008F1A78"/>
    <w:rsid w:val="008F1D32"/>
    <w:rsid w:val="008F2E64"/>
    <w:rsid w:val="008F30B6"/>
    <w:rsid w:val="008F31DD"/>
    <w:rsid w:val="008F38BF"/>
    <w:rsid w:val="008F3BA5"/>
    <w:rsid w:val="008F6EF9"/>
    <w:rsid w:val="008F71F4"/>
    <w:rsid w:val="008F7260"/>
    <w:rsid w:val="00900525"/>
    <w:rsid w:val="00901BFC"/>
    <w:rsid w:val="0090342C"/>
    <w:rsid w:val="00903F34"/>
    <w:rsid w:val="00904634"/>
    <w:rsid w:val="00904CDC"/>
    <w:rsid w:val="00904FC5"/>
    <w:rsid w:val="00905196"/>
    <w:rsid w:val="00906371"/>
    <w:rsid w:val="00906478"/>
    <w:rsid w:val="009134EF"/>
    <w:rsid w:val="00913DAE"/>
    <w:rsid w:val="00914293"/>
    <w:rsid w:val="009146E6"/>
    <w:rsid w:val="009157A3"/>
    <w:rsid w:val="00916E36"/>
    <w:rsid w:val="009215F5"/>
    <w:rsid w:val="00921CBC"/>
    <w:rsid w:val="00922132"/>
    <w:rsid w:val="00922B67"/>
    <w:rsid w:val="00925756"/>
    <w:rsid w:val="00925CD5"/>
    <w:rsid w:val="00926903"/>
    <w:rsid w:val="00927109"/>
    <w:rsid w:val="00930189"/>
    <w:rsid w:val="00930E33"/>
    <w:rsid w:val="009314BA"/>
    <w:rsid w:val="00933446"/>
    <w:rsid w:val="00934464"/>
    <w:rsid w:val="00935703"/>
    <w:rsid w:val="009360A4"/>
    <w:rsid w:val="0093736F"/>
    <w:rsid w:val="00937775"/>
    <w:rsid w:val="00937991"/>
    <w:rsid w:val="00937DDC"/>
    <w:rsid w:val="00940742"/>
    <w:rsid w:val="009424E9"/>
    <w:rsid w:val="00942CAF"/>
    <w:rsid w:val="009460BD"/>
    <w:rsid w:val="009467F1"/>
    <w:rsid w:val="00947B5E"/>
    <w:rsid w:val="009505F5"/>
    <w:rsid w:val="0095067E"/>
    <w:rsid w:val="00951560"/>
    <w:rsid w:val="00952ED5"/>
    <w:rsid w:val="00953051"/>
    <w:rsid w:val="00956C30"/>
    <w:rsid w:val="00957F31"/>
    <w:rsid w:val="009605BA"/>
    <w:rsid w:val="00963A38"/>
    <w:rsid w:val="00963C14"/>
    <w:rsid w:val="009649CE"/>
    <w:rsid w:val="00964D3D"/>
    <w:rsid w:val="00965C87"/>
    <w:rsid w:val="00966D4F"/>
    <w:rsid w:val="00974BDC"/>
    <w:rsid w:val="00975509"/>
    <w:rsid w:val="00975DC1"/>
    <w:rsid w:val="0097604B"/>
    <w:rsid w:val="00980C3D"/>
    <w:rsid w:val="009826DE"/>
    <w:rsid w:val="00983AC0"/>
    <w:rsid w:val="00984A9D"/>
    <w:rsid w:val="00984D56"/>
    <w:rsid w:val="009861C7"/>
    <w:rsid w:val="009875FF"/>
    <w:rsid w:val="00990023"/>
    <w:rsid w:val="00990F8F"/>
    <w:rsid w:val="00991E08"/>
    <w:rsid w:val="009931BB"/>
    <w:rsid w:val="009943BF"/>
    <w:rsid w:val="00994D80"/>
    <w:rsid w:val="00994EBA"/>
    <w:rsid w:val="00995299"/>
    <w:rsid w:val="00995C93"/>
    <w:rsid w:val="0099602A"/>
    <w:rsid w:val="00996425"/>
    <w:rsid w:val="00996DC5"/>
    <w:rsid w:val="00997AA5"/>
    <w:rsid w:val="009A2056"/>
    <w:rsid w:val="009A3356"/>
    <w:rsid w:val="009A339F"/>
    <w:rsid w:val="009A4238"/>
    <w:rsid w:val="009A451D"/>
    <w:rsid w:val="009A4680"/>
    <w:rsid w:val="009A56D9"/>
    <w:rsid w:val="009A6E90"/>
    <w:rsid w:val="009A72BC"/>
    <w:rsid w:val="009A7FA6"/>
    <w:rsid w:val="009B1852"/>
    <w:rsid w:val="009B5546"/>
    <w:rsid w:val="009B6923"/>
    <w:rsid w:val="009B7A50"/>
    <w:rsid w:val="009C0B20"/>
    <w:rsid w:val="009C3029"/>
    <w:rsid w:val="009C3E3C"/>
    <w:rsid w:val="009C4077"/>
    <w:rsid w:val="009C49CE"/>
    <w:rsid w:val="009C524F"/>
    <w:rsid w:val="009C52C6"/>
    <w:rsid w:val="009C5A0E"/>
    <w:rsid w:val="009C608D"/>
    <w:rsid w:val="009C6774"/>
    <w:rsid w:val="009C6FFF"/>
    <w:rsid w:val="009D1764"/>
    <w:rsid w:val="009D2CE8"/>
    <w:rsid w:val="009D3939"/>
    <w:rsid w:val="009D4955"/>
    <w:rsid w:val="009D4FA8"/>
    <w:rsid w:val="009D667E"/>
    <w:rsid w:val="009D7595"/>
    <w:rsid w:val="009E0370"/>
    <w:rsid w:val="009E03FA"/>
    <w:rsid w:val="009E0D4E"/>
    <w:rsid w:val="009E1140"/>
    <w:rsid w:val="009E1490"/>
    <w:rsid w:val="009E1F16"/>
    <w:rsid w:val="009E45B9"/>
    <w:rsid w:val="009E5EB9"/>
    <w:rsid w:val="009E79BC"/>
    <w:rsid w:val="009E7DDD"/>
    <w:rsid w:val="009F06F1"/>
    <w:rsid w:val="009F0BF9"/>
    <w:rsid w:val="009F1AFC"/>
    <w:rsid w:val="009F3233"/>
    <w:rsid w:val="009F3D4A"/>
    <w:rsid w:val="009F5151"/>
    <w:rsid w:val="009F5E2D"/>
    <w:rsid w:val="009F6046"/>
    <w:rsid w:val="009F7633"/>
    <w:rsid w:val="00A005C4"/>
    <w:rsid w:val="00A01B85"/>
    <w:rsid w:val="00A027E2"/>
    <w:rsid w:val="00A03FA5"/>
    <w:rsid w:val="00A05355"/>
    <w:rsid w:val="00A0602B"/>
    <w:rsid w:val="00A06836"/>
    <w:rsid w:val="00A06AE6"/>
    <w:rsid w:val="00A07F73"/>
    <w:rsid w:val="00A104AB"/>
    <w:rsid w:val="00A121A7"/>
    <w:rsid w:val="00A12A3A"/>
    <w:rsid w:val="00A12B50"/>
    <w:rsid w:val="00A12CD8"/>
    <w:rsid w:val="00A1477A"/>
    <w:rsid w:val="00A154B5"/>
    <w:rsid w:val="00A15741"/>
    <w:rsid w:val="00A15CD6"/>
    <w:rsid w:val="00A16755"/>
    <w:rsid w:val="00A177A6"/>
    <w:rsid w:val="00A17E81"/>
    <w:rsid w:val="00A20A3B"/>
    <w:rsid w:val="00A20DAB"/>
    <w:rsid w:val="00A2169A"/>
    <w:rsid w:val="00A23674"/>
    <w:rsid w:val="00A241D0"/>
    <w:rsid w:val="00A25344"/>
    <w:rsid w:val="00A25EA9"/>
    <w:rsid w:val="00A265E1"/>
    <w:rsid w:val="00A26AA9"/>
    <w:rsid w:val="00A30229"/>
    <w:rsid w:val="00A309FB"/>
    <w:rsid w:val="00A33BC8"/>
    <w:rsid w:val="00A3723E"/>
    <w:rsid w:val="00A416DC"/>
    <w:rsid w:val="00A416FA"/>
    <w:rsid w:val="00A41A3D"/>
    <w:rsid w:val="00A424FC"/>
    <w:rsid w:val="00A42D20"/>
    <w:rsid w:val="00A43492"/>
    <w:rsid w:val="00A43AF7"/>
    <w:rsid w:val="00A44493"/>
    <w:rsid w:val="00A45355"/>
    <w:rsid w:val="00A45595"/>
    <w:rsid w:val="00A468CF"/>
    <w:rsid w:val="00A46B33"/>
    <w:rsid w:val="00A473FA"/>
    <w:rsid w:val="00A4797F"/>
    <w:rsid w:val="00A510ED"/>
    <w:rsid w:val="00A51144"/>
    <w:rsid w:val="00A51B29"/>
    <w:rsid w:val="00A5318A"/>
    <w:rsid w:val="00A54479"/>
    <w:rsid w:val="00A555A0"/>
    <w:rsid w:val="00A55E31"/>
    <w:rsid w:val="00A57430"/>
    <w:rsid w:val="00A57506"/>
    <w:rsid w:val="00A600AB"/>
    <w:rsid w:val="00A6014F"/>
    <w:rsid w:val="00A6210B"/>
    <w:rsid w:val="00A62BD3"/>
    <w:rsid w:val="00A65253"/>
    <w:rsid w:val="00A67576"/>
    <w:rsid w:val="00A67DE0"/>
    <w:rsid w:val="00A7111E"/>
    <w:rsid w:val="00A71DB7"/>
    <w:rsid w:val="00A725AE"/>
    <w:rsid w:val="00A731D9"/>
    <w:rsid w:val="00A734CA"/>
    <w:rsid w:val="00A7369E"/>
    <w:rsid w:val="00A73873"/>
    <w:rsid w:val="00A73B67"/>
    <w:rsid w:val="00A73D6E"/>
    <w:rsid w:val="00A74988"/>
    <w:rsid w:val="00A75BBA"/>
    <w:rsid w:val="00A76264"/>
    <w:rsid w:val="00A77690"/>
    <w:rsid w:val="00A8019C"/>
    <w:rsid w:val="00A816D5"/>
    <w:rsid w:val="00A81DE8"/>
    <w:rsid w:val="00A81EB4"/>
    <w:rsid w:val="00A8253D"/>
    <w:rsid w:val="00A827B1"/>
    <w:rsid w:val="00A82E5E"/>
    <w:rsid w:val="00A833BB"/>
    <w:rsid w:val="00A838D1"/>
    <w:rsid w:val="00A84925"/>
    <w:rsid w:val="00A84D61"/>
    <w:rsid w:val="00A85AB5"/>
    <w:rsid w:val="00A85C99"/>
    <w:rsid w:val="00A85FF6"/>
    <w:rsid w:val="00A861CA"/>
    <w:rsid w:val="00A864B7"/>
    <w:rsid w:val="00A86A2E"/>
    <w:rsid w:val="00A90502"/>
    <w:rsid w:val="00A90BF2"/>
    <w:rsid w:val="00A9127D"/>
    <w:rsid w:val="00A921E3"/>
    <w:rsid w:val="00A92DE0"/>
    <w:rsid w:val="00A944A1"/>
    <w:rsid w:val="00A95537"/>
    <w:rsid w:val="00A958F2"/>
    <w:rsid w:val="00A97BEC"/>
    <w:rsid w:val="00AA19E4"/>
    <w:rsid w:val="00AA2506"/>
    <w:rsid w:val="00AA4661"/>
    <w:rsid w:val="00AA4B21"/>
    <w:rsid w:val="00AA7958"/>
    <w:rsid w:val="00AB00C7"/>
    <w:rsid w:val="00AB1D6A"/>
    <w:rsid w:val="00AB381F"/>
    <w:rsid w:val="00AB3CFE"/>
    <w:rsid w:val="00AB6245"/>
    <w:rsid w:val="00AB68C4"/>
    <w:rsid w:val="00AB7133"/>
    <w:rsid w:val="00AB7613"/>
    <w:rsid w:val="00AB7899"/>
    <w:rsid w:val="00AC06A7"/>
    <w:rsid w:val="00AC0E9D"/>
    <w:rsid w:val="00AC3156"/>
    <w:rsid w:val="00AC365E"/>
    <w:rsid w:val="00AC36C5"/>
    <w:rsid w:val="00AC403A"/>
    <w:rsid w:val="00AC4A9C"/>
    <w:rsid w:val="00AC58CF"/>
    <w:rsid w:val="00AC5B42"/>
    <w:rsid w:val="00AC5DED"/>
    <w:rsid w:val="00AC699F"/>
    <w:rsid w:val="00AD0509"/>
    <w:rsid w:val="00AD1397"/>
    <w:rsid w:val="00AD14EC"/>
    <w:rsid w:val="00AD249A"/>
    <w:rsid w:val="00AD335C"/>
    <w:rsid w:val="00AD4296"/>
    <w:rsid w:val="00AD5018"/>
    <w:rsid w:val="00AD70CB"/>
    <w:rsid w:val="00AD7C40"/>
    <w:rsid w:val="00AE0446"/>
    <w:rsid w:val="00AE06F0"/>
    <w:rsid w:val="00AE167A"/>
    <w:rsid w:val="00AE1AEB"/>
    <w:rsid w:val="00AE2134"/>
    <w:rsid w:val="00AE2669"/>
    <w:rsid w:val="00AE2FCE"/>
    <w:rsid w:val="00AE3C67"/>
    <w:rsid w:val="00AE41A9"/>
    <w:rsid w:val="00AE4341"/>
    <w:rsid w:val="00AE4681"/>
    <w:rsid w:val="00AE46D8"/>
    <w:rsid w:val="00AE4C26"/>
    <w:rsid w:val="00AE593F"/>
    <w:rsid w:val="00AE5980"/>
    <w:rsid w:val="00AE706E"/>
    <w:rsid w:val="00AF005F"/>
    <w:rsid w:val="00AF08A7"/>
    <w:rsid w:val="00AF0B26"/>
    <w:rsid w:val="00AF23F5"/>
    <w:rsid w:val="00AF2E03"/>
    <w:rsid w:val="00AF3722"/>
    <w:rsid w:val="00AF46C0"/>
    <w:rsid w:val="00AF4E66"/>
    <w:rsid w:val="00AF5770"/>
    <w:rsid w:val="00AF6242"/>
    <w:rsid w:val="00B0163B"/>
    <w:rsid w:val="00B02958"/>
    <w:rsid w:val="00B044D0"/>
    <w:rsid w:val="00B04A20"/>
    <w:rsid w:val="00B04C9A"/>
    <w:rsid w:val="00B04F8C"/>
    <w:rsid w:val="00B05254"/>
    <w:rsid w:val="00B0676F"/>
    <w:rsid w:val="00B06982"/>
    <w:rsid w:val="00B071CF"/>
    <w:rsid w:val="00B11CD4"/>
    <w:rsid w:val="00B12820"/>
    <w:rsid w:val="00B12BDF"/>
    <w:rsid w:val="00B14AF9"/>
    <w:rsid w:val="00B15A6E"/>
    <w:rsid w:val="00B16526"/>
    <w:rsid w:val="00B201A7"/>
    <w:rsid w:val="00B205D8"/>
    <w:rsid w:val="00B213E7"/>
    <w:rsid w:val="00B21A9B"/>
    <w:rsid w:val="00B23151"/>
    <w:rsid w:val="00B23227"/>
    <w:rsid w:val="00B23461"/>
    <w:rsid w:val="00B2441E"/>
    <w:rsid w:val="00B26FF0"/>
    <w:rsid w:val="00B27387"/>
    <w:rsid w:val="00B27E6E"/>
    <w:rsid w:val="00B30AFA"/>
    <w:rsid w:val="00B30FA1"/>
    <w:rsid w:val="00B318C9"/>
    <w:rsid w:val="00B34F5F"/>
    <w:rsid w:val="00B3568C"/>
    <w:rsid w:val="00B3590D"/>
    <w:rsid w:val="00B35B49"/>
    <w:rsid w:val="00B37344"/>
    <w:rsid w:val="00B402A3"/>
    <w:rsid w:val="00B43D17"/>
    <w:rsid w:val="00B443F0"/>
    <w:rsid w:val="00B46024"/>
    <w:rsid w:val="00B46F4F"/>
    <w:rsid w:val="00B50030"/>
    <w:rsid w:val="00B52205"/>
    <w:rsid w:val="00B522DD"/>
    <w:rsid w:val="00B5322D"/>
    <w:rsid w:val="00B53C65"/>
    <w:rsid w:val="00B53C8E"/>
    <w:rsid w:val="00B56615"/>
    <w:rsid w:val="00B56E40"/>
    <w:rsid w:val="00B60289"/>
    <w:rsid w:val="00B61A1C"/>
    <w:rsid w:val="00B64886"/>
    <w:rsid w:val="00B66A65"/>
    <w:rsid w:val="00B677FB"/>
    <w:rsid w:val="00B70105"/>
    <w:rsid w:val="00B703C0"/>
    <w:rsid w:val="00B70713"/>
    <w:rsid w:val="00B71B78"/>
    <w:rsid w:val="00B732A0"/>
    <w:rsid w:val="00B73911"/>
    <w:rsid w:val="00B749FC"/>
    <w:rsid w:val="00B75719"/>
    <w:rsid w:val="00B75852"/>
    <w:rsid w:val="00B75A66"/>
    <w:rsid w:val="00B760F0"/>
    <w:rsid w:val="00B80B3A"/>
    <w:rsid w:val="00B80EE4"/>
    <w:rsid w:val="00B833D1"/>
    <w:rsid w:val="00B833F1"/>
    <w:rsid w:val="00B876A1"/>
    <w:rsid w:val="00B876DC"/>
    <w:rsid w:val="00B90074"/>
    <w:rsid w:val="00B90397"/>
    <w:rsid w:val="00B9254B"/>
    <w:rsid w:val="00B942EA"/>
    <w:rsid w:val="00B94A4F"/>
    <w:rsid w:val="00B965F1"/>
    <w:rsid w:val="00B966C6"/>
    <w:rsid w:val="00B96A0D"/>
    <w:rsid w:val="00B974A4"/>
    <w:rsid w:val="00BA0599"/>
    <w:rsid w:val="00BA1241"/>
    <w:rsid w:val="00BA1860"/>
    <w:rsid w:val="00BA277B"/>
    <w:rsid w:val="00BA2A24"/>
    <w:rsid w:val="00BA3439"/>
    <w:rsid w:val="00BA3BE7"/>
    <w:rsid w:val="00BA3E31"/>
    <w:rsid w:val="00BA51A0"/>
    <w:rsid w:val="00BA5A04"/>
    <w:rsid w:val="00BA772B"/>
    <w:rsid w:val="00BA7AC6"/>
    <w:rsid w:val="00BB1148"/>
    <w:rsid w:val="00BB1299"/>
    <w:rsid w:val="00BB30D0"/>
    <w:rsid w:val="00BB51E9"/>
    <w:rsid w:val="00BB73F1"/>
    <w:rsid w:val="00BC005D"/>
    <w:rsid w:val="00BC0E70"/>
    <w:rsid w:val="00BC1E61"/>
    <w:rsid w:val="00BC4823"/>
    <w:rsid w:val="00BC580A"/>
    <w:rsid w:val="00BD079E"/>
    <w:rsid w:val="00BD0C69"/>
    <w:rsid w:val="00BD1512"/>
    <w:rsid w:val="00BD28D0"/>
    <w:rsid w:val="00BD2BF1"/>
    <w:rsid w:val="00BD3007"/>
    <w:rsid w:val="00BD3C59"/>
    <w:rsid w:val="00BD43AF"/>
    <w:rsid w:val="00BD5376"/>
    <w:rsid w:val="00BD6A2F"/>
    <w:rsid w:val="00BD6D0E"/>
    <w:rsid w:val="00BE3A3B"/>
    <w:rsid w:val="00BE3E30"/>
    <w:rsid w:val="00BE52B8"/>
    <w:rsid w:val="00BE59E3"/>
    <w:rsid w:val="00BE65C3"/>
    <w:rsid w:val="00BE67D2"/>
    <w:rsid w:val="00BE729A"/>
    <w:rsid w:val="00BE79AC"/>
    <w:rsid w:val="00BF093F"/>
    <w:rsid w:val="00BF170C"/>
    <w:rsid w:val="00BF269B"/>
    <w:rsid w:val="00BF2EA1"/>
    <w:rsid w:val="00BF2F67"/>
    <w:rsid w:val="00BF472D"/>
    <w:rsid w:val="00BF4DB3"/>
    <w:rsid w:val="00BF5F50"/>
    <w:rsid w:val="00C00763"/>
    <w:rsid w:val="00C008FB"/>
    <w:rsid w:val="00C00FB4"/>
    <w:rsid w:val="00C030AC"/>
    <w:rsid w:val="00C045C7"/>
    <w:rsid w:val="00C046B0"/>
    <w:rsid w:val="00C0507E"/>
    <w:rsid w:val="00C05708"/>
    <w:rsid w:val="00C05D13"/>
    <w:rsid w:val="00C06228"/>
    <w:rsid w:val="00C0628F"/>
    <w:rsid w:val="00C076A1"/>
    <w:rsid w:val="00C07C84"/>
    <w:rsid w:val="00C108D9"/>
    <w:rsid w:val="00C10938"/>
    <w:rsid w:val="00C10EA6"/>
    <w:rsid w:val="00C10F39"/>
    <w:rsid w:val="00C113EC"/>
    <w:rsid w:val="00C154E7"/>
    <w:rsid w:val="00C15FD4"/>
    <w:rsid w:val="00C211E2"/>
    <w:rsid w:val="00C22205"/>
    <w:rsid w:val="00C222CA"/>
    <w:rsid w:val="00C22373"/>
    <w:rsid w:val="00C246F1"/>
    <w:rsid w:val="00C24987"/>
    <w:rsid w:val="00C25A9B"/>
    <w:rsid w:val="00C275D4"/>
    <w:rsid w:val="00C27D17"/>
    <w:rsid w:val="00C33581"/>
    <w:rsid w:val="00C35D84"/>
    <w:rsid w:val="00C36B74"/>
    <w:rsid w:val="00C3710F"/>
    <w:rsid w:val="00C40056"/>
    <w:rsid w:val="00C40294"/>
    <w:rsid w:val="00C405D2"/>
    <w:rsid w:val="00C40EBB"/>
    <w:rsid w:val="00C41119"/>
    <w:rsid w:val="00C415B8"/>
    <w:rsid w:val="00C41B38"/>
    <w:rsid w:val="00C446DA"/>
    <w:rsid w:val="00C44715"/>
    <w:rsid w:val="00C447A6"/>
    <w:rsid w:val="00C45676"/>
    <w:rsid w:val="00C456D1"/>
    <w:rsid w:val="00C45BCA"/>
    <w:rsid w:val="00C46BA1"/>
    <w:rsid w:val="00C473C6"/>
    <w:rsid w:val="00C50E98"/>
    <w:rsid w:val="00C51D2F"/>
    <w:rsid w:val="00C52144"/>
    <w:rsid w:val="00C525FF"/>
    <w:rsid w:val="00C53A85"/>
    <w:rsid w:val="00C53E4F"/>
    <w:rsid w:val="00C545FB"/>
    <w:rsid w:val="00C54D28"/>
    <w:rsid w:val="00C55E7A"/>
    <w:rsid w:val="00C5649B"/>
    <w:rsid w:val="00C56748"/>
    <w:rsid w:val="00C61460"/>
    <w:rsid w:val="00C62C70"/>
    <w:rsid w:val="00C642DE"/>
    <w:rsid w:val="00C644AD"/>
    <w:rsid w:val="00C658DD"/>
    <w:rsid w:val="00C65BB9"/>
    <w:rsid w:val="00C661AF"/>
    <w:rsid w:val="00C73487"/>
    <w:rsid w:val="00C74C79"/>
    <w:rsid w:val="00C77323"/>
    <w:rsid w:val="00C778E9"/>
    <w:rsid w:val="00C809AB"/>
    <w:rsid w:val="00C8201D"/>
    <w:rsid w:val="00C85AAE"/>
    <w:rsid w:val="00C85E7E"/>
    <w:rsid w:val="00C860B9"/>
    <w:rsid w:val="00C8685E"/>
    <w:rsid w:val="00C86B8A"/>
    <w:rsid w:val="00C877D5"/>
    <w:rsid w:val="00C87ED3"/>
    <w:rsid w:val="00C9093E"/>
    <w:rsid w:val="00C926F6"/>
    <w:rsid w:val="00C9324B"/>
    <w:rsid w:val="00C9344B"/>
    <w:rsid w:val="00C934E1"/>
    <w:rsid w:val="00C93691"/>
    <w:rsid w:val="00C93B97"/>
    <w:rsid w:val="00C944E8"/>
    <w:rsid w:val="00C94A7C"/>
    <w:rsid w:val="00C97D74"/>
    <w:rsid w:val="00CA0320"/>
    <w:rsid w:val="00CA13DD"/>
    <w:rsid w:val="00CA1E9A"/>
    <w:rsid w:val="00CA2A37"/>
    <w:rsid w:val="00CA33E3"/>
    <w:rsid w:val="00CA364E"/>
    <w:rsid w:val="00CA3FCD"/>
    <w:rsid w:val="00CA4D55"/>
    <w:rsid w:val="00CA6CF4"/>
    <w:rsid w:val="00CA6E86"/>
    <w:rsid w:val="00CB0838"/>
    <w:rsid w:val="00CB1263"/>
    <w:rsid w:val="00CB1AE7"/>
    <w:rsid w:val="00CB2BDF"/>
    <w:rsid w:val="00CB2FFE"/>
    <w:rsid w:val="00CB367B"/>
    <w:rsid w:val="00CB4186"/>
    <w:rsid w:val="00CB4D85"/>
    <w:rsid w:val="00CB5F45"/>
    <w:rsid w:val="00CB5FAA"/>
    <w:rsid w:val="00CC054E"/>
    <w:rsid w:val="00CC0CF9"/>
    <w:rsid w:val="00CC1B1E"/>
    <w:rsid w:val="00CC370A"/>
    <w:rsid w:val="00CC446E"/>
    <w:rsid w:val="00CC4851"/>
    <w:rsid w:val="00CC5B39"/>
    <w:rsid w:val="00CC7166"/>
    <w:rsid w:val="00CD0184"/>
    <w:rsid w:val="00CD06B5"/>
    <w:rsid w:val="00CD111E"/>
    <w:rsid w:val="00CD19AD"/>
    <w:rsid w:val="00CD1D04"/>
    <w:rsid w:val="00CD1D30"/>
    <w:rsid w:val="00CD1E61"/>
    <w:rsid w:val="00CD28EF"/>
    <w:rsid w:val="00CD4203"/>
    <w:rsid w:val="00CE14AC"/>
    <w:rsid w:val="00CE3386"/>
    <w:rsid w:val="00CE373E"/>
    <w:rsid w:val="00CE4C73"/>
    <w:rsid w:val="00CE4CF6"/>
    <w:rsid w:val="00CE5061"/>
    <w:rsid w:val="00CE55B1"/>
    <w:rsid w:val="00CE5798"/>
    <w:rsid w:val="00CE64AD"/>
    <w:rsid w:val="00CE65F1"/>
    <w:rsid w:val="00CE6C2B"/>
    <w:rsid w:val="00CE75D6"/>
    <w:rsid w:val="00CE7A9A"/>
    <w:rsid w:val="00CF09C0"/>
    <w:rsid w:val="00CF1B4C"/>
    <w:rsid w:val="00CF1D90"/>
    <w:rsid w:val="00CF4367"/>
    <w:rsid w:val="00CF4633"/>
    <w:rsid w:val="00CF4CE1"/>
    <w:rsid w:val="00CF57D6"/>
    <w:rsid w:val="00CF60FD"/>
    <w:rsid w:val="00CF6739"/>
    <w:rsid w:val="00CF6E7F"/>
    <w:rsid w:val="00D00413"/>
    <w:rsid w:val="00D009C8"/>
    <w:rsid w:val="00D00F02"/>
    <w:rsid w:val="00D01160"/>
    <w:rsid w:val="00D039F4"/>
    <w:rsid w:val="00D03F54"/>
    <w:rsid w:val="00D042D0"/>
    <w:rsid w:val="00D0609C"/>
    <w:rsid w:val="00D06899"/>
    <w:rsid w:val="00D078E8"/>
    <w:rsid w:val="00D07BAE"/>
    <w:rsid w:val="00D10883"/>
    <w:rsid w:val="00D11C02"/>
    <w:rsid w:val="00D12689"/>
    <w:rsid w:val="00D1344A"/>
    <w:rsid w:val="00D13A44"/>
    <w:rsid w:val="00D15314"/>
    <w:rsid w:val="00D158FA"/>
    <w:rsid w:val="00D16137"/>
    <w:rsid w:val="00D171BF"/>
    <w:rsid w:val="00D17715"/>
    <w:rsid w:val="00D17A7D"/>
    <w:rsid w:val="00D20107"/>
    <w:rsid w:val="00D206E4"/>
    <w:rsid w:val="00D20A7B"/>
    <w:rsid w:val="00D21BA9"/>
    <w:rsid w:val="00D21EBC"/>
    <w:rsid w:val="00D22E66"/>
    <w:rsid w:val="00D24560"/>
    <w:rsid w:val="00D2510A"/>
    <w:rsid w:val="00D25DBE"/>
    <w:rsid w:val="00D273D5"/>
    <w:rsid w:val="00D276AA"/>
    <w:rsid w:val="00D30FD7"/>
    <w:rsid w:val="00D31463"/>
    <w:rsid w:val="00D31549"/>
    <w:rsid w:val="00D3199F"/>
    <w:rsid w:val="00D319DE"/>
    <w:rsid w:val="00D335B5"/>
    <w:rsid w:val="00D33D0C"/>
    <w:rsid w:val="00D3435F"/>
    <w:rsid w:val="00D364DA"/>
    <w:rsid w:val="00D37B45"/>
    <w:rsid w:val="00D37D30"/>
    <w:rsid w:val="00D41CE8"/>
    <w:rsid w:val="00D42CCC"/>
    <w:rsid w:val="00D42D00"/>
    <w:rsid w:val="00D4364D"/>
    <w:rsid w:val="00D439DA"/>
    <w:rsid w:val="00D43B65"/>
    <w:rsid w:val="00D44D70"/>
    <w:rsid w:val="00D452D8"/>
    <w:rsid w:val="00D452ED"/>
    <w:rsid w:val="00D4564F"/>
    <w:rsid w:val="00D45893"/>
    <w:rsid w:val="00D466CC"/>
    <w:rsid w:val="00D474A3"/>
    <w:rsid w:val="00D50212"/>
    <w:rsid w:val="00D5127D"/>
    <w:rsid w:val="00D518A6"/>
    <w:rsid w:val="00D52089"/>
    <w:rsid w:val="00D53139"/>
    <w:rsid w:val="00D53179"/>
    <w:rsid w:val="00D5392D"/>
    <w:rsid w:val="00D5395F"/>
    <w:rsid w:val="00D54257"/>
    <w:rsid w:val="00D54880"/>
    <w:rsid w:val="00D54D32"/>
    <w:rsid w:val="00D55D06"/>
    <w:rsid w:val="00D56695"/>
    <w:rsid w:val="00D57AEC"/>
    <w:rsid w:val="00D57CC7"/>
    <w:rsid w:val="00D60819"/>
    <w:rsid w:val="00D609A8"/>
    <w:rsid w:val="00D60E59"/>
    <w:rsid w:val="00D6125A"/>
    <w:rsid w:val="00D61710"/>
    <w:rsid w:val="00D61E9E"/>
    <w:rsid w:val="00D647DB"/>
    <w:rsid w:val="00D65C34"/>
    <w:rsid w:val="00D66346"/>
    <w:rsid w:val="00D668D7"/>
    <w:rsid w:val="00D66CB4"/>
    <w:rsid w:val="00D7066F"/>
    <w:rsid w:val="00D70884"/>
    <w:rsid w:val="00D70A2B"/>
    <w:rsid w:val="00D7124C"/>
    <w:rsid w:val="00D7191E"/>
    <w:rsid w:val="00D71EAD"/>
    <w:rsid w:val="00D72291"/>
    <w:rsid w:val="00D72811"/>
    <w:rsid w:val="00D72AFF"/>
    <w:rsid w:val="00D73998"/>
    <w:rsid w:val="00D76A11"/>
    <w:rsid w:val="00D76DC6"/>
    <w:rsid w:val="00D76E19"/>
    <w:rsid w:val="00D8070D"/>
    <w:rsid w:val="00D82A92"/>
    <w:rsid w:val="00D82C80"/>
    <w:rsid w:val="00D835FC"/>
    <w:rsid w:val="00D83A2B"/>
    <w:rsid w:val="00D842BB"/>
    <w:rsid w:val="00D84525"/>
    <w:rsid w:val="00D85570"/>
    <w:rsid w:val="00D85783"/>
    <w:rsid w:val="00D86F26"/>
    <w:rsid w:val="00D908FD"/>
    <w:rsid w:val="00D90F20"/>
    <w:rsid w:val="00D91A5D"/>
    <w:rsid w:val="00D91A6C"/>
    <w:rsid w:val="00D91B52"/>
    <w:rsid w:val="00D950CE"/>
    <w:rsid w:val="00D95A75"/>
    <w:rsid w:val="00D95FD9"/>
    <w:rsid w:val="00D96BFC"/>
    <w:rsid w:val="00D972FF"/>
    <w:rsid w:val="00D9764E"/>
    <w:rsid w:val="00D97822"/>
    <w:rsid w:val="00DA03F6"/>
    <w:rsid w:val="00DA1014"/>
    <w:rsid w:val="00DA2AB5"/>
    <w:rsid w:val="00DA40B0"/>
    <w:rsid w:val="00DA6084"/>
    <w:rsid w:val="00DB008B"/>
    <w:rsid w:val="00DB06BC"/>
    <w:rsid w:val="00DB2B55"/>
    <w:rsid w:val="00DB6659"/>
    <w:rsid w:val="00DB6A48"/>
    <w:rsid w:val="00DB6FF2"/>
    <w:rsid w:val="00DB7240"/>
    <w:rsid w:val="00DB72EA"/>
    <w:rsid w:val="00DC096C"/>
    <w:rsid w:val="00DC188B"/>
    <w:rsid w:val="00DC3596"/>
    <w:rsid w:val="00DC39ED"/>
    <w:rsid w:val="00DC41B8"/>
    <w:rsid w:val="00DC4A71"/>
    <w:rsid w:val="00DC5176"/>
    <w:rsid w:val="00DC53CD"/>
    <w:rsid w:val="00DC5546"/>
    <w:rsid w:val="00DC574E"/>
    <w:rsid w:val="00DC6755"/>
    <w:rsid w:val="00DC683A"/>
    <w:rsid w:val="00DC6D13"/>
    <w:rsid w:val="00DC78C0"/>
    <w:rsid w:val="00DD0CD4"/>
    <w:rsid w:val="00DD1A97"/>
    <w:rsid w:val="00DD24BA"/>
    <w:rsid w:val="00DD2C71"/>
    <w:rsid w:val="00DD426F"/>
    <w:rsid w:val="00DD6203"/>
    <w:rsid w:val="00DD7B16"/>
    <w:rsid w:val="00DE2276"/>
    <w:rsid w:val="00DE2446"/>
    <w:rsid w:val="00DE48E3"/>
    <w:rsid w:val="00DE5829"/>
    <w:rsid w:val="00DE6165"/>
    <w:rsid w:val="00DE638E"/>
    <w:rsid w:val="00DE7CE0"/>
    <w:rsid w:val="00DE7D4F"/>
    <w:rsid w:val="00DF1724"/>
    <w:rsid w:val="00DF1836"/>
    <w:rsid w:val="00DF2EDB"/>
    <w:rsid w:val="00DF353B"/>
    <w:rsid w:val="00DF3EE6"/>
    <w:rsid w:val="00DF4D27"/>
    <w:rsid w:val="00DF5CC3"/>
    <w:rsid w:val="00DF6E11"/>
    <w:rsid w:val="00DF7CF6"/>
    <w:rsid w:val="00E015C6"/>
    <w:rsid w:val="00E01F9D"/>
    <w:rsid w:val="00E04B76"/>
    <w:rsid w:val="00E04BC9"/>
    <w:rsid w:val="00E05C8C"/>
    <w:rsid w:val="00E074B8"/>
    <w:rsid w:val="00E07D31"/>
    <w:rsid w:val="00E10BA8"/>
    <w:rsid w:val="00E1100C"/>
    <w:rsid w:val="00E12316"/>
    <w:rsid w:val="00E12AF6"/>
    <w:rsid w:val="00E14C8B"/>
    <w:rsid w:val="00E16DCE"/>
    <w:rsid w:val="00E17098"/>
    <w:rsid w:val="00E176B1"/>
    <w:rsid w:val="00E2092B"/>
    <w:rsid w:val="00E21170"/>
    <w:rsid w:val="00E21D5B"/>
    <w:rsid w:val="00E22ACC"/>
    <w:rsid w:val="00E2387A"/>
    <w:rsid w:val="00E2444F"/>
    <w:rsid w:val="00E2462A"/>
    <w:rsid w:val="00E2582A"/>
    <w:rsid w:val="00E2610D"/>
    <w:rsid w:val="00E302D8"/>
    <w:rsid w:val="00E309AA"/>
    <w:rsid w:val="00E316AA"/>
    <w:rsid w:val="00E31EE8"/>
    <w:rsid w:val="00E34ADC"/>
    <w:rsid w:val="00E35815"/>
    <w:rsid w:val="00E35986"/>
    <w:rsid w:val="00E35B83"/>
    <w:rsid w:val="00E372D7"/>
    <w:rsid w:val="00E4232C"/>
    <w:rsid w:val="00E4233F"/>
    <w:rsid w:val="00E43263"/>
    <w:rsid w:val="00E43751"/>
    <w:rsid w:val="00E44FCD"/>
    <w:rsid w:val="00E450F4"/>
    <w:rsid w:val="00E465EC"/>
    <w:rsid w:val="00E502EE"/>
    <w:rsid w:val="00E510B9"/>
    <w:rsid w:val="00E51129"/>
    <w:rsid w:val="00E52B0E"/>
    <w:rsid w:val="00E530B9"/>
    <w:rsid w:val="00E53E43"/>
    <w:rsid w:val="00E546E0"/>
    <w:rsid w:val="00E54729"/>
    <w:rsid w:val="00E555AB"/>
    <w:rsid w:val="00E60068"/>
    <w:rsid w:val="00E616BB"/>
    <w:rsid w:val="00E61F97"/>
    <w:rsid w:val="00E637D4"/>
    <w:rsid w:val="00E63A50"/>
    <w:rsid w:val="00E64509"/>
    <w:rsid w:val="00E6517C"/>
    <w:rsid w:val="00E6555A"/>
    <w:rsid w:val="00E6622A"/>
    <w:rsid w:val="00E71B2D"/>
    <w:rsid w:val="00E71BB2"/>
    <w:rsid w:val="00E72E9B"/>
    <w:rsid w:val="00E75AC2"/>
    <w:rsid w:val="00E75B60"/>
    <w:rsid w:val="00E75D59"/>
    <w:rsid w:val="00E76D22"/>
    <w:rsid w:val="00E773A8"/>
    <w:rsid w:val="00E77F32"/>
    <w:rsid w:val="00E807DE"/>
    <w:rsid w:val="00E8171E"/>
    <w:rsid w:val="00E82893"/>
    <w:rsid w:val="00E83B21"/>
    <w:rsid w:val="00E8612C"/>
    <w:rsid w:val="00E864C1"/>
    <w:rsid w:val="00E864FF"/>
    <w:rsid w:val="00E86D4A"/>
    <w:rsid w:val="00E86DF0"/>
    <w:rsid w:val="00E87232"/>
    <w:rsid w:val="00E87747"/>
    <w:rsid w:val="00E879B8"/>
    <w:rsid w:val="00E87BF7"/>
    <w:rsid w:val="00E90A8C"/>
    <w:rsid w:val="00E92A21"/>
    <w:rsid w:val="00E94645"/>
    <w:rsid w:val="00E95793"/>
    <w:rsid w:val="00E95FA4"/>
    <w:rsid w:val="00E96608"/>
    <w:rsid w:val="00E968E3"/>
    <w:rsid w:val="00E97C4E"/>
    <w:rsid w:val="00EA00D3"/>
    <w:rsid w:val="00EA13FE"/>
    <w:rsid w:val="00EA2E86"/>
    <w:rsid w:val="00EA42ED"/>
    <w:rsid w:val="00EA6A80"/>
    <w:rsid w:val="00EA7848"/>
    <w:rsid w:val="00EB012A"/>
    <w:rsid w:val="00EB0C3B"/>
    <w:rsid w:val="00EB11F2"/>
    <w:rsid w:val="00EB5798"/>
    <w:rsid w:val="00EB5964"/>
    <w:rsid w:val="00EB60FC"/>
    <w:rsid w:val="00EB66C5"/>
    <w:rsid w:val="00EB7DC4"/>
    <w:rsid w:val="00EC1D99"/>
    <w:rsid w:val="00EC48D7"/>
    <w:rsid w:val="00EC5020"/>
    <w:rsid w:val="00EC677F"/>
    <w:rsid w:val="00EC6939"/>
    <w:rsid w:val="00EC6A9C"/>
    <w:rsid w:val="00EC7878"/>
    <w:rsid w:val="00ED05A9"/>
    <w:rsid w:val="00ED08AA"/>
    <w:rsid w:val="00ED0958"/>
    <w:rsid w:val="00ED0B38"/>
    <w:rsid w:val="00ED1966"/>
    <w:rsid w:val="00ED220C"/>
    <w:rsid w:val="00ED3114"/>
    <w:rsid w:val="00ED5DD1"/>
    <w:rsid w:val="00ED7012"/>
    <w:rsid w:val="00ED7333"/>
    <w:rsid w:val="00EE1047"/>
    <w:rsid w:val="00EE1866"/>
    <w:rsid w:val="00EE34B5"/>
    <w:rsid w:val="00EE351B"/>
    <w:rsid w:val="00EE39E6"/>
    <w:rsid w:val="00EE46CA"/>
    <w:rsid w:val="00EE48A8"/>
    <w:rsid w:val="00EE6B60"/>
    <w:rsid w:val="00EE6C8D"/>
    <w:rsid w:val="00EF10F0"/>
    <w:rsid w:val="00EF2CAC"/>
    <w:rsid w:val="00EF4798"/>
    <w:rsid w:val="00EF4FEE"/>
    <w:rsid w:val="00EF580D"/>
    <w:rsid w:val="00F0024B"/>
    <w:rsid w:val="00F00CAB"/>
    <w:rsid w:val="00F00D69"/>
    <w:rsid w:val="00F01EF4"/>
    <w:rsid w:val="00F03986"/>
    <w:rsid w:val="00F03A7C"/>
    <w:rsid w:val="00F03D99"/>
    <w:rsid w:val="00F0434E"/>
    <w:rsid w:val="00F062BF"/>
    <w:rsid w:val="00F06AF4"/>
    <w:rsid w:val="00F06EB9"/>
    <w:rsid w:val="00F07133"/>
    <w:rsid w:val="00F117E4"/>
    <w:rsid w:val="00F11A2A"/>
    <w:rsid w:val="00F11D7F"/>
    <w:rsid w:val="00F12961"/>
    <w:rsid w:val="00F12B75"/>
    <w:rsid w:val="00F133C0"/>
    <w:rsid w:val="00F14432"/>
    <w:rsid w:val="00F161BA"/>
    <w:rsid w:val="00F20844"/>
    <w:rsid w:val="00F215E1"/>
    <w:rsid w:val="00F21AD4"/>
    <w:rsid w:val="00F21B7B"/>
    <w:rsid w:val="00F21CFB"/>
    <w:rsid w:val="00F2215E"/>
    <w:rsid w:val="00F22CF0"/>
    <w:rsid w:val="00F2444C"/>
    <w:rsid w:val="00F24903"/>
    <w:rsid w:val="00F24BEB"/>
    <w:rsid w:val="00F2570A"/>
    <w:rsid w:val="00F274E1"/>
    <w:rsid w:val="00F27705"/>
    <w:rsid w:val="00F2789C"/>
    <w:rsid w:val="00F307B1"/>
    <w:rsid w:val="00F308ED"/>
    <w:rsid w:val="00F31AEF"/>
    <w:rsid w:val="00F32D87"/>
    <w:rsid w:val="00F34EB7"/>
    <w:rsid w:val="00F3570A"/>
    <w:rsid w:val="00F36706"/>
    <w:rsid w:val="00F369C3"/>
    <w:rsid w:val="00F37E5C"/>
    <w:rsid w:val="00F4287C"/>
    <w:rsid w:val="00F44571"/>
    <w:rsid w:val="00F44DB9"/>
    <w:rsid w:val="00F453EC"/>
    <w:rsid w:val="00F456C9"/>
    <w:rsid w:val="00F45E08"/>
    <w:rsid w:val="00F46A01"/>
    <w:rsid w:val="00F474C1"/>
    <w:rsid w:val="00F47B3A"/>
    <w:rsid w:val="00F47C00"/>
    <w:rsid w:val="00F50083"/>
    <w:rsid w:val="00F518B7"/>
    <w:rsid w:val="00F53140"/>
    <w:rsid w:val="00F53787"/>
    <w:rsid w:val="00F54BDF"/>
    <w:rsid w:val="00F54C8B"/>
    <w:rsid w:val="00F566ED"/>
    <w:rsid w:val="00F61550"/>
    <w:rsid w:val="00F63265"/>
    <w:rsid w:val="00F642A5"/>
    <w:rsid w:val="00F64D13"/>
    <w:rsid w:val="00F64EAD"/>
    <w:rsid w:val="00F64F58"/>
    <w:rsid w:val="00F67AEA"/>
    <w:rsid w:val="00F702FD"/>
    <w:rsid w:val="00F71872"/>
    <w:rsid w:val="00F748C7"/>
    <w:rsid w:val="00F74B4F"/>
    <w:rsid w:val="00F74C32"/>
    <w:rsid w:val="00F76934"/>
    <w:rsid w:val="00F773CB"/>
    <w:rsid w:val="00F77588"/>
    <w:rsid w:val="00F77748"/>
    <w:rsid w:val="00F77AE9"/>
    <w:rsid w:val="00F77B0E"/>
    <w:rsid w:val="00F77B45"/>
    <w:rsid w:val="00F809A8"/>
    <w:rsid w:val="00F81C43"/>
    <w:rsid w:val="00F835AC"/>
    <w:rsid w:val="00F84252"/>
    <w:rsid w:val="00F84419"/>
    <w:rsid w:val="00F85874"/>
    <w:rsid w:val="00F85C9E"/>
    <w:rsid w:val="00F87657"/>
    <w:rsid w:val="00F87747"/>
    <w:rsid w:val="00F87926"/>
    <w:rsid w:val="00F87A2A"/>
    <w:rsid w:val="00F917D6"/>
    <w:rsid w:val="00F9425D"/>
    <w:rsid w:val="00F95CED"/>
    <w:rsid w:val="00F961CC"/>
    <w:rsid w:val="00F96550"/>
    <w:rsid w:val="00F96C42"/>
    <w:rsid w:val="00F97741"/>
    <w:rsid w:val="00F97750"/>
    <w:rsid w:val="00F977CD"/>
    <w:rsid w:val="00FA1766"/>
    <w:rsid w:val="00FA1874"/>
    <w:rsid w:val="00FA54DE"/>
    <w:rsid w:val="00FA5EF0"/>
    <w:rsid w:val="00FA610A"/>
    <w:rsid w:val="00FA65BD"/>
    <w:rsid w:val="00FA6D9C"/>
    <w:rsid w:val="00FA70E7"/>
    <w:rsid w:val="00FB090D"/>
    <w:rsid w:val="00FB0FBE"/>
    <w:rsid w:val="00FB2C5B"/>
    <w:rsid w:val="00FB2DF3"/>
    <w:rsid w:val="00FB364D"/>
    <w:rsid w:val="00FB3678"/>
    <w:rsid w:val="00FB4379"/>
    <w:rsid w:val="00FB4E6D"/>
    <w:rsid w:val="00FB5445"/>
    <w:rsid w:val="00FB65F1"/>
    <w:rsid w:val="00FC078F"/>
    <w:rsid w:val="00FC141A"/>
    <w:rsid w:val="00FC1C95"/>
    <w:rsid w:val="00FC3BC6"/>
    <w:rsid w:val="00FC438C"/>
    <w:rsid w:val="00FC45BE"/>
    <w:rsid w:val="00FC4CD2"/>
    <w:rsid w:val="00FC697A"/>
    <w:rsid w:val="00FD03D7"/>
    <w:rsid w:val="00FD0D00"/>
    <w:rsid w:val="00FD0E1A"/>
    <w:rsid w:val="00FD22A6"/>
    <w:rsid w:val="00FD2FC0"/>
    <w:rsid w:val="00FD349B"/>
    <w:rsid w:val="00FD374C"/>
    <w:rsid w:val="00FD5672"/>
    <w:rsid w:val="00FD57D2"/>
    <w:rsid w:val="00FD7C5A"/>
    <w:rsid w:val="00FE0AD3"/>
    <w:rsid w:val="00FE11ED"/>
    <w:rsid w:val="00FE28E4"/>
    <w:rsid w:val="00FE2FA2"/>
    <w:rsid w:val="00FE4A83"/>
    <w:rsid w:val="00FE534B"/>
    <w:rsid w:val="00FE55C1"/>
    <w:rsid w:val="00FE583D"/>
    <w:rsid w:val="00FE6AD6"/>
    <w:rsid w:val="00FF143F"/>
    <w:rsid w:val="00FF171B"/>
    <w:rsid w:val="00FF227E"/>
    <w:rsid w:val="00FF2558"/>
    <w:rsid w:val="00FF425A"/>
    <w:rsid w:val="00FF4631"/>
    <w:rsid w:val="00FF4F74"/>
    <w:rsid w:val="00FF702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6BD48C0F-6CF6-4B39-9BD1-DB3996E16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sto MT" w:eastAsiaTheme="minorEastAsia" w:hAnsi="Calisto MT" w:cs="Times New Roman"/>
        <w:sz w:val="21"/>
        <w:szCs w:val="21"/>
        <w:lang w:val="en-AU" w:eastAsia="en-AU" w:bidi="ar-SA"/>
      </w:rPr>
    </w:rPrDefault>
    <w:pPrDefault>
      <w:pPr>
        <w:spacing w:before="140" w:line="280" w:lineRule="atLeast"/>
      </w:pPr>
    </w:pPrDefault>
  </w:docDefaults>
  <w:latentStyles w:defLockedState="0" w:defUIPriority="99" w:defSemiHidden="0" w:defUnhideWhenUsed="0" w:defQFormat="0" w:count="371">
    <w:lsdException w:name="Normal" w:uiPriority="0"/>
    <w:lsdException w:name="heading 1" w:uiPriority="0" w:qFormat="1"/>
    <w:lsdException w:name="heading 2" w:uiPriority="0" w:qFormat="1"/>
    <w:lsdException w:name="heading 3" w:uiPriority="0"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25" w:unhideWhenUsed="1"/>
    <w:lsdException w:name="annotation text" w:uiPriority="49" w:unhideWhenUsed="1"/>
    <w:lsdException w:name="header" w:unhideWhenUsed="1"/>
    <w:lsdException w:name="footer" w:unhideWhenUsed="1"/>
    <w:lsdException w:name="index heading" w:semiHidden="1" w:unhideWhenUsed="1"/>
    <w:lsdException w:name="caption" w:semiHidden="1" w:uiPriority="28" w:unhideWhenUsed="1" w:qFormat="1"/>
    <w:lsdException w:name="table of figures" w:semiHidden="1" w:unhideWhenUsed="1"/>
    <w:lsdException w:name="envelope address" w:semiHidden="1" w:unhideWhenUsed="1"/>
    <w:lsdException w:name="envelope return" w:semiHidden="1" w:unhideWhenUsed="1"/>
    <w:lsdException w:name="footnote reference" w:uiPriority="25" w:unhideWhenUsed="1"/>
    <w:lsdException w:name="annotation reference" w:uiPriority="4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uiPriority="2" w:unhideWhenUsed="1" w:qFormat="1"/>
    <w:lsdException w:name="List Number" w:uiPriority="2" w:qFormat="1"/>
    <w:lsdException w:name="List 2" w:semiHidden="1" w:unhideWhenUsed="1"/>
    <w:lsdException w:name="List 3" w:semiHidden="1" w:unhideWhenUsed="1"/>
    <w:lsdException w:name="List 4" w:semiHidden="1" w:unhideWhenUsed="1"/>
    <w:lsdException w:name="List 5" w:semiHidden="1" w:unhideWhenUsed="1"/>
    <w:lsdException w:name="List Bullet 2" w:uiPriority="2" w:unhideWhenUsed="1" w:qFormat="1"/>
    <w:lsdException w:name="List Bullet 3" w:uiPriority="2" w:unhideWhenUsed="1"/>
    <w:lsdException w:name="List Bullet 4" w:semiHidden="1" w:unhideWhenUsed="1"/>
    <w:lsdException w:name="List Bullet 5" w:semiHidden="1" w:unhideWhenUsed="1"/>
    <w:lsdException w:name="List Number 2" w:uiPriority="2" w:unhideWhenUsed="1"/>
    <w:lsdException w:name="List Number 3" w:semiHidden="1" w:unhideWhenUsed="1"/>
    <w:lsdException w:name="List Number 4" w:semiHidden="1" w:unhideWhenUsed="1"/>
    <w:lsdException w:name="List Number 5" w:semiHidden="1" w:unhideWhenUsed="1"/>
    <w:lsdException w:name="Title" w:uiPriority="29" w:qFormat="1"/>
    <w:lsdException w:name="Closing" w:semiHidden="1" w:unhideWhenUsed="1"/>
    <w:lsdException w:name="Signature" w:semiHidden="1" w:unhideWhenUsed="1"/>
    <w:lsdException w:name="Default Paragraph Font" w:semiHidden="1" w:uiPriority="1" w:unhideWhenUsed="1"/>
    <w:lsdException w:name="Body Text" w:uiPriority="2"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0" w:qFormat="1"/>
    <w:lsdException w:name="Salutation" w:semiHidden="1" w:unhideWhenUsed="1"/>
    <w:lsdException w:name="Date" w:uiPriority="33"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3"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unhideWhenUsed="1"/>
    <w:lsdException w:name="Intense Emphasis" w:uiPriority="21" w:unhideWhenUsed="1"/>
    <w:lsdException w:name="Subtle Reference" w:uiPriority="31" w:unhideWhenUsed="1"/>
    <w:lsdException w:name="Intense Reference" w:uiPriority="32"/>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rsid w:val="006D44B3"/>
    <w:pPr>
      <w:spacing w:before="0"/>
    </w:pPr>
  </w:style>
  <w:style w:type="paragraph" w:styleId="Heading1">
    <w:name w:val="heading 1"/>
    <w:aliases w:val="h1,EOI - Heading 1 (Low),Heading 1 (low),Para1,h11,h12,ChapterHeadingNumber,Top 1,ParaLevel1,Level 1 Para,Level 1 Para1,Level 1 Para2,Level 1 Para3,Level 1 Para4,Level 1 Para11,Level 1 Para21,Level 1 Para31,Level 1 Para5,Level 1 Para12,L1,1,RF"/>
    <w:basedOn w:val="BodyText"/>
    <w:next w:val="BodyText"/>
    <w:link w:val="Heading1Char"/>
    <w:qFormat/>
    <w:rsid w:val="00160C29"/>
    <w:pPr>
      <w:keepNext/>
      <w:pageBreakBefore/>
      <w:numPr>
        <w:numId w:val="28"/>
      </w:numPr>
      <w:spacing w:before="0" w:after="1560" w:line="440" w:lineRule="atLeast"/>
      <w:outlineLvl w:val="0"/>
    </w:pPr>
    <w:rPr>
      <w:rFonts w:asciiTheme="majorHAnsi" w:hAnsiTheme="majorHAnsi"/>
      <w:i/>
      <w:kern w:val="28"/>
      <w:sz w:val="36"/>
      <w:szCs w:val="32"/>
    </w:rPr>
  </w:style>
  <w:style w:type="paragraph" w:styleId="Heading2">
    <w:name w:val="heading 2"/>
    <w:aliases w:val="Para2,h2,BT-Legal Numbering,Head hdbk,Top 2,H2,h2 main heading,B Sub/Bold,B Sub/Bold1,B Sub/Bold2,B Sub/Bold11,h2 main heading1,h2 main heading2,B Sub/Bold3,B Sub/Bold12,h2 main heading3,B Sub/Bold4,B Sub/Bold13,SubPara,Para 2,2,new heading tw"/>
    <w:basedOn w:val="Heading1"/>
    <w:next w:val="BodyText"/>
    <w:link w:val="Heading2Char"/>
    <w:qFormat/>
    <w:rsid w:val="00160C29"/>
    <w:pPr>
      <w:pageBreakBefore w:val="0"/>
      <w:numPr>
        <w:ilvl w:val="1"/>
      </w:numPr>
      <w:spacing w:before="560" w:after="0" w:line="340" w:lineRule="atLeast"/>
      <w:outlineLvl w:val="1"/>
    </w:pPr>
    <w:rPr>
      <w:b/>
      <w:color w:val="F61D12" w:themeColor="accent2"/>
      <w:sz w:val="30"/>
      <w:szCs w:val="26"/>
    </w:rPr>
  </w:style>
  <w:style w:type="paragraph" w:styleId="Heading3">
    <w:name w:val="heading 3"/>
    <w:aliases w:val="Normal + num,Level 1 - 2,h3,EOI - Heading 3,h3 sub heading,Para3,Paragraph (heading 3),BTL Numbered,L3,3,Level 1 - 1,Report Heading 3,d,Tempo Heading 3,H3,C Sub-Sub/Italic,Head 3,Head 31,Head 32,C Sub-Sub/Italic1,Sub2Para,BOD 1,BOD 0,h31,h32,H"/>
    <w:basedOn w:val="Heading2"/>
    <w:next w:val="BodyText"/>
    <w:link w:val="Heading3Char"/>
    <w:qFormat/>
    <w:rsid w:val="00160C29"/>
    <w:pPr>
      <w:numPr>
        <w:ilvl w:val="2"/>
      </w:numPr>
      <w:spacing w:before="440" w:line="280" w:lineRule="atLeast"/>
      <w:outlineLvl w:val="2"/>
    </w:pPr>
    <w:rPr>
      <w:rFonts w:ascii="Calisto MT" w:hAnsi="Calisto MT"/>
      <w:color w:val="auto"/>
      <w:sz w:val="25"/>
      <w:szCs w:val="22"/>
    </w:rPr>
  </w:style>
  <w:style w:type="paragraph" w:styleId="Heading4">
    <w:name w:val="heading 4"/>
    <w:aliases w:val="h4,L4,Level 2 - a,sd,Standard H3,h41,Titre 4,1.1.1.1,bullet,bl,bb,h4 sub sub heading,Level 2 - (a),4,Org Heading 2,Sub3Para,proj4,proj41,proj42,proj43,proj44,proj45,proj46,proj47,proj48,proj49,proj410,proj411,proj412,proj421,proj431,proj441,41"/>
    <w:basedOn w:val="Heading3"/>
    <w:next w:val="BodyText"/>
    <w:link w:val="Heading4Char"/>
    <w:qFormat/>
    <w:rsid w:val="00160C29"/>
    <w:pPr>
      <w:numPr>
        <w:ilvl w:val="3"/>
      </w:numPr>
      <w:spacing w:before="400" w:line="260" w:lineRule="atLeast"/>
      <w:outlineLvl w:val="3"/>
    </w:pPr>
    <w:rPr>
      <w:color w:val="6F6652" w:themeColor="text2"/>
      <w:sz w:val="21"/>
    </w:rPr>
  </w:style>
  <w:style w:type="paragraph" w:styleId="Heading5">
    <w:name w:val="heading 5"/>
    <w:aliases w:val="h5,L5,Level 3 - i,L51,Para5,i.,H1,subsubpara,1.1.1.1.1,H11,3rd sub-clause,h51,h52,5,H111,VS5"/>
    <w:basedOn w:val="Heading4"/>
    <w:next w:val="BodyText"/>
    <w:link w:val="Heading5Char"/>
    <w:qFormat/>
    <w:rsid w:val="00742A5F"/>
    <w:pPr>
      <w:numPr>
        <w:ilvl w:val="4"/>
      </w:numPr>
      <w:outlineLvl w:val="4"/>
    </w:pPr>
    <w:rPr>
      <w:rFonts w:asciiTheme="minorHAnsi" w:hAnsiTheme="minorHAnsi"/>
      <w:b w:val="0"/>
    </w:rPr>
  </w:style>
  <w:style w:type="paragraph" w:styleId="Heading6">
    <w:name w:val="heading 6"/>
    <w:aliases w:val="Square Bullet list,Sub5Para,L1 PIP,a,b,H6,Heading 6(unused),Heading 6(unused)1,VS6"/>
    <w:basedOn w:val="Heading1"/>
    <w:next w:val="BodyText"/>
    <w:link w:val="Heading6Char"/>
    <w:qFormat/>
    <w:rsid w:val="00160C29"/>
    <w:pPr>
      <w:numPr>
        <w:ilvl w:val="5"/>
      </w:numPr>
      <w:outlineLvl w:val="5"/>
    </w:pPr>
    <w:rPr>
      <w:bCs/>
    </w:rPr>
  </w:style>
  <w:style w:type="paragraph" w:styleId="Heading7">
    <w:name w:val="heading 7"/>
    <w:aliases w:val="Indented hyphen,L2 PIP,H7,Heading 7(unused),Heading 7(unused)1"/>
    <w:basedOn w:val="Heading2"/>
    <w:next w:val="BodyText"/>
    <w:link w:val="Heading7Char"/>
    <w:qFormat/>
    <w:rsid w:val="00182068"/>
    <w:pPr>
      <w:numPr>
        <w:ilvl w:val="6"/>
      </w:numPr>
      <w:outlineLvl w:val="6"/>
    </w:pPr>
    <w:rPr>
      <w:rFonts w:ascii="Calisto MT" w:hAnsi="Calisto MT"/>
    </w:rPr>
  </w:style>
  <w:style w:type="paragraph" w:styleId="Heading8">
    <w:name w:val="heading 8"/>
    <w:aliases w:val="L3 PIP,H8,Heading 8(unused),Heading 8(unused)1"/>
    <w:basedOn w:val="Heading3"/>
    <w:next w:val="BodyText"/>
    <w:link w:val="Heading8Char"/>
    <w:qFormat/>
    <w:rsid w:val="00160C29"/>
    <w:pPr>
      <w:numPr>
        <w:ilvl w:val="7"/>
      </w:numPr>
      <w:outlineLvl w:val="7"/>
    </w:pPr>
  </w:style>
  <w:style w:type="paragraph" w:styleId="Heading9">
    <w:name w:val="heading 9"/>
    <w:aliases w:val="Spare5,H9,Heading 9(unused),Heading 9(unused)1"/>
    <w:basedOn w:val="Heading4"/>
    <w:next w:val="BodyText"/>
    <w:link w:val="Heading9Char"/>
    <w:qFormat/>
    <w:rsid w:val="00160C29"/>
    <w:pPr>
      <w:numPr>
        <w:ilvl w:val="8"/>
        <w:numId w:val="5"/>
      </w:numPr>
      <w:outlineLvl w:val="8"/>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ListBullets">
    <w:name w:val="ListBullets"/>
    <w:uiPriority w:val="99"/>
    <w:rsid w:val="00B974A4"/>
    <w:pPr>
      <w:numPr>
        <w:numId w:val="11"/>
      </w:numPr>
    </w:pPr>
  </w:style>
  <w:style w:type="paragraph" w:styleId="ListBullet3">
    <w:name w:val="List Bullet 3"/>
    <w:basedOn w:val="ListBullet2"/>
    <w:uiPriority w:val="2"/>
    <w:rsid w:val="00114298"/>
    <w:pPr>
      <w:numPr>
        <w:ilvl w:val="2"/>
      </w:numPr>
    </w:pPr>
  </w:style>
  <w:style w:type="paragraph" w:styleId="ListNumber">
    <w:name w:val="List Number"/>
    <w:basedOn w:val="BodyText"/>
    <w:uiPriority w:val="2"/>
    <w:qFormat/>
    <w:rsid w:val="00160C29"/>
    <w:pPr>
      <w:numPr>
        <w:numId w:val="31"/>
      </w:numPr>
      <w:spacing w:before="70"/>
    </w:pPr>
  </w:style>
  <w:style w:type="paragraph" w:styleId="ListBullet">
    <w:name w:val="List Bullet"/>
    <w:aliases w:val=" Char,Char"/>
    <w:basedOn w:val="BodyText"/>
    <w:link w:val="ListBulletChar"/>
    <w:uiPriority w:val="2"/>
    <w:qFormat/>
    <w:rsid w:val="00160C29"/>
    <w:pPr>
      <w:numPr>
        <w:numId w:val="11"/>
      </w:numPr>
      <w:spacing w:before="70"/>
    </w:pPr>
  </w:style>
  <w:style w:type="paragraph" w:customStyle="1" w:styleId="Contents">
    <w:name w:val="Contents"/>
    <w:basedOn w:val="Heading1"/>
    <w:next w:val="TOC1"/>
    <w:uiPriority w:val="99"/>
    <w:rsid w:val="005C386A"/>
    <w:pPr>
      <w:pageBreakBefore w:val="0"/>
      <w:numPr>
        <w:numId w:val="0"/>
      </w:numPr>
    </w:pPr>
  </w:style>
  <w:style w:type="paragraph" w:customStyle="1" w:styleId="RecommendationNumber2">
    <w:name w:val="Recommendation Number 2"/>
    <w:basedOn w:val="RecommendationNumber"/>
    <w:uiPriority w:val="28"/>
    <w:rsid w:val="001E2A83"/>
    <w:pPr>
      <w:numPr>
        <w:ilvl w:val="1"/>
      </w:numPr>
    </w:pPr>
  </w:style>
  <w:style w:type="paragraph" w:customStyle="1" w:styleId="RecommendationHeading">
    <w:name w:val="Recommendation Heading"/>
    <w:basedOn w:val="BodyText"/>
    <w:next w:val="RecommendationNumber"/>
    <w:uiPriority w:val="28"/>
    <w:unhideWhenUsed/>
    <w:rsid w:val="00CA364E"/>
    <w:pPr>
      <w:spacing w:before="280"/>
    </w:pPr>
    <w:rPr>
      <w:rFonts w:ascii="Franklin Gothic Demi" w:hAnsi="Franklin Gothic Demi"/>
      <w:caps/>
      <w:color w:val="6F6652" w:themeColor="text2"/>
      <w:spacing w:val="10"/>
    </w:rPr>
  </w:style>
  <w:style w:type="paragraph" w:customStyle="1" w:styleId="Subtitlebox">
    <w:name w:val="Subtitle box"/>
    <w:aliases w:val="chart,table"/>
    <w:basedOn w:val="Caption"/>
    <w:uiPriority w:val="5"/>
    <w:rsid w:val="00425BAF"/>
    <w:pPr>
      <w:spacing w:before="0"/>
    </w:pPr>
    <w:rPr>
      <w:rFonts w:ascii="Franklin Gothic Book" w:hAnsi="Franklin Gothic Book"/>
      <w:sz w:val="17"/>
    </w:rPr>
  </w:style>
  <w:style w:type="paragraph" w:styleId="BodyText">
    <w:name w:val="Body Text"/>
    <w:aliases w:val="bt,Concepto,Body Text - Level 2,Body Text Char2 Char,Body Text Char Char1 Char,Body Text Char1 Char Char Char,Body Text Char Char Char Char Char,Body Text Char1 Char1 Char,Body Text Char Char Char1 Char,Body Text Char2 Char Char Char,body text"/>
    <w:basedOn w:val="Normal"/>
    <w:link w:val="BodyTextChar"/>
    <w:uiPriority w:val="2"/>
    <w:qFormat/>
    <w:rsid w:val="00160C29"/>
    <w:pPr>
      <w:spacing w:before="140"/>
    </w:pPr>
    <w:rPr>
      <w:rFonts w:asciiTheme="minorHAnsi" w:eastAsia="Times New Roman" w:hAnsiTheme="minorHAnsi"/>
    </w:rPr>
  </w:style>
  <w:style w:type="paragraph" w:styleId="ListNumber2">
    <w:name w:val="List Number 2"/>
    <w:basedOn w:val="BodyText"/>
    <w:uiPriority w:val="2"/>
    <w:rsid w:val="00497862"/>
    <w:pPr>
      <w:numPr>
        <w:ilvl w:val="1"/>
        <w:numId w:val="31"/>
      </w:numPr>
      <w:spacing w:before="40"/>
    </w:pPr>
  </w:style>
  <w:style w:type="character" w:customStyle="1" w:styleId="BodyTextChar">
    <w:name w:val="Body Text Char"/>
    <w:aliases w:val="bt Char,Concepto Char,Body Text - Level 2 Char,Body Text Char2 Char Char,Body Text Char Char1 Char Char,Body Text Char1 Char Char Char Char,Body Text Char Char Char Char Char Char,Body Text Char1 Char1 Char Char,body text Char"/>
    <w:link w:val="BodyText"/>
    <w:uiPriority w:val="2"/>
    <w:rsid w:val="00160C29"/>
    <w:rPr>
      <w:rFonts w:asciiTheme="minorHAnsi" w:eastAsia="Times New Roman" w:hAnsiTheme="minorHAnsi"/>
    </w:rPr>
  </w:style>
  <w:style w:type="paragraph" w:styleId="Caption">
    <w:name w:val="caption"/>
    <w:basedOn w:val="BodyText"/>
    <w:next w:val="Subtitlebox"/>
    <w:link w:val="CaptionChar"/>
    <w:uiPriority w:val="28"/>
    <w:unhideWhenUsed/>
    <w:qFormat/>
    <w:rsid w:val="00160C29"/>
    <w:pPr>
      <w:keepNext/>
      <w:spacing w:before="360" w:after="80" w:line="260" w:lineRule="atLeast"/>
    </w:pPr>
    <w:rPr>
      <w:rFonts w:ascii="Franklin Gothic Demi" w:hAnsi="Franklin Gothic Demi"/>
      <w:szCs w:val="20"/>
    </w:rPr>
  </w:style>
  <w:style w:type="paragraph" w:customStyle="1" w:styleId="BoxHeading1">
    <w:name w:val="Box Heading 1"/>
    <w:basedOn w:val="Heading4"/>
    <w:next w:val="BodyText"/>
    <w:uiPriority w:val="9"/>
    <w:rsid w:val="009D667E"/>
    <w:pPr>
      <w:spacing w:before="240"/>
    </w:pPr>
    <w:rPr>
      <w:rFonts w:ascii="Franklin Gothic Demi" w:hAnsi="Franklin Gothic Demi"/>
      <w:b w:val="0"/>
      <w:i w:val="0"/>
      <w:color w:val="F61D12" w:themeColor="accent2"/>
    </w:rPr>
  </w:style>
  <w:style w:type="paragraph" w:customStyle="1" w:styleId="BoxHeading2">
    <w:name w:val="Box Heading 2"/>
    <w:basedOn w:val="BoxHeading1"/>
    <w:next w:val="BodyText"/>
    <w:uiPriority w:val="9"/>
    <w:rsid w:val="00F21CFB"/>
    <w:pPr>
      <w:spacing w:before="200"/>
    </w:pPr>
    <w:rPr>
      <w:rFonts w:ascii="Franklin Gothic Medium" w:hAnsi="Franklin Gothic Medium"/>
      <w:szCs w:val="20"/>
    </w:rPr>
  </w:style>
  <w:style w:type="paragraph" w:customStyle="1" w:styleId="ChartText">
    <w:name w:val="Chart Text"/>
    <w:basedOn w:val="TableTextEntries"/>
    <w:link w:val="ChartTextChar"/>
    <w:uiPriority w:val="23"/>
    <w:rsid w:val="00D10883"/>
    <w:pPr>
      <w:spacing w:before="0" w:after="0"/>
    </w:pPr>
    <w:rPr>
      <w:rFonts w:ascii="Franklin Gothic Medium" w:hAnsi="Franklin Gothic Medium"/>
    </w:rPr>
  </w:style>
  <w:style w:type="character" w:customStyle="1" w:styleId="ChartTextChar">
    <w:name w:val="Chart Text Char"/>
    <w:link w:val="ChartText"/>
    <w:uiPriority w:val="23"/>
    <w:rsid w:val="00D10883"/>
    <w:rPr>
      <w:rFonts w:ascii="Franklin Gothic Medium" w:eastAsia="Times New Roman" w:hAnsi="Franklin Gothic Medium"/>
      <w:sz w:val="16"/>
      <w:szCs w:val="18"/>
      <w:lang w:eastAsia="en-US"/>
    </w:rPr>
  </w:style>
  <w:style w:type="paragraph" w:customStyle="1" w:styleId="ChartBoldText">
    <w:name w:val="Chart Bold Text"/>
    <w:basedOn w:val="ChartText"/>
    <w:next w:val="ChartText"/>
    <w:uiPriority w:val="23"/>
    <w:rsid w:val="00DA2AB5"/>
    <w:pPr>
      <w:jc w:val="center"/>
    </w:pPr>
    <w:rPr>
      <w:rFonts w:ascii="Franklin Gothic Demi" w:hAnsi="Franklin Gothic Demi"/>
      <w:szCs w:val="17"/>
    </w:rPr>
  </w:style>
  <w:style w:type="paragraph" w:customStyle="1" w:styleId="ChartHighlight">
    <w:name w:val="Chart Highlight"/>
    <w:basedOn w:val="ChartBoldText"/>
    <w:uiPriority w:val="22"/>
    <w:rsid w:val="00DA2AB5"/>
    <w:pPr>
      <w:spacing w:line="220" w:lineRule="atLeast"/>
    </w:pPr>
    <w:rPr>
      <w:caps/>
      <w:sz w:val="20"/>
    </w:rPr>
  </w:style>
  <w:style w:type="paragraph" w:customStyle="1" w:styleId="Client">
    <w:name w:val="Client"/>
    <w:basedOn w:val="BodyText"/>
    <w:uiPriority w:val="32"/>
    <w:rsid w:val="00DA40B0"/>
    <w:pPr>
      <w:spacing w:before="0"/>
    </w:pPr>
    <w:rPr>
      <w:i/>
      <w:sz w:val="25"/>
    </w:rPr>
  </w:style>
  <w:style w:type="character" w:styleId="CommentReference">
    <w:name w:val="annotation reference"/>
    <w:basedOn w:val="BodyTextChar"/>
    <w:uiPriority w:val="49"/>
    <w:semiHidden/>
    <w:rsid w:val="000B2602"/>
    <w:rPr>
      <w:rFonts w:ascii="Franklin Gothic Demi" w:eastAsia="Times New Roman" w:hAnsi="Franklin Gothic Demi" w:cs="Times New Roman"/>
      <w:b w:val="0"/>
      <w:vanish/>
      <w:color w:val="FF00FF"/>
      <w:sz w:val="18"/>
      <w:szCs w:val="16"/>
    </w:rPr>
  </w:style>
  <w:style w:type="paragraph" w:styleId="CommentText">
    <w:name w:val="annotation text"/>
    <w:basedOn w:val="BodyText"/>
    <w:link w:val="CommentTextChar"/>
    <w:uiPriority w:val="49"/>
    <w:semiHidden/>
    <w:rsid w:val="00D83A2B"/>
    <w:pPr>
      <w:spacing w:before="80" w:line="240" w:lineRule="atLeast"/>
    </w:pPr>
    <w:rPr>
      <w:sz w:val="20"/>
      <w:szCs w:val="20"/>
    </w:rPr>
  </w:style>
  <w:style w:type="character" w:customStyle="1" w:styleId="CommentTextChar">
    <w:name w:val="Comment Text Char"/>
    <w:basedOn w:val="DefaultParagraphFont"/>
    <w:link w:val="CommentText"/>
    <w:uiPriority w:val="49"/>
    <w:semiHidden/>
    <w:rsid w:val="00D24560"/>
    <w:rPr>
      <w:rFonts w:asciiTheme="minorHAnsi" w:eastAsia="Times New Roman" w:hAnsiTheme="minorHAnsi"/>
      <w:sz w:val="20"/>
      <w:szCs w:val="20"/>
    </w:rPr>
  </w:style>
  <w:style w:type="numbering" w:customStyle="1" w:styleId="ChartListBullets">
    <w:name w:val="ChartListBullets"/>
    <w:uiPriority w:val="99"/>
    <w:rsid w:val="00CC4851"/>
    <w:pPr>
      <w:numPr>
        <w:numId w:val="3"/>
      </w:numPr>
    </w:pPr>
  </w:style>
  <w:style w:type="paragraph" w:customStyle="1" w:styleId="TableTextEntries">
    <w:name w:val="Table Text Entries"/>
    <w:basedOn w:val="BodyText"/>
    <w:link w:val="TableTextEntriesChar"/>
    <w:uiPriority w:val="13"/>
    <w:rsid w:val="00BA1241"/>
    <w:pPr>
      <w:keepLines/>
      <w:spacing w:before="80" w:after="80" w:line="200" w:lineRule="atLeast"/>
    </w:pPr>
    <w:rPr>
      <w:rFonts w:ascii="Franklin Gothic Book" w:hAnsi="Franklin Gothic Book"/>
      <w:sz w:val="16"/>
      <w:szCs w:val="18"/>
      <w:lang w:eastAsia="en-US"/>
    </w:rPr>
  </w:style>
  <w:style w:type="paragraph" w:customStyle="1" w:styleId="Note">
    <w:name w:val="Note"/>
    <w:basedOn w:val="TableTextEntries"/>
    <w:next w:val="Source"/>
    <w:link w:val="NoteCharChar"/>
    <w:uiPriority w:val="15"/>
    <w:rsid w:val="008D63BD"/>
    <w:pPr>
      <w:spacing w:before="40" w:after="0" w:line="180" w:lineRule="atLeast"/>
    </w:pPr>
    <w:rPr>
      <w:sz w:val="14"/>
      <w:szCs w:val="16"/>
    </w:rPr>
  </w:style>
  <w:style w:type="character" w:customStyle="1" w:styleId="NoteCharChar">
    <w:name w:val="Note Char Char"/>
    <w:link w:val="Note"/>
    <w:uiPriority w:val="15"/>
    <w:rsid w:val="008D63BD"/>
    <w:rPr>
      <w:rFonts w:ascii="Franklin Gothic Medium" w:eastAsia="Times New Roman" w:hAnsi="Franklin Gothic Medium" w:cs="Times New Roman"/>
      <w:sz w:val="14"/>
      <w:szCs w:val="16"/>
      <w:lang w:eastAsia="en-US"/>
    </w:rPr>
  </w:style>
  <w:style w:type="paragraph" w:customStyle="1" w:styleId="Source">
    <w:name w:val="Source"/>
    <w:basedOn w:val="Note"/>
    <w:next w:val="BodyText"/>
    <w:link w:val="SourceChar"/>
    <w:uiPriority w:val="16"/>
    <w:rsid w:val="008D63BD"/>
    <w:pPr>
      <w:spacing w:after="60"/>
    </w:pPr>
  </w:style>
  <w:style w:type="paragraph" w:customStyle="1" w:styleId="Continued">
    <w:name w:val="Continued"/>
    <w:basedOn w:val="Source"/>
    <w:next w:val="BodyText"/>
    <w:link w:val="ContinuedChar"/>
    <w:uiPriority w:val="17"/>
    <w:rsid w:val="00BA1241"/>
    <w:pPr>
      <w:jc w:val="right"/>
    </w:pPr>
  </w:style>
  <w:style w:type="paragraph" w:styleId="Title">
    <w:name w:val="Title"/>
    <w:basedOn w:val="Normal"/>
    <w:next w:val="Subtitle"/>
    <w:link w:val="TitleChar"/>
    <w:uiPriority w:val="29"/>
    <w:qFormat/>
    <w:rsid w:val="00160C29"/>
    <w:pPr>
      <w:spacing w:line="500" w:lineRule="atLeast"/>
    </w:pPr>
    <w:rPr>
      <w:rFonts w:asciiTheme="majorHAnsi" w:eastAsia="Times New Roman" w:hAnsiTheme="majorHAnsi"/>
      <w:spacing w:val="-2"/>
      <w:kern w:val="28"/>
      <w:sz w:val="44"/>
      <w:szCs w:val="48"/>
    </w:rPr>
  </w:style>
  <w:style w:type="character" w:customStyle="1" w:styleId="TitleChar">
    <w:name w:val="Title Char"/>
    <w:basedOn w:val="DefaultParagraphFont"/>
    <w:link w:val="Title"/>
    <w:uiPriority w:val="29"/>
    <w:rsid w:val="00160C29"/>
    <w:rPr>
      <w:rFonts w:asciiTheme="majorHAnsi" w:eastAsia="Times New Roman" w:hAnsiTheme="majorHAnsi"/>
      <w:spacing w:val="-2"/>
      <w:kern w:val="28"/>
      <w:sz w:val="44"/>
      <w:szCs w:val="48"/>
    </w:rPr>
  </w:style>
  <w:style w:type="paragraph" w:styleId="Subtitle">
    <w:name w:val="Subtitle"/>
    <w:basedOn w:val="Title"/>
    <w:link w:val="SubtitleChar"/>
    <w:uiPriority w:val="30"/>
    <w:qFormat/>
    <w:rsid w:val="00160C29"/>
    <w:pPr>
      <w:spacing w:before="280" w:line="320" w:lineRule="atLeast"/>
    </w:pPr>
    <w:rPr>
      <w:sz w:val="25"/>
      <w:szCs w:val="28"/>
    </w:rPr>
  </w:style>
  <w:style w:type="character" w:customStyle="1" w:styleId="SubtitleChar">
    <w:name w:val="Subtitle Char"/>
    <w:basedOn w:val="DefaultParagraphFont"/>
    <w:link w:val="Subtitle"/>
    <w:uiPriority w:val="30"/>
    <w:rsid w:val="00160C29"/>
    <w:rPr>
      <w:rFonts w:asciiTheme="majorHAnsi" w:eastAsia="Times New Roman" w:hAnsiTheme="majorHAnsi"/>
      <w:spacing w:val="-2"/>
      <w:kern w:val="28"/>
      <w:sz w:val="25"/>
      <w:szCs w:val="28"/>
    </w:rPr>
  </w:style>
  <w:style w:type="paragraph" w:styleId="Date">
    <w:name w:val="Date"/>
    <w:basedOn w:val="Subtitle"/>
    <w:link w:val="DateChar"/>
    <w:uiPriority w:val="33"/>
    <w:rsid w:val="00DA40B0"/>
    <w:pPr>
      <w:spacing w:before="140" w:line="280" w:lineRule="atLeast"/>
    </w:pPr>
    <w:rPr>
      <w:i/>
      <w:color w:val="6F6652" w:themeColor="text2"/>
      <w:spacing w:val="0"/>
    </w:rPr>
  </w:style>
  <w:style w:type="character" w:customStyle="1" w:styleId="DateChar">
    <w:name w:val="Date Char"/>
    <w:basedOn w:val="DefaultParagraphFont"/>
    <w:link w:val="Date"/>
    <w:uiPriority w:val="33"/>
    <w:rsid w:val="001624ED"/>
    <w:rPr>
      <w:rFonts w:asciiTheme="majorHAnsi" w:eastAsia="Times New Roman" w:hAnsiTheme="majorHAnsi"/>
      <w:i/>
      <w:color w:val="6F6652" w:themeColor="text2"/>
      <w:kern w:val="28"/>
      <w:sz w:val="25"/>
      <w:szCs w:val="28"/>
    </w:rPr>
  </w:style>
  <w:style w:type="character" w:customStyle="1" w:styleId="DraftingNote">
    <w:name w:val="Drafting Note"/>
    <w:uiPriority w:val="2"/>
    <w:rsid w:val="00F31AEF"/>
    <w:rPr>
      <w:rFonts w:asciiTheme="minorHAnsi" w:hAnsiTheme="minorHAnsi"/>
      <w:b/>
      <w:color w:val="0070C0"/>
      <w:u w:val="dotted"/>
    </w:rPr>
  </w:style>
  <w:style w:type="paragraph" w:styleId="Footer">
    <w:name w:val="footer"/>
    <w:basedOn w:val="BodyText"/>
    <w:link w:val="FooterChar"/>
    <w:uiPriority w:val="99"/>
    <w:rsid w:val="00B52205"/>
    <w:pPr>
      <w:spacing w:before="0" w:line="200" w:lineRule="atLeast"/>
    </w:pPr>
    <w:rPr>
      <w:i/>
      <w:color w:val="6F6652" w:themeColor="text2"/>
      <w:sz w:val="16"/>
      <w:szCs w:val="14"/>
    </w:rPr>
  </w:style>
  <w:style w:type="character" w:customStyle="1" w:styleId="FooterChar">
    <w:name w:val="Footer Char"/>
    <w:basedOn w:val="DefaultParagraphFont"/>
    <w:link w:val="Footer"/>
    <w:uiPriority w:val="99"/>
    <w:rsid w:val="001624ED"/>
    <w:rPr>
      <w:rFonts w:asciiTheme="minorHAnsi" w:eastAsia="Times New Roman" w:hAnsiTheme="minorHAnsi"/>
      <w:i/>
      <w:color w:val="6F6652" w:themeColor="text2"/>
      <w:sz w:val="16"/>
      <w:szCs w:val="14"/>
    </w:rPr>
  </w:style>
  <w:style w:type="character" w:styleId="FootnoteReference">
    <w:name w:val="footnote reference"/>
    <w:uiPriority w:val="25"/>
    <w:unhideWhenUsed/>
    <w:rsid w:val="008A036A"/>
    <w:rPr>
      <w:rFonts w:ascii="Calisto MT" w:hAnsi="Calisto MT"/>
      <w:b w:val="0"/>
      <w:i w:val="0"/>
      <w:color w:val="auto"/>
      <w:w w:val="100"/>
      <w:position w:val="4"/>
      <w:sz w:val="18"/>
      <w:szCs w:val="21"/>
      <w:vertAlign w:val="baseline"/>
    </w:rPr>
  </w:style>
  <w:style w:type="paragraph" w:styleId="FootnoteText">
    <w:name w:val="footnote text"/>
    <w:basedOn w:val="BodyText"/>
    <w:link w:val="FootnoteTextChar"/>
    <w:uiPriority w:val="25"/>
    <w:unhideWhenUsed/>
    <w:rsid w:val="008A036A"/>
    <w:pPr>
      <w:spacing w:before="80" w:line="240" w:lineRule="atLeast"/>
      <w:ind w:left="284" w:hanging="284"/>
    </w:pPr>
    <w:rPr>
      <w:sz w:val="19"/>
      <w:szCs w:val="18"/>
    </w:rPr>
  </w:style>
  <w:style w:type="character" w:customStyle="1" w:styleId="FootnoteTextChar">
    <w:name w:val="Footnote Text Char"/>
    <w:basedOn w:val="DefaultParagraphFont"/>
    <w:link w:val="FootnoteText"/>
    <w:uiPriority w:val="25"/>
    <w:rsid w:val="002812E4"/>
    <w:rPr>
      <w:rFonts w:asciiTheme="minorHAnsi" w:eastAsia="Times New Roman" w:hAnsiTheme="minorHAnsi"/>
      <w:sz w:val="19"/>
      <w:szCs w:val="18"/>
    </w:rPr>
  </w:style>
  <w:style w:type="paragraph" w:styleId="Header">
    <w:name w:val="header"/>
    <w:basedOn w:val="BodyText"/>
    <w:link w:val="HeaderChar"/>
    <w:uiPriority w:val="99"/>
    <w:rsid w:val="006D44B3"/>
    <w:pPr>
      <w:tabs>
        <w:tab w:val="left" w:pos="-567"/>
        <w:tab w:val="left" w:pos="0"/>
        <w:tab w:val="right" w:pos="7938"/>
        <w:tab w:val="right" w:pos="8505"/>
      </w:tabs>
      <w:spacing w:before="0" w:line="240" w:lineRule="auto"/>
      <w:ind w:left="-2268" w:right="-2268"/>
    </w:pPr>
    <w:rPr>
      <w:rFonts w:ascii="Franklin Gothic Medium" w:hAnsi="Franklin Gothic Medium"/>
      <w:sz w:val="14"/>
      <w:szCs w:val="14"/>
    </w:rPr>
  </w:style>
  <w:style w:type="character" w:customStyle="1" w:styleId="HeaderChar">
    <w:name w:val="Header Char"/>
    <w:basedOn w:val="DefaultParagraphFont"/>
    <w:link w:val="Header"/>
    <w:uiPriority w:val="99"/>
    <w:rsid w:val="006D44B3"/>
    <w:rPr>
      <w:rFonts w:ascii="Franklin Gothic Medium" w:eastAsia="Times New Roman" w:hAnsi="Franklin Gothic Medium"/>
      <w:sz w:val="14"/>
      <w:szCs w:val="14"/>
    </w:rPr>
  </w:style>
  <w:style w:type="character" w:customStyle="1" w:styleId="Heading1Char">
    <w:name w:val="Heading 1 Char"/>
    <w:aliases w:val="h1 Char,EOI - Heading 1 (Low) Char,Heading 1 (low) Char,Para1 Char,h11 Char,h12 Char,ChapterHeadingNumber Char,Top 1 Char,ParaLevel1 Char,Level 1 Para Char,Level 1 Para1 Char,Level 1 Para2 Char,Level 1 Para3 Char,Level 1 Para4 Char,1 Char"/>
    <w:basedOn w:val="DefaultParagraphFont"/>
    <w:link w:val="Heading1"/>
    <w:rsid w:val="00160C29"/>
    <w:rPr>
      <w:rFonts w:asciiTheme="majorHAnsi" w:eastAsia="Times New Roman" w:hAnsiTheme="majorHAnsi"/>
      <w:i/>
      <w:kern w:val="28"/>
      <w:sz w:val="36"/>
      <w:szCs w:val="32"/>
    </w:rPr>
  </w:style>
  <w:style w:type="character" w:customStyle="1" w:styleId="Heading2Char">
    <w:name w:val="Heading 2 Char"/>
    <w:aliases w:val="Para2 Char,h2 Char,BT-Legal Numbering Char,Head hdbk Char,Top 2 Char,H2 Char,h2 main heading Char,B Sub/Bold Char,B Sub/Bold1 Char,B Sub/Bold2 Char,B Sub/Bold11 Char,h2 main heading1 Char,h2 main heading2 Char,B Sub/Bold3 Char,Para 2 Char"/>
    <w:basedOn w:val="DefaultParagraphFont"/>
    <w:link w:val="Heading2"/>
    <w:rsid w:val="00160C29"/>
    <w:rPr>
      <w:rFonts w:asciiTheme="majorHAnsi" w:eastAsia="Times New Roman" w:hAnsiTheme="majorHAnsi"/>
      <w:b/>
      <w:i/>
      <w:color w:val="F61D12" w:themeColor="accent2"/>
      <w:kern w:val="28"/>
      <w:sz w:val="30"/>
      <w:szCs w:val="26"/>
    </w:rPr>
  </w:style>
  <w:style w:type="paragraph" w:styleId="ListBullet2">
    <w:name w:val="List Bullet 2"/>
    <w:basedOn w:val="ListBullet"/>
    <w:link w:val="ListBullet2Char"/>
    <w:uiPriority w:val="2"/>
    <w:qFormat/>
    <w:rsid w:val="004C31EE"/>
    <w:pPr>
      <w:numPr>
        <w:ilvl w:val="1"/>
      </w:numPr>
      <w:spacing w:before="40"/>
      <w:ind w:left="568" w:hanging="284"/>
    </w:pPr>
  </w:style>
  <w:style w:type="character" w:customStyle="1" w:styleId="Heading3Char">
    <w:name w:val="Heading 3 Char"/>
    <w:aliases w:val="Normal + num Char,Level 1 - 2 Char,h3 Char,EOI - Heading 3 Char,h3 sub heading Char,Para3 Char,Paragraph (heading 3) Char,BTL Numbered Char,L3 Char,3 Char,Level 1 - 1 Char,Report Heading 3 Char,d Char,Tempo Heading 3 Char,H3 Char,h31 Char"/>
    <w:basedOn w:val="DefaultParagraphFont"/>
    <w:link w:val="Heading3"/>
    <w:rsid w:val="00160C29"/>
    <w:rPr>
      <w:rFonts w:eastAsia="Times New Roman"/>
      <w:b/>
      <w:i/>
      <w:kern w:val="28"/>
      <w:sz w:val="25"/>
      <w:szCs w:val="22"/>
    </w:rPr>
  </w:style>
  <w:style w:type="character" w:customStyle="1" w:styleId="Heading4Char">
    <w:name w:val="Heading 4 Char"/>
    <w:aliases w:val="h4 Char,L4 Char,Level 2 - a Char,sd Char,Standard H3 Char,h41 Char,Titre 4 Char,1.1.1.1 Char,bullet Char,bl Char,bb Char,h4 sub sub heading Char,Level 2 - (a) Char,4 Char,Org Heading 2 Char,Sub3Para Char,proj4 Char,proj41 Char,proj42 Char"/>
    <w:basedOn w:val="DefaultParagraphFont"/>
    <w:link w:val="Heading4"/>
    <w:rsid w:val="00160C29"/>
    <w:rPr>
      <w:rFonts w:eastAsia="Times New Roman"/>
      <w:b/>
      <w:i/>
      <w:color w:val="6F6652" w:themeColor="text2"/>
      <w:kern w:val="28"/>
      <w:szCs w:val="22"/>
    </w:rPr>
  </w:style>
  <w:style w:type="character" w:customStyle="1" w:styleId="Heading5Char">
    <w:name w:val="Heading 5 Char"/>
    <w:aliases w:val="h5 Char,L5 Char,Level 3 - i Char,L51 Char,Para5 Char,i. Char,H1 Char,subsubpara Char,1.1.1.1.1 Char,H11 Char,3rd sub-clause Char,h51 Char,h52 Char,5 Char,H111 Char,VS5 Char"/>
    <w:basedOn w:val="DefaultParagraphFont"/>
    <w:link w:val="Heading5"/>
    <w:rsid w:val="00742A5F"/>
    <w:rPr>
      <w:rFonts w:asciiTheme="minorHAnsi" w:eastAsia="Times New Roman" w:hAnsiTheme="minorHAnsi"/>
      <w:i/>
      <w:color w:val="6F6652" w:themeColor="text2"/>
      <w:kern w:val="28"/>
      <w:szCs w:val="22"/>
    </w:rPr>
  </w:style>
  <w:style w:type="character" w:customStyle="1" w:styleId="Heading6Char">
    <w:name w:val="Heading 6 Char"/>
    <w:aliases w:val="Square Bullet list Char,Sub5Para Char,L1 PIP Char,a Char,b Char,H6 Char,Heading 6(unused) Char,Heading 6(unused)1 Char,VS6 Char"/>
    <w:basedOn w:val="DefaultParagraphFont"/>
    <w:link w:val="Heading6"/>
    <w:rsid w:val="00160C29"/>
    <w:rPr>
      <w:rFonts w:asciiTheme="majorHAnsi" w:eastAsia="Times New Roman" w:hAnsiTheme="majorHAnsi"/>
      <w:bCs/>
      <w:i/>
      <w:kern w:val="28"/>
      <w:sz w:val="36"/>
      <w:szCs w:val="32"/>
    </w:rPr>
  </w:style>
  <w:style w:type="character" w:customStyle="1" w:styleId="Heading7Char">
    <w:name w:val="Heading 7 Char"/>
    <w:aliases w:val="Indented hyphen Char,L2 PIP Char,H7 Char,Heading 7(unused) Char,Heading 7(unused)1 Char"/>
    <w:basedOn w:val="DefaultParagraphFont"/>
    <w:link w:val="Heading7"/>
    <w:rsid w:val="00182068"/>
    <w:rPr>
      <w:rFonts w:eastAsia="Times New Roman"/>
      <w:b/>
      <w:i/>
      <w:color w:val="F61D12" w:themeColor="accent2"/>
      <w:kern w:val="28"/>
      <w:sz w:val="30"/>
      <w:szCs w:val="26"/>
    </w:rPr>
  </w:style>
  <w:style w:type="character" w:customStyle="1" w:styleId="Heading8Char">
    <w:name w:val="Heading 8 Char"/>
    <w:aliases w:val="L3 PIP Char,H8 Char,Heading 8(unused) Char,Heading 8(unused)1 Char"/>
    <w:basedOn w:val="DefaultParagraphFont"/>
    <w:link w:val="Heading8"/>
    <w:rsid w:val="00160C29"/>
    <w:rPr>
      <w:rFonts w:eastAsia="Times New Roman"/>
      <w:b/>
      <w:i/>
      <w:kern w:val="28"/>
      <w:sz w:val="25"/>
      <w:szCs w:val="22"/>
    </w:rPr>
  </w:style>
  <w:style w:type="character" w:customStyle="1" w:styleId="Heading9Char">
    <w:name w:val="Heading 9 Char"/>
    <w:aliases w:val="Spare5 Char,H9 Char,Heading 9(unused) Char,Heading 9(unused)1 Char"/>
    <w:basedOn w:val="DefaultParagraphFont"/>
    <w:link w:val="Heading9"/>
    <w:rsid w:val="00160C29"/>
    <w:rPr>
      <w:rFonts w:eastAsia="Times New Roman"/>
      <w:b/>
      <w:i/>
      <w:kern w:val="28"/>
      <w:szCs w:val="22"/>
    </w:rPr>
  </w:style>
  <w:style w:type="character" w:styleId="Hyperlink">
    <w:name w:val="Hyperlink"/>
    <w:uiPriority w:val="99"/>
    <w:semiHidden/>
    <w:rsid w:val="00FE6AD6"/>
    <w:rPr>
      <w:b w:val="0"/>
      <w:i w:val="0"/>
      <w:color w:val="6F6652" w:themeColor="text2"/>
      <w:u w:val="none"/>
    </w:rPr>
  </w:style>
  <w:style w:type="paragraph" w:customStyle="1" w:styleId="Invisiblepara">
    <w:name w:val="Invisible para"/>
    <w:basedOn w:val="Normal"/>
    <w:uiPriority w:val="99"/>
    <w:rsid w:val="00664723"/>
    <w:pPr>
      <w:keepNext/>
      <w:spacing w:before="320" w:line="80" w:lineRule="exact"/>
    </w:pPr>
    <w:rPr>
      <w:rFonts w:eastAsia="Times New Roman"/>
      <w:szCs w:val="20"/>
    </w:rPr>
  </w:style>
  <w:style w:type="character" w:customStyle="1" w:styleId="NoteLabel">
    <w:name w:val="Note Label"/>
    <w:uiPriority w:val="15"/>
    <w:rsid w:val="008D63BD"/>
    <w:rPr>
      <w:rFonts w:ascii="Franklin Gothic Demi" w:hAnsi="Franklin Gothic Demi"/>
      <w:b w:val="0"/>
      <w:i w:val="0"/>
      <w:color w:val="9B917E" w:themeColor="accent4"/>
      <w:position w:val="4"/>
      <w:sz w:val="14"/>
      <w:szCs w:val="16"/>
    </w:rPr>
  </w:style>
  <w:style w:type="character" w:styleId="PageNumber">
    <w:name w:val="page number"/>
    <w:uiPriority w:val="99"/>
    <w:rsid w:val="00AB00C7"/>
    <w:rPr>
      <w:rFonts w:ascii="Franklin Gothic Demi" w:hAnsi="Franklin Gothic Demi"/>
      <w:b w:val="0"/>
      <w:color w:val="006B7A" w:themeColor="accent1"/>
      <w:sz w:val="20"/>
      <w:szCs w:val="20"/>
    </w:rPr>
  </w:style>
  <w:style w:type="paragraph" w:styleId="Quote">
    <w:name w:val="Quote"/>
    <w:basedOn w:val="BodyText"/>
    <w:next w:val="BodyText"/>
    <w:link w:val="QuoteChar"/>
    <w:uiPriority w:val="3"/>
    <w:qFormat/>
    <w:rsid w:val="00160C29"/>
    <w:pPr>
      <w:spacing w:before="70" w:line="260" w:lineRule="atLeast"/>
      <w:ind w:left="284"/>
    </w:pPr>
    <w:rPr>
      <w:sz w:val="19"/>
      <w:szCs w:val="20"/>
    </w:rPr>
  </w:style>
  <w:style w:type="character" w:customStyle="1" w:styleId="QuoteChar">
    <w:name w:val="Quote Char"/>
    <w:basedOn w:val="DefaultParagraphFont"/>
    <w:link w:val="Quote"/>
    <w:uiPriority w:val="3"/>
    <w:rsid w:val="00160C29"/>
    <w:rPr>
      <w:rFonts w:asciiTheme="minorHAnsi" w:eastAsia="Times New Roman" w:hAnsiTheme="minorHAnsi"/>
      <w:sz w:val="19"/>
      <w:szCs w:val="20"/>
    </w:rPr>
  </w:style>
  <w:style w:type="paragraph" w:customStyle="1" w:styleId="RecommendationNumber">
    <w:name w:val="Recommendation Number"/>
    <w:basedOn w:val="BodyText"/>
    <w:next w:val="RecommendationNumber2"/>
    <w:uiPriority w:val="28"/>
    <w:rsid w:val="002C0234"/>
    <w:pPr>
      <w:numPr>
        <w:numId w:val="10"/>
      </w:numPr>
      <w:spacing w:before="80"/>
    </w:pPr>
    <w:rPr>
      <w:rFonts w:ascii="Franklin Gothic Book" w:eastAsia="MS Mincho" w:hAnsi="Franklin Gothic Book" w:cs="MS Mincho"/>
    </w:rPr>
  </w:style>
  <w:style w:type="paragraph" w:customStyle="1" w:styleId="Reference">
    <w:name w:val="Reference"/>
    <w:basedOn w:val="BodyText"/>
    <w:uiPriority w:val="3"/>
    <w:qFormat/>
    <w:rsid w:val="00160C29"/>
    <w:pPr>
      <w:spacing w:before="70" w:line="260" w:lineRule="atLeast"/>
      <w:ind w:left="284" w:hanging="284"/>
    </w:pPr>
    <w:rPr>
      <w:sz w:val="19"/>
      <w:szCs w:val="20"/>
    </w:rPr>
  </w:style>
  <w:style w:type="paragraph" w:customStyle="1" w:styleId="Reporttype">
    <w:name w:val="Report type"/>
    <w:basedOn w:val="Date"/>
    <w:next w:val="Title"/>
    <w:uiPriority w:val="31"/>
    <w:rsid w:val="009A4238"/>
    <w:pPr>
      <w:spacing w:before="0" w:after="280" w:line="260" w:lineRule="atLeast"/>
    </w:pPr>
    <w:rPr>
      <w:rFonts w:ascii="Franklin Gothic Demi" w:hAnsi="Franklin Gothic Demi"/>
      <w:i w:val="0"/>
      <w:caps/>
      <w:color w:val="F61D12" w:themeColor="accent2"/>
      <w:spacing w:val="44"/>
      <w:sz w:val="22"/>
    </w:rPr>
  </w:style>
  <w:style w:type="paragraph" w:customStyle="1" w:styleId="TableDataEntries">
    <w:name w:val="Table Data Entries"/>
    <w:basedOn w:val="TableTextEntries"/>
    <w:uiPriority w:val="11"/>
    <w:rsid w:val="003C4883"/>
    <w:pPr>
      <w:spacing w:before="40" w:after="40"/>
      <w:jc w:val="right"/>
    </w:pPr>
  </w:style>
  <w:style w:type="paragraph" w:customStyle="1" w:styleId="TableDataColumnHeading">
    <w:name w:val="Table Data Column Heading"/>
    <w:basedOn w:val="TableDataEntries"/>
    <w:uiPriority w:val="11"/>
    <w:rsid w:val="00E879B8"/>
    <w:pPr>
      <w:keepNext/>
      <w:spacing w:before="80" w:after="80"/>
    </w:pPr>
    <w:rPr>
      <w:rFonts w:ascii="Franklin Gothic Demi" w:hAnsi="Franklin Gothic Demi"/>
      <w:color w:val="FFFFFF"/>
    </w:rPr>
  </w:style>
  <w:style w:type="paragraph" w:customStyle="1" w:styleId="TableHeading1">
    <w:name w:val="Table Heading 1"/>
    <w:basedOn w:val="TableTextEntries"/>
    <w:next w:val="TableTextEntries"/>
    <w:uiPriority w:val="10"/>
    <w:rsid w:val="00FC141A"/>
    <w:pPr>
      <w:spacing w:before="140"/>
    </w:pPr>
    <w:rPr>
      <w:rFonts w:ascii="Franklin Gothic Demi" w:hAnsi="Franklin Gothic Demi"/>
      <w:color w:val="6F6652" w:themeColor="text2"/>
    </w:rPr>
  </w:style>
  <w:style w:type="paragraph" w:customStyle="1" w:styleId="TableHeading2">
    <w:name w:val="Table Heading 2"/>
    <w:basedOn w:val="TableHeading1"/>
    <w:next w:val="TableTextEntries"/>
    <w:uiPriority w:val="10"/>
    <w:rsid w:val="00591C8C"/>
    <w:pPr>
      <w:spacing w:before="80"/>
    </w:pPr>
    <w:rPr>
      <w:rFonts w:ascii="Franklin Gothic Medium" w:hAnsi="Franklin Gothic Medium"/>
    </w:rPr>
  </w:style>
  <w:style w:type="paragraph" w:customStyle="1" w:styleId="TableTextColumnHeading">
    <w:name w:val="Table Text Column Heading"/>
    <w:basedOn w:val="TableDataColumnHeading"/>
    <w:uiPriority w:val="13"/>
    <w:rsid w:val="00D950CE"/>
    <w:pPr>
      <w:jc w:val="left"/>
    </w:pPr>
  </w:style>
  <w:style w:type="paragraph" w:customStyle="1" w:styleId="TableUnit">
    <w:name w:val="Table Unit"/>
    <w:basedOn w:val="TableDataColumnHeading"/>
    <w:next w:val="TableDataEntries"/>
    <w:uiPriority w:val="11"/>
    <w:rsid w:val="00AF5770"/>
    <w:rPr>
      <w:rFonts w:ascii="Franklin Gothic Book" w:hAnsi="Franklin Gothic Book"/>
      <w:color w:val="auto"/>
      <w:szCs w:val="17"/>
    </w:rPr>
  </w:style>
  <w:style w:type="paragraph" w:styleId="TOC1">
    <w:name w:val="toc 1"/>
    <w:basedOn w:val="BodyText"/>
    <w:next w:val="TOC2"/>
    <w:uiPriority w:val="39"/>
    <w:rsid w:val="006B34C3"/>
    <w:pPr>
      <w:tabs>
        <w:tab w:val="left" w:pos="340"/>
        <w:tab w:val="right" w:pos="7938"/>
      </w:tabs>
      <w:spacing w:line="260" w:lineRule="atLeast"/>
      <w:ind w:right="567"/>
    </w:pPr>
    <w:rPr>
      <w:rFonts w:ascii="Franklin Gothic Demi" w:hAnsi="Franklin Gothic Demi"/>
      <w:szCs w:val="24"/>
    </w:rPr>
  </w:style>
  <w:style w:type="paragraph" w:styleId="TOC2">
    <w:name w:val="toc 2"/>
    <w:basedOn w:val="TOC1"/>
    <w:uiPriority w:val="39"/>
    <w:rsid w:val="00D908FD"/>
    <w:pPr>
      <w:tabs>
        <w:tab w:val="clear" w:pos="340"/>
      </w:tabs>
      <w:spacing w:before="60"/>
      <w:ind w:left="340"/>
    </w:pPr>
    <w:rPr>
      <w:rFonts w:ascii="Calisto MT" w:hAnsi="Calisto MT"/>
    </w:rPr>
  </w:style>
  <w:style w:type="paragraph" w:styleId="TOC3">
    <w:name w:val="toc 3"/>
    <w:basedOn w:val="TOC2"/>
    <w:next w:val="BodyText"/>
    <w:uiPriority w:val="39"/>
    <w:semiHidden/>
    <w:rsid w:val="00D908FD"/>
    <w:pPr>
      <w:ind w:left="680"/>
    </w:pPr>
  </w:style>
  <w:style w:type="paragraph" w:styleId="TOC6">
    <w:name w:val="toc 6"/>
    <w:basedOn w:val="BodyText"/>
    <w:next w:val="BodyText"/>
    <w:uiPriority w:val="39"/>
    <w:semiHidden/>
    <w:rsid w:val="0052602A"/>
    <w:pPr>
      <w:tabs>
        <w:tab w:val="left" w:pos="284"/>
        <w:tab w:val="right" w:pos="7655"/>
      </w:tabs>
      <w:ind w:left="284" w:right="567" w:hanging="284"/>
    </w:pPr>
  </w:style>
  <w:style w:type="paragraph" w:styleId="TOC7">
    <w:name w:val="toc 7"/>
    <w:basedOn w:val="TOC6"/>
    <w:next w:val="TOC1"/>
    <w:uiPriority w:val="39"/>
    <w:semiHidden/>
    <w:rsid w:val="009C0B20"/>
    <w:pPr>
      <w:tabs>
        <w:tab w:val="left" w:pos="1418"/>
      </w:tabs>
      <w:spacing w:before="80"/>
      <w:ind w:left="709" w:hanging="425"/>
    </w:pPr>
  </w:style>
  <w:style w:type="numbering" w:customStyle="1" w:styleId="HeadingNumbers">
    <w:name w:val="HeadingNumbers"/>
    <w:uiPriority w:val="99"/>
    <w:rsid w:val="00FD7C5A"/>
    <w:pPr>
      <w:numPr>
        <w:numId w:val="5"/>
      </w:numPr>
    </w:pPr>
  </w:style>
  <w:style w:type="paragraph" w:customStyle="1" w:styleId="TableListBullet">
    <w:name w:val="Table List Bullet"/>
    <w:basedOn w:val="TableTextEntries"/>
    <w:uiPriority w:val="14"/>
    <w:rsid w:val="00E35B83"/>
    <w:pPr>
      <w:numPr>
        <w:numId w:val="9"/>
      </w:numPr>
      <w:spacing w:line="210" w:lineRule="atLeast"/>
    </w:pPr>
    <w:rPr>
      <w:szCs w:val="19"/>
    </w:rPr>
  </w:style>
  <w:style w:type="paragraph" w:customStyle="1" w:styleId="TableListBullet2">
    <w:name w:val="Table List Bullet 2"/>
    <w:basedOn w:val="TableListBullet"/>
    <w:uiPriority w:val="14"/>
    <w:rsid w:val="00B402A3"/>
    <w:pPr>
      <w:numPr>
        <w:ilvl w:val="1"/>
      </w:numPr>
    </w:pPr>
  </w:style>
  <w:style w:type="paragraph" w:customStyle="1" w:styleId="TableListNumber">
    <w:name w:val="Table List Number"/>
    <w:basedOn w:val="TableTextEntries"/>
    <w:uiPriority w:val="14"/>
    <w:rsid w:val="00497862"/>
    <w:pPr>
      <w:numPr>
        <w:numId w:val="1"/>
      </w:numPr>
      <w:spacing w:before="40" w:after="40"/>
    </w:pPr>
    <w:rPr>
      <w:szCs w:val="19"/>
    </w:rPr>
  </w:style>
  <w:style w:type="paragraph" w:customStyle="1" w:styleId="TableListNumber2">
    <w:name w:val="Table List Number 2"/>
    <w:basedOn w:val="TableListNumber"/>
    <w:uiPriority w:val="14"/>
    <w:rsid w:val="00B402A3"/>
    <w:pPr>
      <w:numPr>
        <w:ilvl w:val="1"/>
      </w:numPr>
    </w:pPr>
  </w:style>
  <w:style w:type="numbering" w:customStyle="1" w:styleId="TableListBullets">
    <w:name w:val="TableListBullets"/>
    <w:uiPriority w:val="99"/>
    <w:rsid w:val="00E35B83"/>
    <w:pPr>
      <w:numPr>
        <w:numId w:val="2"/>
      </w:numPr>
    </w:pPr>
  </w:style>
  <w:style w:type="numbering" w:customStyle="1" w:styleId="TableListNumbers">
    <w:name w:val="TableListNumbers"/>
    <w:uiPriority w:val="99"/>
    <w:rsid w:val="00497862"/>
    <w:pPr>
      <w:numPr>
        <w:numId w:val="1"/>
      </w:numPr>
    </w:pPr>
  </w:style>
  <w:style w:type="character" w:styleId="PlaceholderText">
    <w:name w:val="Placeholder Text"/>
    <w:basedOn w:val="DefaultParagraphFont"/>
    <w:uiPriority w:val="99"/>
    <w:semiHidden/>
    <w:rsid w:val="00AF4E66"/>
    <w:rPr>
      <w:color w:val="808080"/>
    </w:rPr>
  </w:style>
  <w:style w:type="paragraph" w:customStyle="1" w:styleId="ChartListBullet">
    <w:name w:val="Chart List Bullet"/>
    <w:basedOn w:val="TableListBullet"/>
    <w:uiPriority w:val="24"/>
    <w:rsid w:val="00CC4851"/>
    <w:pPr>
      <w:numPr>
        <w:numId w:val="3"/>
      </w:numPr>
      <w:spacing w:before="50" w:after="0" w:line="200" w:lineRule="atLeast"/>
    </w:pPr>
    <w:rPr>
      <w:rFonts w:ascii="Franklin Gothic Medium" w:hAnsi="Franklin Gothic Medium"/>
      <w:szCs w:val="18"/>
    </w:rPr>
  </w:style>
  <w:style w:type="paragraph" w:customStyle="1" w:styleId="ChartListBullet2">
    <w:name w:val="Chart List Bullet 2"/>
    <w:basedOn w:val="ChartText"/>
    <w:uiPriority w:val="24"/>
    <w:rsid w:val="00CC4851"/>
    <w:pPr>
      <w:numPr>
        <w:ilvl w:val="1"/>
        <w:numId w:val="3"/>
      </w:numPr>
      <w:spacing w:before="30"/>
    </w:pPr>
  </w:style>
  <w:style w:type="paragraph" w:customStyle="1" w:styleId="ChartListNumber0">
    <w:name w:val="Chart List Number"/>
    <w:basedOn w:val="ChartText"/>
    <w:uiPriority w:val="24"/>
    <w:rsid w:val="004563C5"/>
    <w:pPr>
      <w:numPr>
        <w:numId w:val="4"/>
      </w:numPr>
      <w:spacing w:before="60"/>
    </w:pPr>
  </w:style>
  <w:style w:type="numbering" w:customStyle="1" w:styleId="ChartListNumber">
    <w:name w:val="ChartListNumber"/>
    <w:uiPriority w:val="99"/>
    <w:rsid w:val="004563C5"/>
    <w:pPr>
      <w:numPr>
        <w:numId w:val="4"/>
      </w:numPr>
    </w:pPr>
  </w:style>
  <w:style w:type="numbering" w:customStyle="1" w:styleId="RecommendationNumbers">
    <w:name w:val="RecommendationNumbers"/>
    <w:uiPriority w:val="99"/>
    <w:rsid w:val="002C0234"/>
    <w:pPr>
      <w:numPr>
        <w:numId w:val="6"/>
      </w:numPr>
    </w:pPr>
  </w:style>
  <w:style w:type="paragraph" w:customStyle="1" w:styleId="Abbreviation">
    <w:name w:val="Abbreviation"/>
    <w:basedOn w:val="BodyText"/>
    <w:uiPriority w:val="3"/>
    <w:rsid w:val="002321B8"/>
    <w:pPr>
      <w:ind w:left="1134" w:hanging="1134"/>
    </w:pPr>
  </w:style>
  <w:style w:type="paragraph" w:styleId="TableofFigures">
    <w:name w:val="table of figures"/>
    <w:basedOn w:val="BodyText"/>
    <w:next w:val="BodyText"/>
    <w:uiPriority w:val="99"/>
    <w:rsid w:val="00830E27"/>
    <w:pPr>
      <w:tabs>
        <w:tab w:val="left" w:pos="510"/>
        <w:tab w:val="right" w:pos="7938"/>
      </w:tabs>
      <w:spacing w:before="60" w:line="260" w:lineRule="atLeast"/>
      <w:ind w:left="510" w:right="567" w:hanging="510"/>
    </w:pPr>
  </w:style>
  <w:style w:type="table" w:styleId="TableGrid">
    <w:name w:val="Table Grid"/>
    <w:aliases w:val="none,ICB Table,PB Table,1TableGrid,McLL Table General Text,SGS Numeric Table,GTA,EP Table Grid,CV table,EY Table,EY Question Table,EYTable,CV1,new tab,Equifax table,Header Table,Format for the table,Header Table Grid,E&amp;P Style 5,AEMO"/>
    <w:basedOn w:val="TableNormal"/>
    <w:uiPriority w:val="59"/>
    <w:rsid w:val="00C93691"/>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519F1"/>
    <w:rPr>
      <w:color w:val="9B917E" w:themeColor="followedHyperlink"/>
      <w:u w:val="single"/>
    </w:rPr>
  </w:style>
  <w:style w:type="paragraph" w:styleId="NoSpacing">
    <w:name w:val="No Spacing"/>
    <w:basedOn w:val="Normal"/>
    <w:uiPriority w:val="1"/>
    <w:semiHidden/>
    <w:qFormat/>
    <w:rsid w:val="00160C29"/>
    <w:pPr>
      <w:spacing w:line="240" w:lineRule="auto"/>
    </w:pPr>
    <w:rPr>
      <w:rFonts w:asciiTheme="minorHAnsi" w:eastAsiaTheme="minorHAnsi" w:hAnsiTheme="minorHAnsi"/>
      <w:color w:val="000000" w:themeColor="text1"/>
      <w:szCs w:val="20"/>
      <w:lang w:val="en-US" w:eastAsia="ja-JP"/>
    </w:rPr>
  </w:style>
  <w:style w:type="paragraph" w:styleId="CommentSubject">
    <w:name w:val="annotation subject"/>
    <w:basedOn w:val="CommentText"/>
    <w:next w:val="CommentText"/>
    <w:link w:val="CommentSubjectChar"/>
    <w:uiPriority w:val="99"/>
    <w:semiHidden/>
    <w:rsid w:val="00EB66C5"/>
    <w:pPr>
      <w:spacing w:before="0" w:line="240" w:lineRule="auto"/>
    </w:pPr>
    <w:rPr>
      <w:rFonts w:ascii="Calibri" w:eastAsiaTheme="minorEastAsia" w:hAnsi="Calibri" w:cstheme="minorBidi"/>
      <w:b/>
      <w:bCs/>
    </w:rPr>
  </w:style>
  <w:style w:type="character" w:customStyle="1" w:styleId="CommentSubjectChar">
    <w:name w:val="Comment Subject Char"/>
    <w:basedOn w:val="CommentTextChar"/>
    <w:link w:val="CommentSubject"/>
    <w:uiPriority w:val="99"/>
    <w:semiHidden/>
    <w:rsid w:val="002812E4"/>
    <w:rPr>
      <w:rFonts w:ascii="Calibri" w:eastAsia="Times New Roman" w:hAnsi="Calibri" w:cstheme="minorBidi"/>
      <w:b/>
      <w:bCs/>
      <w:sz w:val="20"/>
      <w:szCs w:val="20"/>
    </w:rPr>
  </w:style>
  <w:style w:type="paragraph" w:styleId="Revision">
    <w:name w:val="Revision"/>
    <w:hidden/>
    <w:uiPriority w:val="99"/>
    <w:semiHidden/>
    <w:rsid w:val="00EB66C5"/>
    <w:pPr>
      <w:spacing w:before="0" w:line="240" w:lineRule="auto"/>
    </w:pPr>
  </w:style>
  <w:style w:type="paragraph" w:styleId="BalloonText">
    <w:name w:val="Balloon Text"/>
    <w:basedOn w:val="Normal"/>
    <w:link w:val="BalloonTextChar"/>
    <w:semiHidden/>
    <w:unhideWhenUsed/>
    <w:rsid w:val="00EB66C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66C5"/>
    <w:rPr>
      <w:rFonts w:ascii="Tahoma" w:hAnsi="Tahoma" w:cs="Tahoma"/>
      <w:sz w:val="16"/>
      <w:szCs w:val="16"/>
    </w:rPr>
  </w:style>
  <w:style w:type="paragraph" w:customStyle="1" w:styleId="HighlightMessage">
    <w:name w:val="Highlight Message"/>
    <w:basedOn w:val="BodyText"/>
    <w:next w:val="BodyText"/>
    <w:rsid w:val="00814B8B"/>
    <w:pPr>
      <w:keepNext/>
      <w:spacing w:before="360" w:line="260" w:lineRule="atLeast"/>
      <w:ind w:right="1701"/>
    </w:pPr>
    <w:rPr>
      <w:rFonts w:ascii="Franklin Gothic Heavy" w:hAnsi="Franklin Gothic Heavy"/>
      <w:color w:val="F61D12" w:themeColor="accent2"/>
      <w:szCs w:val="16"/>
      <w:lang w:eastAsia="en-US"/>
    </w:rPr>
  </w:style>
  <w:style w:type="paragraph" w:customStyle="1" w:styleId="Chart">
    <w:name w:val="Chart"/>
    <w:basedOn w:val="BodyText"/>
    <w:uiPriority w:val="99"/>
    <w:unhideWhenUsed/>
    <w:rsid w:val="00576C2E"/>
    <w:pPr>
      <w:spacing w:before="0" w:line="200" w:lineRule="atLeast"/>
    </w:pPr>
    <w:rPr>
      <w:lang w:eastAsia="en-US"/>
    </w:rPr>
  </w:style>
  <w:style w:type="paragraph" w:customStyle="1" w:styleId="KeyPoint">
    <w:name w:val="Key Point"/>
    <w:basedOn w:val="BodyText"/>
    <w:uiPriority w:val="1"/>
    <w:rsid w:val="00825668"/>
    <w:pPr>
      <w:numPr>
        <w:numId w:val="13"/>
      </w:numPr>
    </w:pPr>
    <w:rPr>
      <w:rFonts w:ascii="Franklin Gothic Demi" w:hAnsi="Franklin Gothic Demi"/>
      <w:color w:val="6F6652" w:themeColor="text2"/>
      <w:szCs w:val="20"/>
      <w:lang w:eastAsia="en-US"/>
    </w:rPr>
  </w:style>
  <w:style w:type="paragraph" w:customStyle="1" w:styleId="ChapterSummary">
    <w:name w:val="Chapter Summary"/>
    <w:basedOn w:val="KeyPoint"/>
    <w:uiPriority w:val="1"/>
    <w:rsid w:val="00FC141A"/>
    <w:pPr>
      <w:numPr>
        <w:numId w:val="0"/>
      </w:numPr>
    </w:pPr>
  </w:style>
  <w:style w:type="paragraph" w:customStyle="1" w:styleId="ChapterIntroduction">
    <w:name w:val="Chapter Introduction"/>
    <w:basedOn w:val="ChapterSummary"/>
    <w:next w:val="BodyText"/>
    <w:uiPriority w:val="1"/>
    <w:rsid w:val="00A510ED"/>
    <w:pPr>
      <w:pBdr>
        <w:top w:val="single" w:sz="4" w:space="4" w:color="9B917E" w:themeColor="accent4"/>
        <w:bottom w:val="single" w:sz="4" w:space="6" w:color="9B917E" w:themeColor="accent4"/>
      </w:pBdr>
      <w:spacing w:after="180"/>
    </w:pPr>
    <w:rPr>
      <w:rFonts w:asciiTheme="minorHAnsi" w:hAnsiTheme="minorHAnsi"/>
      <w:b/>
      <w:i/>
      <w:color w:val="006B7A" w:themeColor="accent1"/>
      <w:sz w:val="22"/>
    </w:rPr>
  </w:style>
  <w:style w:type="paragraph" w:customStyle="1" w:styleId="Confidential">
    <w:name w:val="Confidential"/>
    <w:basedOn w:val="Reporttype"/>
    <w:uiPriority w:val="31"/>
    <w:rsid w:val="005D3C6B"/>
    <w:pPr>
      <w:spacing w:after="0"/>
    </w:pPr>
    <w:rPr>
      <w:rFonts w:ascii="Franklin Gothic Book" w:hAnsi="Franklin Gothic Book"/>
      <w:color w:val="auto"/>
      <w:spacing w:val="10"/>
    </w:rPr>
  </w:style>
  <w:style w:type="numbering" w:customStyle="1" w:styleId="ListNumbers">
    <w:name w:val="ListNumbers"/>
    <w:next w:val="NoList"/>
    <w:uiPriority w:val="99"/>
    <w:rsid w:val="00497862"/>
    <w:pPr>
      <w:numPr>
        <w:numId w:val="12"/>
      </w:numPr>
    </w:pPr>
  </w:style>
  <w:style w:type="paragraph" w:customStyle="1" w:styleId="PartNumber">
    <w:name w:val="Part Number"/>
    <w:basedOn w:val="Reporttype"/>
    <w:uiPriority w:val="34"/>
    <w:semiHidden/>
    <w:rsid w:val="006E03FF"/>
  </w:style>
  <w:style w:type="paragraph" w:customStyle="1" w:styleId="PartTitle">
    <w:name w:val="Part Title"/>
    <w:basedOn w:val="Title"/>
    <w:link w:val="PartTitleChar"/>
    <w:uiPriority w:val="34"/>
    <w:semiHidden/>
    <w:rsid w:val="00145444"/>
    <w:pPr>
      <w:spacing w:line="440" w:lineRule="atLeast"/>
    </w:pPr>
    <w:rPr>
      <w:sz w:val="36"/>
    </w:rPr>
  </w:style>
  <w:style w:type="character" w:customStyle="1" w:styleId="PartTitleChar">
    <w:name w:val="Part Title Char"/>
    <w:basedOn w:val="TitleChar"/>
    <w:link w:val="PartTitle"/>
    <w:uiPriority w:val="34"/>
    <w:semiHidden/>
    <w:rsid w:val="007B3F04"/>
    <w:rPr>
      <w:rFonts w:asciiTheme="majorHAnsi" w:eastAsia="Times New Roman" w:hAnsiTheme="majorHAnsi"/>
      <w:spacing w:val="-2"/>
      <w:kern w:val="28"/>
      <w:sz w:val="36"/>
      <w:szCs w:val="48"/>
    </w:rPr>
  </w:style>
  <w:style w:type="character" w:customStyle="1" w:styleId="ListBulletChar">
    <w:name w:val="List Bullet Char"/>
    <w:aliases w:val=" Char Char,Char Char"/>
    <w:link w:val="ListBullet"/>
    <w:uiPriority w:val="2"/>
    <w:locked/>
    <w:rsid w:val="00160C29"/>
    <w:rPr>
      <w:rFonts w:asciiTheme="minorHAnsi" w:eastAsia="Times New Roman" w:hAnsiTheme="minorHAnsi"/>
    </w:rPr>
  </w:style>
  <w:style w:type="paragraph" w:styleId="TOC4">
    <w:name w:val="toc 4"/>
    <w:basedOn w:val="TOC1"/>
    <w:next w:val="TOC1"/>
    <w:uiPriority w:val="39"/>
    <w:semiHidden/>
    <w:rsid w:val="00D908FD"/>
    <w:pPr>
      <w:spacing w:before="360"/>
      <w:ind w:right="0"/>
    </w:pPr>
    <w:rPr>
      <w:caps/>
      <w:color w:val="9B917E" w:themeColor="accent4"/>
      <w:spacing w:val="10"/>
      <w:sz w:val="22"/>
    </w:rPr>
  </w:style>
  <w:style w:type="paragraph" w:styleId="TOCHeading">
    <w:name w:val="TOC Heading"/>
    <w:basedOn w:val="Heading4"/>
    <w:next w:val="TableofFigures"/>
    <w:uiPriority w:val="39"/>
    <w:semiHidden/>
    <w:rsid w:val="00FC141A"/>
    <w:pPr>
      <w:keepLines/>
      <w:numPr>
        <w:ilvl w:val="0"/>
        <w:numId w:val="0"/>
      </w:numPr>
      <w:outlineLvl w:val="9"/>
    </w:pPr>
    <w:rPr>
      <w:rFonts w:ascii="Franklin Gothic Demi" w:eastAsiaTheme="majorEastAsia" w:hAnsi="Franklin Gothic Demi" w:cstheme="majorBidi"/>
      <w:b w:val="0"/>
      <w:bCs/>
      <w:i w:val="0"/>
      <w:caps/>
      <w:color w:val="006B7A" w:themeColor="accent1"/>
      <w:spacing w:val="10"/>
      <w:sz w:val="22"/>
      <w:szCs w:val="28"/>
    </w:rPr>
  </w:style>
  <w:style w:type="character" w:customStyle="1" w:styleId="ContinuedChar">
    <w:name w:val="Continued Char"/>
    <w:basedOn w:val="DefaultParagraphFont"/>
    <w:link w:val="Continued"/>
    <w:uiPriority w:val="17"/>
    <w:rsid w:val="007A2A3B"/>
    <w:rPr>
      <w:rFonts w:ascii="Franklin Gothic Book" w:eastAsia="Times New Roman" w:hAnsi="Franklin Gothic Book"/>
      <w:sz w:val="14"/>
      <w:szCs w:val="16"/>
      <w:lang w:eastAsia="en-US"/>
    </w:rPr>
  </w:style>
  <w:style w:type="paragraph" w:styleId="ListParagraph">
    <w:name w:val="List Paragraph"/>
    <w:basedOn w:val="Normal"/>
    <w:uiPriority w:val="34"/>
    <w:qFormat/>
    <w:rsid w:val="00160C29"/>
    <w:pPr>
      <w:ind w:left="720"/>
      <w:contextualSpacing/>
    </w:pPr>
  </w:style>
  <w:style w:type="character" w:customStyle="1" w:styleId="CaptionChar">
    <w:name w:val="Caption Char"/>
    <w:basedOn w:val="BodyTextChar"/>
    <w:link w:val="Caption"/>
    <w:uiPriority w:val="28"/>
    <w:rsid w:val="00160C29"/>
    <w:rPr>
      <w:rFonts w:ascii="Franklin Gothic Demi" w:eastAsia="Times New Roman" w:hAnsi="Franklin Gothic Demi"/>
      <w:szCs w:val="20"/>
    </w:rPr>
  </w:style>
  <w:style w:type="paragraph" w:customStyle="1" w:styleId="Summary2">
    <w:name w:val="Summary 2"/>
    <w:basedOn w:val="Heading2"/>
    <w:next w:val="BodyText"/>
    <w:rsid w:val="006544F3"/>
  </w:style>
  <w:style w:type="paragraph" w:customStyle="1" w:styleId="Summary3">
    <w:name w:val="Summary 3"/>
    <w:basedOn w:val="Heading3"/>
    <w:next w:val="BodyText"/>
    <w:rsid w:val="006544F3"/>
  </w:style>
  <w:style w:type="paragraph" w:customStyle="1" w:styleId="Summary4">
    <w:name w:val="Summary 4"/>
    <w:basedOn w:val="Heading4"/>
    <w:next w:val="BodyText"/>
    <w:rsid w:val="006544F3"/>
  </w:style>
  <w:style w:type="paragraph" w:customStyle="1" w:styleId="KeyPoint2">
    <w:name w:val="Key Point 2"/>
    <w:basedOn w:val="KeyPoint"/>
    <w:next w:val="BodyText"/>
    <w:uiPriority w:val="1"/>
    <w:rsid w:val="00825668"/>
    <w:pPr>
      <w:numPr>
        <w:ilvl w:val="1"/>
      </w:numPr>
      <w:spacing w:before="80"/>
    </w:pPr>
  </w:style>
  <w:style w:type="paragraph" w:customStyle="1" w:styleId="KeyPoint3">
    <w:name w:val="Key Point 3"/>
    <w:basedOn w:val="KeyPoint2"/>
    <w:next w:val="BodyText"/>
    <w:uiPriority w:val="1"/>
    <w:rsid w:val="00825668"/>
    <w:pPr>
      <w:numPr>
        <w:ilvl w:val="2"/>
      </w:numPr>
      <w:spacing w:before="60"/>
    </w:pPr>
  </w:style>
  <w:style w:type="numbering" w:customStyle="1" w:styleId="KeyPointBullets">
    <w:name w:val="KeyPointBullets"/>
    <w:basedOn w:val="ListBullets"/>
    <w:uiPriority w:val="99"/>
    <w:rsid w:val="00825668"/>
    <w:pPr>
      <w:numPr>
        <w:numId w:val="13"/>
      </w:numPr>
    </w:pPr>
  </w:style>
  <w:style w:type="numbering" w:customStyle="1" w:styleId="NoteListNumber">
    <w:name w:val="NoteListNumber"/>
    <w:uiPriority w:val="99"/>
    <w:rsid w:val="00E864C1"/>
    <w:pPr>
      <w:numPr>
        <w:numId w:val="14"/>
      </w:numPr>
    </w:pPr>
  </w:style>
  <w:style w:type="paragraph" w:styleId="NormalWeb">
    <w:name w:val="Normal (Web)"/>
    <w:basedOn w:val="Normal"/>
    <w:uiPriority w:val="99"/>
    <w:semiHidden/>
    <w:unhideWhenUsed/>
    <w:rsid w:val="0071617D"/>
    <w:pPr>
      <w:spacing w:before="100" w:beforeAutospacing="1" w:after="100" w:afterAutospacing="1" w:line="240" w:lineRule="auto"/>
    </w:pPr>
    <w:rPr>
      <w:rFonts w:ascii="Times New Roman" w:hAnsi="Times New Roman"/>
      <w:sz w:val="24"/>
      <w:szCs w:val="24"/>
    </w:rPr>
  </w:style>
  <w:style w:type="paragraph" w:customStyle="1" w:styleId="NoteNumber">
    <w:name w:val="Note Number"/>
    <w:basedOn w:val="Note"/>
    <w:uiPriority w:val="15"/>
    <w:rsid w:val="00E6555A"/>
    <w:pPr>
      <w:numPr>
        <w:ilvl w:val="1"/>
        <w:numId w:val="19"/>
      </w:numPr>
    </w:pPr>
    <w:rPr>
      <w:szCs w:val="15"/>
    </w:rPr>
  </w:style>
  <w:style w:type="table" w:customStyle="1" w:styleId="LayoutGrid">
    <w:name w:val="Layout Grid"/>
    <w:basedOn w:val="TableNormal"/>
    <w:uiPriority w:val="99"/>
    <w:rsid w:val="006D44B3"/>
    <w:pPr>
      <w:spacing w:before="0" w:line="240" w:lineRule="auto"/>
    </w:pPr>
    <w:tblPr>
      <w:tblCellMar>
        <w:left w:w="0" w:type="dxa"/>
        <w:right w:w="0" w:type="dxa"/>
      </w:tblCellMar>
    </w:tblPr>
  </w:style>
  <w:style w:type="paragraph" w:customStyle="1" w:styleId="Customtabletitle">
    <w:name w:val="Custom table title"/>
    <w:rsid w:val="005409B7"/>
    <w:pPr>
      <w:keepNext/>
      <w:spacing w:before="360" w:after="80" w:line="260" w:lineRule="atLeast"/>
    </w:pPr>
    <w:rPr>
      <w:rFonts w:ascii="Franklin Gothic Demi" w:eastAsia="Times New Roman" w:hAnsi="Franklin Gothic Demi"/>
      <w:szCs w:val="20"/>
    </w:rPr>
  </w:style>
  <w:style w:type="paragraph" w:customStyle="1" w:styleId="SenderAddress">
    <w:name w:val="Sender Address"/>
    <w:basedOn w:val="BodyText"/>
    <w:rsid w:val="00D4564F"/>
    <w:pPr>
      <w:tabs>
        <w:tab w:val="left" w:pos="1134"/>
      </w:tabs>
      <w:spacing w:before="0" w:after="120" w:line="260" w:lineRule="atLeast"/>
    </w:pPr>
    <w:rPr>
      <w:sz w:val="19"/>
    </w:rPr>
  </w:style>
  <w:style w:type="paragraph" w:customStyle="1" w:styleId="Disclaimer">
    <w:name w:val="Disclaimer"/>
    <w:basedOn w:val="Normal"/>
    <w:rsid w:val="00A838D1"/>
    <w:pPr>
      <w:spacing w:before="140"/>
    </w:pPr>
  </w:style>
  <w:style w:type="paragraph" w:customStyle="1" w:styleId="DisclaimerHeading">
    <w:name w:val="Disclaimer Heading"/>
    <w:basedOn w:val="BodyText"/>
    <w:rsid w:val="00A838D1"/>
    <w:pPr>
      <w:spacing w:before="1600"/>
    </w:pPr>
    <w:rPr>
      <w:rFonts w:ascii="Franklin Gothic Demi" w:hAnsi="Franklin Gothic Demi"/>
      <w:caps/>
      <w:spacing w:val="10"/>
      <w:szCs w:val="22"/>
    </w:rPr>
  </w:style>
  <w:style w:type="paragraph" w:customStyle="1" w:styleId="Heading1NotNumbered">
    <w:name w:val="Heading 1 NotNumbered"/>
    <w:basedOn w:val="Heading1"/>
    <w:next w:val="BodyText"/>
    <w:rsid w:val="00801EC2"/>
    <w:pPr>
      <w:numPr>
        <w:numId w:val="0"/>
      </w:numPr>
    </w:pPr>
    <w:rPr>
      <w:lang w:bidi="fa-IR"/>
    </w:rPr>
  </w:style>
  <w:style w:type="paragraph" w:customStyle="1" w:styleId="ShortReportCoverTagline">
    <w:name w:val="ShortReportCoverTagline"/>
    <w:basedOn w:val="BodyText"/>
    <w:rsid w:val="00BE67D2"/>
    <w:pPr>
      <w:spacing w:before="0" w:line="240" w:lineRule="auto"/>
    </w:pPr>
    <w:rPr>
      <w:rFonts w:ascii="Franklin Gothic Medium" w:hAnsi="Franklin Gothic Medium"/>
      <w:caps/>
      <w:color w:val="6F6652" w:themeColor="text2"/>
      <w:spacing w:val="10"/>
      <w:sz w:val="20"/>
    </w:rPr>
  </w:style>
  <w:style w:type="character" w:customStyle="1" w:styleId="ListBullet2Char">
    <w:name w:val="List Bullet 2 Char"/>
    <w:basedOn w:val="DefaultParagraphFont"/>
    <w:link w:val="ListBullet2"/>
    <w:uiPriority w:val="2"/>
    <w:locked/>
    <w:rsid w:val="00612FD3"/>
    <w:rPr>
      <w:rFonts w:asciiTheme="minorHAnsi" w:eastAsia="Times New Roman" w:hAnsiTheme="minorHAnsi"/>
    </w:rPr>
  </w:style>
  <w:style w:type="character" w:customStyle="1" w:styleId="SourceChar">
    <w:name w:val="Source Char"/>
    <w:basedOn w:val="DefaultParagraphFont"/>
    <w:link w:val="Source"/>
    <w:uiPriority w:val="16"/>
    <w:locked/>
    <w:rsid w:val="00612FD3"/>
    <w:rPr>
      <w:rFonts w:ascii="Franklin Gothic Book" w:eastAsia="Times New Roman" w:hAnsi="Franklin Gothic Book"/>
      <w:sz w:val="14"/>
      <w:szCs w:val="16"/>
      <w:lang w:eastAsia="en-US"/>
    </w:rPr>
  </w:style>
  <w:style w:type="character" w:customStyle="1" w:styleId="TableTextEntriesChar">
    <w:name w:val="Table Text Entries Char"/>
    <w:link w:val="TableTextEntries"/>
    <w:uiPriority w:val="13"/>
    <w:locked/>
    <w:rsid w:val="00612FD3"/>
    <w:rPr>
      <w:rFonts w:ascii="Franklin Gothic Book" w:eastAsia="Times New Roman" w:hAnsi="Franklin Gothic Book"/>
      <w:sz w:val="16"/>
      <w:szCs w:val="18"/>
      <w:lang w:eastAsia="en-US"/>
    </w:rPr>
  </w:style>
  <w:style w:type="character" w:customStyle="1" w:styleId="UnresolvedMention1">
    <w:name w:val="Unresolved Mention1"/>
    <w:basedOn w:val="DefaultParagraphFont"/>
    <w:uiPriority w:val="99"/>
    <w:semiHidden/>
    <w:unhideWhenUsed/>
    <w:rsid w:val="00612FD3"/>
    <w:rPr>
      <w:color w:val="808080"/>
      <w:shd w:val="clear" w:color="auto" w:fill="E6E6E6"/>
    </w:rPr>
  </w:style>
  <w:style w:type="character" w:customStyle="1" w:styleId="highlight">
    <w:name w:val="highlight"/>
    <w:basedOn w:val="DefaultParagraphFont"/>
    <w:rsid w:val="00612FD3"/>
  </w:style>
  <w:style w:type="character" w:customStyle="1" w:styleId="UnresolvedMention2">
    <w:name w:val="Unresolved Mention2"/>
    <w:basedOn w:val="DefaultParagraphFont"/>
    <w:uiPriority w:val="99"/>
    <w:semiHidden/>
    <w:unhideWhenUsed/>
    <w:rsid w:val="00612FD3"/>
    <w:rPr>
      <w:color w:val="808080"/>
      <w:shd w:val="clear" w:color="auto" w:fill="E6E6E6"/>
    </w:rPr>
  </w:style>
  <w:style w:type="character" w:customStyle="1" w:styleId="UnresolvedMention3">
    <w:name w:val="Unresolved Mention3"/>
    <w:basedOn w:val="DefaultParagraphFont"/>
    <w:uiPriority w:val="99"/>
    <w:semiHidden/>
    <w:unhideWhenUsed/>
    <w:rsid w:val="00612FD3"/>
    <w:rPr>
      <w:color w:val="808080"/>
      <w:shd w:val="clear" w:color="auto" w:fill="E6E6E6"/>
    </w:rPr>
  </w:style>
  <w:style w:type="character" w:customStyle="1" w:styleId="UnresolvedMention4">
    <w:name w:val="Unresolved Mention4"/>
    <w:basedOn w:val="DefaultParagraphFont"/>
    <w:uiPriority w:val="99"/>
    <w:semiHidden/>
    <w:unhideWhenUsed/>
    <w:rsid w:val="00612FD3"/>
    <w:rPr>
      <w:color w:val="808080"/>
      <w:shd w:val="clear" w:color="auto" w:fill="E6E6E6"/>
    </w:rPr>
  </w:style>
  <w:style w:type="character" w:customStyle="1" w:styleId="UnresolvedMention5">
    <w:name w:val="Unresolved Mention5"/>
    <w:basedOn w:val="DefaultParagraphFont"/>
    <w:uiPriority w:val="99"/>
    <w:semiHidden/>
    <w:unhideWhenUsed/>
    <w:rsid w:val="00612FD3"/>
    <w:rPr>
      <w:color w:val="808080"/>
      <w:shd w:val="clear" w:color="auto" w:fill="E6E6E6"/>
    </w:rPr>
  </w:style>
  <w:style w:type="character" w:customStyle="1" w:styleId="UnresolvedMention6">
    <w:name w:val="Unresolved Mention6"/>
    <w:basedOn w:val="DefaultParagraphFont"/>
    <w:uiPriority w:val="99"/>
    <w:semiHidden/>
    <w:unhideWhenUsed/>
    <w:rsid w:val="00B11CD4"/>
    <w:rPr>
      <w:color w:val="605E5C"/>
      <w:shd w:val="clear" w:color="auto" w:fill="E1DFDD"/>
    </w:rPr>
  </w:style>
  <w:style w:type="paragraph" w:customStyle="1" w:styleId="ExecSummaryBody">
    <w:name w:val="Exec Summary Body"/>
    <w:basedOn w:val="Normal"/>
    <w:link w:val="ExecSummaryBodyChar"/>
    <w:autoRedefine/>
    <w:uiPriority w:val="6"/>
    <w:qFormat/>
    <w:rsid w:val="00420E66"/>
    <w:pPr>
      <w:spacing w:after="100" w:afterAutospacing="1" w:line="240" w:lineRule="auto"/>
      <w:jc w:val="both"/>
    </w:pPr>
    <w:rPr>
      <w:rFonts w:ascii="Times New Roman" w:eastAsia="SimSun" w:hAnsi="Times New Roman" w:cstheme="minorBidi"/>
      <w:sz w:val="24"/>
      <w:szCs w:val="24"/>
      <w:lang w:eastAsia="en-US"/>
    </w:rPr>
  </w:style>
  <w:style w:type="character" w:customStyle="1" w:styleId="ExecSummaryBodyChar">
    <w:name w:val="Exec Summary Body Char"/>
    <w:basedOn w:val="DefaultParagraphFont"/>
    <w:link w:val="ExecSummaryBody"/>
    <w:uiPriority w:val="6"/>
    <w:rsid w:val="00420E66"/>
    <w:rPr>
      <w:rFonts w:ascii="Times New Roman" w:eastAsia="SimSun" w:hAnsi="Times New Roman" w:cstheme="minorBidi"/>
      <w:sz w:val="24"/>
      <w:szCs w:val="24"/>
      <w:lang w:eastAsia="en-US"/>
    </w:rPr>
  </w:style>
  <w:style w:type="character" w:customStyle="1" w:styleId="UnresolvedMention7">
    <w:name w:val="Unresolved Mention7"/>
    <w:basedOn w:val="DefaultParagraphFont"/>
    <w:uiPriority w:val="99"/>
    <w:semiHidden/>
    <w:unhideWhenUsed/>
    <w:rsid w:val="00BE65C3"/>
    <w:rPr>
      <w:color w:val="605E5C"/>
      <w:shd w:val="clear" w:color="auto" w:fill="E1DFDD"/>
    </w:rPr>
  </w:style>
  <w:style w:type="character" w:customStyle="1" w:styleId="UnresolvedMention">
    <w:name w:val="Unresolved Mention"/>
    <w:basedOn w:val="DefaultParagraphFont"/>
    <w:uiPriority w:val="99"/>
    <w:semiHidden/>
    <w:unhideWhenUsed/>
    <w:rsid w:val="00B876D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139476">
      <w:bodyDiv w:val="1"/>
      <w:marLeft w:val="0"/>
      <w:marRight w:val="0"/>
      <w:marTop w:val="0"/>
      <w:marBottom w:val="0"/>
      <w:divBdr>
        <w:top w:val="none" w:sz="0" w:space="0" w:color="auto"/>
        <w:left w:val="none" w:sz="0" w:space="0" w:color="auto"/>
        <w:bottom w:val="none" w:sz="0" w:space="0" w:color="auto"/>
        <w:right w:val="none" w:sz="0" w:space="0" w:color="auto"/>
      </w:divBdr>
    </w:div>
    <w:div w:id="106122297">
      <w:bodyDiv w:val="1"/>
      <w:marLeft w:val="0"/>
      <w:marRight w:val="0"/>
      <w:marTop w:val="0"/>
      <w:marBottom w:val="0"/>
      <w:divBdr>
        <w:top w:val="none" w:sz="0" w:space="0" w:color="auto"/>
        <w:left w:val="none" w:sz="0" w:space="0" w:color="auto"/>
        <w:bottom w:val="none" w:sz="0" w:space="0" w:color="auto"/>
        <w:right w:val="none" w:sz="0" w:space="0" w:color="auto"/>
      </w:divBdr>
    </w:div>
    <w:div w:id="315961375">
      <w:bodyDiv w:val="1"/>
      <w:marLeft w:val="0"/>
      <w:marRight w:val="0"/>
      <w:marTop w:val="0"/>
      <w:marBottom w:val="0"/>
      <w:divBdr>
        <w:top w:val="none" w:sz="0" w:space="0" w:color="auto"/>
        <w:left w:val="none" w:sz="0" w:space="0" w:color="auto"/>
        <w:bottom w:val="none" w:sz="0" w:space="0" w:color="auto"/>
        <w:right w:val="none" w:sz="0" w:space="0" w:color="auto"/>
      </w:divBdr>
    </w:div>
    <w:div w:id="344091921">
      <w:bodyDiv w:val="1"/>
      <w:marLeft w:val="0"/>
      <w:marRight w:val="0"/>
      <w:marTop w:val="0"/>
      <w:marBottom w:val="0"/>
      <w:divBdr>
        <w:top w:val="none" w:sz="0" w:space="0" w:color="auto"/>
        <w:left w:val="none" w:sz="0" w:space="0" w:color="auto"/>
        <w:bottom w:val="none" w:sz="0" w:space="0" w:color="auto"/>
        <w:right w:val="none" w:sz="0" w:space="0" w:color="auto"/>
      </w:divBdr>
    </w:div>
    <w:div w:id="463425384">
      <w:bodyDiv w:val="1"/>
      <w:marLeft w:val="0"/>
      <w:marRight w:val="0"/>
      <w:marTop w:val="0"/>
      <w:marBottom w:val="0"/>
      <w:divBdr>
        <w:top w:val="none" w:sz="0" w:space="0" w:color="auto"/>
        <w:left w:val="none" w:sz="0" w:space="0" w:color="auto"/>
        <w:bottom w:val="none" w:sz="0" w:space="0" w:color="auto"/>
        <w:right w:val="none" w:sz="0" w:space="0" w:color="auto"/>
      </w:divBdr>
    </w:div>
    <w:div w:id="583342551">
      <w:bodyDiv w:val="1"/>
      <w:marLeft w:val="0"/>
      <w:marRight w:val="0"/>
      <w:marTop w:val="0"/>
      <w:marBottom w:val="0"/>
      <w:divBdr>
        <w:top w:val="none" w:sz="0" w:space="0" w:color="auto"/>
        <w:left w:val="none" w:sz="0" w:space="0" w:color="auto"/>
        <w:bottom w:val="none" w:sz="0" w:space="0" w:color="auto"/>
        <w:right w:val="none" w:sz="0" w:space="0" w:color="auto"/>
      </w:divBdr>
    </w:div>
    <w:div w:id="686180482">
      <w:bodyDiv w:val="1"/>
      <w:marLeft w:val="0"/>
      <w:marRight w:val="0"/>
      <w:marTop w:val="0"/>
      <w:marBottom w:val="0"/>
      <w:divBdr>
        <w:top w:val="none" w:sz="0" w:space="0" w:color="auto"/>
        <w:left w:val="none" w:sz="0" w:space="0" w:color="auto"/>
        <w:bottom w:val="none" w:sz="0" w:space="0" w:color="auto"/>
        <w:right w:val="none" w:sz="0" w:space="0" w:color="auto"/>
      </w:divBdr>
    </w:div>
    <w:div w:id="739599403">
      <w:bodyDiv w:val="1"/>
      <w:marLeft w:val="0"/>
      <w:marRight w:val="0"/>
      <w:marTop w:val="0"/>
      <w:marBottom w:val="0"/>
      <w:divBdr>
        <w:top w:val="none" w:sz="0" w:space="0" w:color="auto"/>
        <w:left w:val="none" w:sz="0" w:space="0" w:color="auto"/>
        <w:bottom w:val="none" w:sz="0" w:space="0" w:color="auto"/>
        <w:right w:val="none" w:sz="0" w:space="0" w:color="auto"/>
      </w:divBdr>
    </w:div>
    <w:div w:id="842163472">
      <w:bodyDiv w:val="1"/>
      <w:marLeft w:val="0"/>
      <w:marRight w:val="0"/>
      <w:marTop w:val="0"/>
      <w:marBottom w:val="0"/>
      <w:divBdr>
        <w:top w:val="none" w:sz="0" w:space="0" w:color="auto"/>
        <w:left w:val="none" w:sz="0" w:space="0" w:color="auto"/>
        <w:bottom w:val="none" w:sz="0" w:space="0" w:color="auto"/>
        <w:right w:val="none" w:sz="0" w:space="0" w:color="auto"/>
      </w:divBdr>
    </w:div>
    <w:div w:id="886532716">
      <w:bodyDiv w:val="1"/>
      <w:marLeft w:val="0"/>
      <w:marRight w:val="0"/>
      <w:marTop w:val="0"/>
      <w:marBottom w:val="0"/>
      <w:divBdr>
        <w:top w:val="none" w:sz="0" w:space="0" w:color="auto"/>
        <w:left w:val="none" w:sz="0" w:space="0" w:color="auto"/>
        <w:bottom w:val="none" w:sz="0" w:space="0" w:color="auto"/>
        <w:right w:val="none" w:sz="0" w:space="0" w:color="auto"/>
      </w:divBdr>
    </w:div>
    <w:div w:id="915242328">
      <w:bodyDiv w:val="1"/>
      <w:marLeft w:val="0"/>
      <w:marRight w:val="0"/>
      <w:marTop w:val="0"/>
      <w:marBottom w:val="0"/>
      <w:divBdr>
        <w:top w:val="none" w:sz="0" w:space="0" w:color="auto"/>
        <w:left w:val="none" w:sz="0" w:space="0" w:color="auto"/>
        <w:bottom w:val="none" w:sz="0" w:space="0" w:color="auto"/>
        <w:right w:val="none" w:sz="0" w:space="0" w:color="auto"/>
      </w:divBdr>
    </w:div>
    <w:div w:id="1135217215">
      <w:bodyDiv w:val="1"/>
      <w:marLeft w:val="0"/>
      <w:marRight w:val="0"/>
      <w:marTop w:val="0"/>
      <w:marBottom w:val="0"/>
      <w:divBdr>
        <w:top w:val="none" w:sz="0" w:space="0" w:color="auto"/>
        <w:left w:val="none" w:sz="0" w:space="0" w:color="auto"/>
        <w:bottom w:val="none" w:sz="0" w:space="0" w:color="auto"/>
        <w:right w:val="none" w:sz="0" w:space="0" w:color="auto"/>
      </w:divBdr>
    </w:div>
    <w:div w:id="1298536351">
      <w:bodyDiv w:val="1"/>
      <w:marLeft w:val="0"/>
      <w:marRight w:val="0"/>
      <w:marTop w:val="0"/>
      <w:marBottom w:val="0"/>
      <w:divBdr>
        <w:top w:val="none" w:sz="0" w:space="0" w:color="auto"/>
        <w:left w:val="none" w:sz="0" w:space="0" w:color="auto"/>
        <w:bottom w:val="none" w:sz="0" w:space="0" w:color="auto"/>
        <w:right w:val="none" w:sz="0" w:space="0" w:color="auto"/>
      </w:divBdr>
    </w:div>
    <w:div w:id="1599872206">
      <w:bodyDiv w:val="1"/>
      <w:marLeft w:val="0"/>
      <w:marRight w:val="0"/>
      <w:marTop w:val="0"/>
      <w:marBottom w:val="0"/>
      <w:divBdr>
        <w:top w:val="none" w:sz="0" w:space="0" w:color="auto"/>
        <w:left w:val="none" w:sz="0" w:space="0" w:color="auto"/>
        <w:bottom w:val="none" w:sz="0" w:space="0" w:color="auto"/>
        <w:right w:val="none" w:sz="0" w:space="0" w:color="auto"/>
      </w:divBdr>
    </w:div>
    <w:div w:id="1729380864">
      <w:bodyDiv w:val="1"/>
      <w:marLeft w:val="0"/>
      <w:marRight w:val="0"/>
      <w:marTop w:val="0"/>
      <w:marBottom w:val="0"/>
      <w:divBdr>
        <w:top w:val="none" w:sz="0" w:space="0" w:color="auto"/>
        <w:left w:val="none" w:sz="0" w:space="0" w:color="auto"/>
        <w:bottom w:val="none" w:sz="0" w:space="0" w:color="auto"/>
        <w:right w:val="none" w:sz="0" w:space="0" w:color="auto"/>
      </w:divBdr>
    </w:div>
    <w:div w:id="1806581583">
      <w:bodyDiv w:val="1"/>
      <w:marLeft w:val="0"/>
      <w:marRight w:val="0"/>
      <w:marTop w:val="0"/>
      <w:marBottom w:val="0"/>
      <w:divBdr>
        <w:top w:val="none" w:sz="0" w:space="0" w:color="auto"/>
        <w:left w:val="none" w:sz="0" w:space="0" w:color="auto"/>
        <w:bottom w:val="none" w:sz="0" w:space="0" w:color="auto"/>
        <w:right w:val="none" w:sz="0" w:space="0" w:color="auto"/>
      </w:divBdr>
    </w:div>
    <w:div w:id="1826584029">
      <w:bodyDiv w:val="1"/>
      <w:marLeft w:val="0"/>
      <w:marRight w:val="0"/>
      <w:marTop w:val="0"/>
      <w:marBottom w:val="0"/>
      <w:divBdr>
        <w:top w:val="none" w:sz="0" w:space="0" w:color="auto"/>
        <w:left w:val="none" w:sz="0" w:space="0" w:color="auto"/>
        <w:bottom w:val="none" w:sz="0" w:space="0" w:color="auto"/>
        <w:right w:val="none" w:sz="0" w:space="0" w:color="auto"/>
      </w:divBdr>
    </w:div>
    <w:div w:id="1948271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2.emf"/><Relationship Id="rId39" Type="http://schemas.openxmlformats.org/officeDocument/2006/relationships/image" Target="media/image15.emf"/><Relationship Id="rId21" Type="http://schemas.openxmlformats.org/officeDocument/2006/relationships/header" Target="header4.xml"/><Relationship Id="rId34" Type="http://schemas.openxmlformats.org/officeDocument/2006/relationships/image" Target="media/image10.emf"/><Relationship Id="rId42" Type="http://schemas.openxmlformats.org/officeDocument/2006/relationships/image" Target="media/image18.emf"/><Relationship Id="rId47" Type="http://schemas.openxmlformats.org/officeDocument/2006/relationships/hyperlink" Target="https://nabers.gov.au/public/WebPages/ContentStandard.aspx?module=21&amp;template=3&amp;id=220" TargetMode="External"/><Relationship Id="rId50" Type="http://schemas.openxmlformats.org/officeDocument/2006/relationships/hyperlink" Target="https://www.payscale.com/research/AU/Job=Building_Surveyor/Salary" TargetMode="External"/><Relationship Id="rId55" Type="http://schemas.openxmlformats.org/officeDocument/2006/relationships/hyperlink" Target="https://www.iea.org/publications/freepublications/publication/mind_the_gap.pdf" TargetMode="External"/><Relationship Id="rId63" Type="http://schemas.openxmlformats.org/officeDocument/2006/relationships/image" Target="media/image31.emf"/><Relationship Id="rId68" Type="http://schemas.openxmlformats.org/officeDocument/2006/relationships/image" Target="media/image36.emf"/><Relationship Id="rId76" Type="http://schemas.openxmlformats.org/officeDocument/2006/relationships/image" Target="media/image44.png"/><Relationship Id="rId84" Type="http://schemas.openxmlformats.org/officeDocument/2006/relationships/image" Target="media/image51.emf"/><Relationship Id="rId89" Type="http://schemas.openxmlformats.org/officeDocument/2006/relationships/footer" Target="footer6.xml"/><Relationship Id="rId7" Type="http://schemas.openxmlformats.org/officeDocument/2006/relationships/styles" Target="styles.xml"/><Relationship Id="rId71" Type="http://schemas.openxmlformats.org/officeDocument/2006/relationships/image" Target="media/image39.emf"/><Relationship Id="rId9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5.emf"/><Relationship Id="rId11" Type="http://schemas.openxmlformats.org/officeDocument/2006/relationships/endnotes" Target="endnotes.xml"/><Relationship Id="rId24" Type="http://schemas.openxmlformats.org/officeDocument/2006/relationships/footer" Target="footer5.xml"/><Relationship Id="rId32" Type="http://schemas.openxmlformats.org/officeDocument/2006/relationships/image" Target="media/image8.emf"/><Relationship Id="rId37" Type="http://schemas.openxmlformats.org/officeDocument/2006/relationships/image" Target="media/image13.emf"/><Relationship Id="rId40" Type="http://schemas.openxmlformats.org/officeDocument/2006/relationships/image" Target="media/image16.emf"/><Relationship Id="rId45" Type="http://schemas.openxmlformats.org/officeDocument/2006/relationships/image" Target="media/image21.emf"/><Relationship Id="rId53" Type="http://schemas.openxmlformats.org/officeDocument/2006/relationships/image" Target="media/image23.emf"/><Relationship Id="rId58" Type="http://schemas.openxmlformats.org/officeDocument/2006/relationships/image" Target="media/image27.emf"/><Relationship Id="rId66" Type="http://schemas.openxmlformats.org/officeDocument/2006/relationships/image" Target="media/image34.emf"/><Relationship Id="rId74" Type="http://schemas.openxmlformats.org/officeDocument/2006/relationships/image" Target="media/image42.emf"/><Relationship Id="rId79" Type="http://schemas.openxmlformats.org/officeDocument/2006/relationships/image" Target="media/image47.tmp"/><Relationship Id="rId87" Type="http://schemas.openxmlformats.org/officeDocument/2006/relationships/header" Target="header6.xml"/><Relationship Id="rId5" Type="http://schemas.openxmlformats.org/officeDocument/2006/relationships/customXml" Target="../customXml/item5.xml"/><Relationship Id="rId61" Type="http://schemas.openxmlformats.org/officeDocument/2006/relationships/hyperlink" Target="https://www.commercialrealestate.com.au/news/wp-content/uploads/2015/07/Car-Parking-White-Paper-2015-1.pdf" TargetMode="External"/><Relationship Id="rId82" Type="http://schemas.openxmlformats.org/officeDocument/2006/relationships/image" Target="media/image49.emf"/><Relationship Id="rId90" Type="http://schemas.openxmlformats.org/officeDocument/2006/relationships/footer" Target="footer7.xml"/><Relationship Id="rId19" Type="http://schemas.openxmlformats.org/officeDocument/2006/relationships/hyperlink" Target="http://www.TheCIE.com.au" TargetMode="External"/><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image" Target="media/image3.emf"/><Relationship Id="rId30" Type="http://schemas.openxmlformats.org/officeDocument/2006/relationships/image" Target="media/image6.emf"/><Relationship Id="rId35" Type="http://schemas.openxmlformats.org/officeDocument/2006/relationships/image" Target="media/image11.emf"/><Relationship Id="rId43" Type="http://schemas.openxmlformats.org/officeDocument/2006/relationships/image" Target="media/image19.emf"/><Relationship Id="rId48" Type="http://schemas.openxmlformats.org/officeDocument/2006/relationships/hyperlink" Target="https://aca.org.au/article/2017-salary-survey-findings" TargetMode="External"/><Relationship Id="rId56" Type="http://schemas.openxmlformats.org/officeDocument/2006/relationships/image" Target="media/image25.emf"/><Relationship Id="rId64" Type="http://schemas.openxmlformats.org/officeDocument/2006/relationships/image" Target="media/image32.emf"/><Relationship Id="rId69" Type="http://schemas.openxmlformats.org/officeDocument/2006/relationships/image" Target="media/image37.emf"/><Relationship Id="rId77" Type="http://schemas.openxmlformats.org/officeDocument/2006/relationships/image" Target="media/image45.png"/><Relationship Id="rId8" Type="http://schemas.openxmlformats.org/officeDocument/2006/relationships/settings" Target="settings.xml"/><Relationship Id="rId51" Type="http://schemas.openxmlformats.org/officeDocument/2006/relationships/hyperlink" Target="https://aca.org.au/article/2017-salary-survey-findings" TargetMode="External"/><Relationship Id="rId72" Type="http://schemas.openxmlformats.org/officeDocument/2006/relationships/image" Target="media/image40.emf"/><Relationship Id="rId80" Type="http://schemas.openxmlformats.org/officeDocument/2006/relationships/hyperlink" Target="https://www.abcb.gov.au/Resources/Tools-Calculators/Climate-Zone-Map-Australia-Wide" TargetMode="External"/><Relationship Id="rId85" Type="http://schemas.openxmlformats.org/officeDocument/2006/relationships/image" Target="media/image52.emf"/><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hyperlink" Target="http://www.scca.org.au/wp-content/uploads/2015/06/Shopping-Centre-Industry-Statisctics-August-2015_FINAL.pdf" TargetMode="External"/><Relationship Id="rId33" Type="http://schemas.openxmlformats.org/officeDocument/2006/relationships/image" Target="media/image9.emf"/><Relationship Id="rId38" Type="http://schemas.openxmlformats.org/officeDocument/2006/relationships/image" Target="media/image14.emf"/><Relationship Id="rId46" Type="http://schemas.openxmlformats.org/officeDocument/2006/relationships/image" Target="media/image22.emf"/><Relationship Id="rId59" Type="http://schemas.openxmlformats.org/officeDocument/2006/relationships/image" Target="media/image28.emf"/><Relationship Id="rId67" Type="http://schemas.openxmlformats.org/officeDocument/2006/relationships/image" Target="media/image35.emf"/><Relationship Id="rId20" Type="http://schemas.openxmlformats.org/officeDocument/2006/relationships/hyperlink" Target="mailto:cie@TheCIE.com.au" TargetMode="External"/><Relationship Id="rId41" Type="http://schemas.openxmlformats.org/officeDocument/2006/relationships/image" Target="media/image17.emf"/><Relationship Id="rId54" Type="http://schemas.openxmlformats.org/officeDocument/2006/relationships/image" Target="media/image24.emf"/><Relationship Id="rId62" Type="http://schemas.openxmlformats.org/officeDocument/2006/relationships/image" Target="media/image30.emf"/><Relationship Id="rId70" Type="http://schemas.openxmlformats.org/officeDocument/2006/relationships/image" Target="media/image38.emf"/><Relationship Id="rId75" Type="http://schemas.openxmlformats.org/officeDocument/2006/relationships/image" Target="media/image43.png"/><Relationship Id="rId83" Type="http://schemas.openxmlformats.org/officeDocument/2006/relationships/image" Target="media/image50.emf"/><Relationship Id="rId88" Type="http://schemas.openxmlformats.org/officeDocument/2006/relationships/header" Target="header7.xml"/><Relationship Id="rId91"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oter" Target="footer4.xml"/><Relationship Id="rId28" Type="http://schemas.openxmlformats.org/officeDocument/2006/relationships/image" Target="media/image4.png"/><Relationship Id="rId36" Type="http://schemas.openxmlformats.org/officeDocument/2006/relationships/image" Target="media/image12.emf"/><Relationship Id="rId49" Type="http://schemas.openxmlformats.org/officeDocument/2006/relationships/hyperlink" Target="https://www.payscale.com/research/AU/Job=Service_Engineer/Salary" TargetMode="External"/><Relationship Id="rId57" Type="http://schemas.openxmlformats.org/officeDocument/2006/relationships/image" Target="media/image26.emf"/><Relationship Id="rId10" Type="http://schemas.openxmlformats.org/officeDocument/2006/relationships/footnotes" Target="footnotes.xml"/><Relationship Id="rId31" Type="http://schemas.openxmlformats.org/officeDocument/2006/relationships/image" Target="media/image7.emf"/><Relationship Id="rId44" Type="http://schemas.openxmlformats.org/officeDocument/2006/relationships/image" Target="media/image20.emf"/><Relationship Id="rId52" Type="http://schemas.openxmlformats.org/officeDocument/2006/relationships/hyperlink" Target="https://www.payscale.com/" TargetMode="External"/><Relationship Id="rId60" Type="http://schemas.openxmlformats.org/officeDocument/2006/relationships/image" Target="media/image29.emf"/><Relationship Id="rId65" Type="http://schemas.openxmlformats.org/officeDocument/2006/relationships/image" Target="media/image33.emf"/><Relationship Id="rId73" Type="http://schemas.openxmlformats.org/officeDocument/2006/relationships/image" Target="media/image41.emf"/><Relationship Id="rId78" Type="http://schemas.openxmlformats.org/officeDocument/2006/relationships/image" Target="media/image46.tmp"/><Relationship Id="rId81" Type="http://schemas.openxmlformats.org/officeDocument/2006/relationships/image" Target="media/image48.emf"/><Relationship Id="rId86" Type="http://schemas.openxmlformats.org/officeDocument/2006/relationships/image" Target="media/image53.emf"/><Relationship Id="rId4" Type="http://schemas.openxmlformats.org/officeDocument/2006/relationships/customXml" Target="../customXml/item4.xml"/><Relationship Id="rId9" Type="http://schemas.openxmlformats.org/officeDocument/2006/relationships/webSettings" Target="webSettings.xml"/></Relationships>
</file>

<file path=word/_rels/footnotes.xml.rels><?xml version="1.0" encoding="UTF-8" standalone="yes"?>
<Relationships xmlns="http://schemas.openxmlformats.org/package/2006/relationships"><Relationship Id="rId8" Type="http://schemas.openxmlformats.org/officeDocument/2006/relationships/hyperlink" Target="https://nabers.gov.au/public/WebPages/ContentStandard.aspx?module=21&amp;template=3&amp;id=220" TargetMode="External"/><Relationship Id="rId13" Type="http://schemas.openxmlformats.org/officeDocument/2006/relationships/hyperlink" Target="http://www.scca.org.au/wp-content/uploads/2015/06/Shopping-Centre-Industry-Statisctics-August-2015_FINAL.pdf" TargetMode="External"/><Relationship Id="rId18" Type="http://schemas.openxmlformats.org/officeDocument/2006/relationships/hyperlink" Target="http://www.cityofsydney.nsw.gov.au/__data/assets/pdf_file/0019/225127/150216_EC_ITEM02_ATTACHMENTB.PDF" TargetMode="External"/><Relationship Id="rId3" Type="http://schemas.openxmlformats.org/officeDocument/2006/relationships/hyperlink" Target="http://unfccc.int/paris_agreement/items/9485.php" TargetMode="External"/><Relationship Id="rId7" Type="http://schemas.openxmlformats.org/officeDocument/2006/relationships/hyperlink" Target="https://www.environment.gov.au/system/files/energy/files/pathway-to-2020-for-increased-stringency-in-new-building-energy-efficiency-standards-2016-update.pdf" TargetMode="External"/><Relationship Id="rId12" Type="http://schemas.openxmlformats.org/officeDocument/2006/relationships/hyperlink" Target="http://pdf.savills.asia/asia-pacific-research/australian-research/australia-industrial/savillsresearch-spotlight-keytransactions-industrialsales2017.pdf" TargetMode="External"/><Relationship Id="rId17" Type="http://schemas.openxmlformats.org/officeDocument/2006/relationships/hyperlink" Target="http://www1.health.nsw.gov.au/pds/ActivePDSDocuments/GL2011_006.pdf" TargetMode="External"/><Relationship Id="rId2" Type="http://schemas.openxmlformats.org/officeDocument/2006/relationships/hyperlink" Target="http://www.environment.gov.au/climate-change/publications/factsheet-australias-2030-climate-change-target" TargetMode="External"/><Relationship Id="rId16" Type="http://schemas.openxmlformats.org/officeDocument/2006/relationships/hyperlink" Target="https://eprints.qut.edu.au/27538/1/27538.pdf" TargetMode="External"/><Relationship Id="rId1" Type="http://schemas.openxmlformats.org/officeDocument/2006/relationships/hyperlink" Target="http://unfccc.int/paris_agreement/items/9485.php" TargetMode="External"/><Relationship Id="rId6" Type="http://schemas.openxmlformats.org/officeDocument/2006/relationships/hyperlink" Target="https://www.thefifthestate.com.au/business/government/mandatory-disclosure-of-energy-ratings-for-shopping-centres-is-off-the-table" TargetMode="External"/><Relationship Id="rId11" Type="http://schemas.openxmlformats.org/officeDocument/2006/relationships/hyperlink" Target="http://cbd.gov.au/overview-of-the-program/what-is-cbd" TargetMode="External"/><Relationship Id="rId5" Type="http://schemas.openxmlformats.org/officeDocument/2006/relationships/hyperlink" Target="https://www.climateworksaustralia.org/project/national-projects/low-carbon-growth-plan-australia" TargetMode="External"/><Relationship Id="rId15" Type="http://schemas.openxmlformats.org/officeDocument/2006/relationships/hyperlink" Target="https://www.cityofadelaide.com.au/assets/building_refurbishment_guide.pdf" TargetMode="External"/><Relationship Id="rId10" Type="http://schemas.openxmlformats.org/officeDocument/2006/relationships/hyperlink" Target="https://www.eex.gov.au/sectors/commercial-buildings" TargetMode="External"/><Relationship Id="rId4" Type="http://schemas.openxmlformats.org/officeDocument/2006/relationships/hyperlink" Target="http://www.environment.gov.au/climate-change/publications/factsheet-australias-2030-climate-change-target" TargetMode="External"/><Relationship Id="rId9" Type="http://schemas.openxmlformats.org/officeDocument/2006/relationships/hyperlink" Target="https://www.eex.gov.au/sectors/commercial-buildings" TargetMode="External"/><Relationship Id="rId14" Type="http://schemas.openxmlformats.org/officeDocument/2006/relationships/hyperlink" Target="http://www.theage.com.au/victoria/melbournes-new-wave-of-skyscrapers-could-survive-100-years-20150317-1m1dmx.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eree%20Brittain\AppData\Roaming\Microsoft\Templates\2016%20Templates\Report%20CIE%202016.dotm" TargetMode="External"/></Relationships>
</file>

<file path=word/theme/theme1.xml><?xml version="1.0" encoding="utf-8"?>
<a:theme xmlns:a="http://schemas.openxmlformats.org/drawingml/2006/main" name="TheCIE">
  <a:themeElements>
    <a:clrScheme name="TheCIE">
      <a:dk1>
        <a:sysClr val="windowText" lastClr="000000"/>
      </a:dk1>
      <a:lt1>
        <a:sysClr val="window" lastClr="FFFFFF"/>
      </a:lt1>
      <a:dk2>
        <a:srgbClr val="6F6652"/>
      </a:dk2>
      <a:lt2>
        <a:srgbClr val="E9E8E5"/>
      </a:lt2>
      <a:accent1>
        <a:srgbClr val="006B7A"/>
      </a:accent1>
      <a:accent2>
        <a:srgbClr val="F61D12"/>
      </a:accent2>
      <a:accent3>
        <a:srgbClr val="C6BFAB"/>
      </a:accent3>
      <a:accent4>
        <a:srgbClr val="9B917E"/>
      </a:accent4>
      <a:accent5>
        <a:srgbClr val="6F6652"/>
      </a:accent5>
      <a:accent6>
        <a:srgbClr val="9AC2C4"/>
      </a:accent6>
      <a:hlink>
        <a:srgbClr val="6F6652"/>
      </a:hlink>
      <a:folHlink>
        <a:srgbClr val="9B917E"/>
      </a:folHlink>
    </a:clrScheme>
    <a:fontScheme name="TheCIE">
      <a:majorFont>
        <a:latin typeface="Calisto MT"/>
        <a:ea typeface=""/>
        <a:cs typeface=""/>
      </a:majorFont>
      <a:minorFont>
        <a:latin typeface="Calisto M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747801E7A2C904FAC92F725580384C4" ma:contentTypeVersion="20" ma:contentTypeDescription="Create a new document." ma:contentTypeScope="" ma:versionID="e748f86080f5968b6927a9d9c4b7d8c2">
  <xsd:schema xmlns:xsd="http://www.w3.org/2001/XMLSchema" xmlns:xs="http://www.w3.org/2001/XMLSchema" xmlns:p="http://schemas.microsoft.com/office/2006/metadata/properties" xmlns:ns1="http://schemas.microsoft.com/sharepoint/v3" xmlns:ns2="d064c82f-d8ab-4a3d-94af-5f326bc58d2d" xmlns:ns3="3f1aeb51-4fdd-4d4f-be9c-84114083ce18" xmlns:ns4="http://schemas.microsoft.com/sharepoint/v4" targetNamespace="http://schemas.microsoft.com/office/2006/metadata/properties" ma:root="true" ma:fieldsID="caf50bf69abfda339f0e78ed62a03f61" ns1:_="" ns2:_="" ns3:_="" ns4:_="">
    <xsd:import namespace="http://schemas.microsoft.com/sharepoint/v3"/>
    <xsd:import namespace="d064c82f-d8ab-4a3d-94af-5f326bc58d2d"/>
    <xsd:import namespace="3f1aeb51-4fdd-4d4f-be9c-84114083ce18"/>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2:l1a88c2376b24639a56abe4766a10326" minOccurs="0"/>
                <xsd:element ref="ns3:h57e951089fd4d1780b430f8060783db" minOccurs="0"/>
                <xsd:element ref="ns2:DocHub_MeetingNumber" minOccurs="0"/>
                <xsd:element ref="ns2:SharedWithUsers"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64c82f-d8ab-4a3d-94af-5f326bc58d2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ba7ee364-b2a1-4f0a-a954-3c284f763d4f}" ma:internalName="TaxCatchAll" ma:showField="CatchAllData" ma:web="d064c82f-d8ab-4a3d-94af-5f326bc58d2d">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49b4ab08-24a7-4c85-9f80-4fe3e469e22f"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element name="l1a88c2376b24639a56abe4766a10326" ma:index="24" ma:taxonomy="true" ma:internalName="l1a88c2376b24639a56abe4766a10326" ma:taxonomyFieldName="DocHub_Project" ma:displayName="Project" ma:indexed="true" ma:default="" ma:fieldId="{51a88c23-76b2-4639-a56a-be4766a10326}" ma:sspId="fb0313f7-9433-48c0-866e-9e0bbee59a50" ma:termSetId="fe2c8be7-6eec-4ae4-8675-911d48a886b6" ma:anchorId="00000000-0000-0000-0000-000000000000" ma:open="false" ma:isKeyword="false">
      <xsd:complexType>
        <xsd:sequence>
          <xsd:element ref="pc:Terms" minOccurs="0" maxOccurs="1"/>
        </xsd:sequence>
      </xsd:complexType>
    </xsd:element>
    <xsd:element name="DocHub_MeetingNumber" ma:index="28" nillable="true" ma:displayName="Meeting Number" ma:decimals="0" ma:description="Meeting Number assigned by Organiser" ma:indexed="true" ma:internalName="DocHub_MeetingNumber">
      <xsd:simpleType>
        <xsd:restriction base="dms:Number"/>
      </xsd:simpleType>
    </xsd:element>
    <xsd:element name="SharedWithUsers" ma:index="2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f1aeb51-4fdd-4d4f-be9c-84114083ce18" elementFormDefault="qualified">
    <xsd:import namespace="http://schemas.microsoft.com/office/2006/documentManagement/types"/>
    <xsd:import namespace="http://schemas.microsoft.com/office/infopath/2007/PartnerControls"/>
    <xsd:element name="h57e951089fd4d1780b430f8060783db" ma:index="27" nillable="true" ma:taxonomy="true" ma:internalName="h57e951089fd4d1780b430f8060783db" ma:taxonomyFieldName="DocHub_Lifecycle1" ma:displayName="Lifecycle" ma:indexed="true" ma:default="" ma:fieldId="{157e9510-89fd-4d17-80b4-30f8060783db}" ma:sspId="fb0313f7-9433-48c0-866e-9e0bbee59a50" ma:termSetId="1c93c2ce-5151-4e66-9c7b-260db01b1166"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3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n99e4c9942c6404eb103464a00e6097b xmlns="d064c82f-d8ab-4a3d-94af-5f326bc58d2d">
      <Terms xmlns="http://schemas.microsoft.com/office/infopath/2007/PartnerControls">
        <TermInfo xmlns="http://schemas.microsoft.com/office/infopath/2007/PartnerControls">
          <TermName>2018</TermName>
          <TermId>224abc7b-6f7e-4064-b773-6750976429b5</TermId>
        </TermInfo>
      </Terms>
    </n99e4c9942c6404eb103464a00e6097b>
    <adb9bed2e36e4a93af574aeb444da63e xmlns="d064c82f-d8ab-4a3d-94af-5f326bc58d2d">
      <Terms xmlns="http://schemas.microsoft.com/office/infopath/2007/PartnerControls"/>
    </adb9bed2e36e4a93af574aeb444da63e>
    <aa25a1a23adf4c92a153145de6afe324 xmlns="d064c82f-d8ab-4a3d-94af-5f326bc58d2d">
      <Terms xmlns="http://schemas.microsoft.com/office/infopath/2007/PartnerControls">
        <TermInfo xmlns="http://schemas.microsoft.com/office/infopath/2007/PartnerControls">
          <TermName>For Official Use Only</TermName>
          <TermId>11f6fb0b-52ce-4109-8f7f-521b2a62f692</TermId>
        </TermInfo>
      </Terms>
    </aa25a1a23adf4c92a153145de6afe324>
    <pe2555c81638466f9eb614edb9ecde52 xmlns="d064c82f-d8ab-4a3d-94af-5f326bc58d2d">
      <Terms xmlns="http://schemas.microsoft.com/office/infopath/2007/PartnerControls">
        <TermInfo xmlns="http://schemas.microsoft.com/office/infopath/2007/PartnerControls">
          <TermName>Analysis</TermName>
          <TermId>48c54089-4c01-49cb-b266-0173afb66157</TermId>
        </TermInfo>
      </Terms>
    </pe2555c81638466f9eb614edb9ecde52>
    <IconOverlay xmlns="http://schemas.microsoft.com/sharepoint/v4" xsi:nil="true"/>
    <g7bcb40ba23249a78edca7d43a67c1c9 xmlns="d064c82f-d8ab-4a3d-94af-5f326bc58d2d">
      <Terms xmlns="http://schemas.microsoft.com/office/infopath/2007/PartnerControls">
        <TermInfo xmlns="http://schemas.microsoft.com/office/infopath/2007/PartnerControls">
          <TermName>Analysis</TermName>
          <TermId>f03549ca-48e3-445d-9616-5df11514ff56</TermId>
        </TermInfo>
      </Terms>
    </g7bcb40ba23249a78edca7d43a67c1c9>
    <h57e951089fd4d1780b430f8060783db xmlns="3f1aeb51-4fdd-4d4f-be9c-84114083ce18">
      <Terms xmlns="http://schemas.microsoft.com/office/infopath/2007/PartnerControls">
        <TermInfo xmlns="http://schemas.microsoft.com/office/infopath/2007/PartnerControls">
          <TermName>Final</TermName>
          <TermId>21f488c8-8e5c-4bb0-bc93-482cbb072704</TermId>
        </TermInfo>
      </Terms>
    </h57e951089fd4d1780b430f8060783db>
    <l1a88c2376b24639a56abe4766a10326 xmlns="d064c82f-d8ab-4a3d-94af-5f326bc58d2d">
      <Terms xmlns="http://schemas.microsoft.com/office/infopath/2007/PartnerControls">
        <TermInfo xmlns="http://schemas.microsoft.com/office/infopath/2007/PartnerControls">
          <TermName>Commercial Energy Efficiency</TermName>
          <TermId>6535c027-9b85-4974-90e6-77b13a42077a</TermId>
        </TermInfo>
      </Terms>
    </l1a88c2376b24639a56abe4766a10326>
    <DocHub_MeetingNumber xmlns="d064c82f-d8ab-4a3d-94af-5f326bc58d2d" xsi:nil="true"/>
    <TaxCatchAll xmlns="d064c82f-d8ab-4a3d-94af-5f326bc58d2d">
      <Value>16</Value>
      <Value>48</Value>
      <Value>268</Value>
      <Value>530</Value>
      <Value>70</Value>
      <Value>578</Value>
    </TaxCatchAll>
    <Comments xmlns="http://schemas.microsoft.com/sharepoint/v3">With preliminary SK comment</Comments>
    <_dlc_DocId xmlns="d064c82f-d8ab-4a3d-94af-5f326bc58d2d">WUYEHK7WH6H4-997630503-655</_dlc_DocId>
    <_dlc_DocIdUrl xmlns="d064c82f-d8ab-4a3d-94af-5f326bc58d2d">
      <Url>https://dochub/div/australianbuildingcodesboard/businessfunctions/consultation/regulationimpactanalysis/_layouts/15/DocIdRedir.aspx?ID=WUYEHK7WH6H4-997630503-655</Url>
      <Description>WUYEHK7WH6H4-997630503-655</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E4E3467D-21F5-429D-AB89-51D768D3D5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064c82f-d8ab-4a3d-94af-5f326bc58d2d"/>
    <ds:schemaRef ds:uri="3f1aeb51-4fdd-4d4f-be9c-84114083ce18"/>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AC4BAF6-8453-4D2F-B0A8-3B3C0F50F5D1}">
  <ds:schemaRefs>
    <ds:schemaRef ds:uri="http://purl.org/dc/terms/"/>
    <ds:schemaRef ds:uri="http://schemas.microsoft.com/office/2006/documentManagement/types"/>
    <ds:schemaRef ds:uri="http://purl.org/dc/dcmitype/"/>
    <ds:schemaRef ds:uri="http://purl.org/dc/elements/1.1/"/>
    <ds:schemaRef ds:uri="http://schemas.microsoft.com/office/2006/metadata/properties"/>
    <ds:schemaRef ds:uri="d064c82f-d8ab-4a3d-94af-5f326bc58d2d"/>
    <ds:schemaRef ds:uri="http://schemas.microsoft.com/office/infopath/2007/PartnerControls"/>
    <ds:schemaRef ds:uri="http://schemas.microsoft.com/sharepoint/v3"/>
    <ds:schemaRef ds:uri="http://schemas.openxmlformats.org/package/2006/metadata/core-properties"/>
    <ds:schemaRef ds:uri="http://schemas.microsoft.com/sharepoint/v4"/>
    <ds:schemaRef ds:uri="3f1aeb51-4fdd-4d4f-be9c-84114083ce18"/>
    <ds:schemaRef ds:uri="http://www.w3.org/XML/1998/namespace"/>
  </ds:schemaRefs>
</ds:datastoreItem>
</file>

<file path=customXml/itemProps3.xml><?xml version="1.0" encoding="utf-8"?>
<ds:datastoreItem xmlns:ds="http://schemas.openxmlformats.org/officeDocument/2006/customXml" ds:itemID="{E832CB2E-ACF3-4ACD-AF84-9FA8667C26AA}">
  <ds:schemaRefs>
    <ds:schemaRef ds:uri="http://schemas.microsoft.com/sharepoint/v3/contenttype/forms"/>
  </ds:schemaRefs>
</ds:datastoreItem>
</file>

<file path=customXml/itemProps4.xml><?xml version="1.0" encoding="utf-8"?>
<ds:datastoreItem xmlns:ds="http://schemas.openxmlformats.org/officeDocument/2006/customXml" ds:itemID="{6230D7A0-2F32-4EA5-B3E3-AC5AC40C284C}">
  <ds:schemaRefs>
    <ds:schemaRef ds:uri="http://schemas.microsoft.com/sharepoint/events"/>
  </ds:schemaRefs>
</ds:datastoreItem>
</file>

<file path=customXml/itemProps5.xml><?xml version="1.0" encoding="utf-8"?>
<ds:datastoreItem xmlns:ds="http://schemas.openxmlformats.org/officeDocument/2006/customXml" ds:itemID="{721826C4-377B-42FB-8F45-59F667756B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CIE 2016</Template>
  <TotalTime>477</TotalTime>
  <Pages>38</Pages>
  <Words>84069</Words>
  <Characters>479196</Characters>
  <Application>Microsoft Office Word</Application>
  <DocSecurity>0</DocSecurity>
  <Lines>3993</Lines>
  <Paragraphs>1124</Paragraphs>
  <ScaleCrop>false</ScaleCrop>
  <HeadingPairs>
    <vt:vector size="2" baseType="variant">
      <vt:variant>
        <vt:lpstr>Title</vt:lpstr>
      </vt:variant>
      <vt:variant>
        <vt:i4>1</vt:i4>
      </vt:variant>
    </vt:vector>
  </HeadingPairs>
  <TitlesOfParts>
    <vt:vector size="1" baseType="lpstr">
      <vt:lpstr>Report re</vt:lpstr>
    </vt:vector>
  </TitlesOfParts>
  <Company>The CIE</Company>
  <LinksUpToDate>false</LinksUpToDate>
  <CharactersWithSpaces>562141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Energy Efficiency of Commercial Buildings RIS</dc:title>
  <dc:subject/>
  <dc:creator>ABCB@industry.gov.au</dc:creator>
  <cp:keywords/>
  <dc:description/>
  <cp:lastModifiedBy>Resnik, Belinda</cp:lastModifiedBy>
  <cp:revision>11</cp:revision>
  <cp:lastPrinted>2018-11-21T01:18:00Z</cp:lastPrinted>
  <dcterms:created xsi:type="dcterms:W3CDTF">2018-12-14T00:00:00Z</dcterms:created>
  <dcterms:modified xsi:type="dcterms:W3CDTF">2019-01-04T00:06:00Z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ortType">
    <vt:lpwstr>Report Type</vt:lpwstr>
  </property>
  <property fmtid="{D5CDD505-2E9C-101B-9397-08002B2CF9AE}" pid="3" name="ReportTitle">
    <vt:lpwstr>Report Title</vt:lpwstr>
  </property>
  <property fmtid="{D5CDD505-2E9C-101B-9397-08002B2CF9AE}" pid="4" name="ReportSubtitle">
    <vt:lpwstr>Report Subtitle</vt:lpwstr>
  </property>
  <property fmtid="{D5CDD505-2E9C-101B-9397-08002B2CF9AE}" pid="5" name="ReportDate">
    <vt:lpwstr>26 September 2018</vt:lpwstr>
  </property>
  <property fmtid="{D5CDD505-2E9C-101B-9397-08002B2CF9AE}" pid="6" name="PreparedFor">
    <vt:lpwstr>Client Name</vt:lpwstr>
  </property>
  <property fmtid="{D5CDD505-2E9C-101B-9397-08002B2CF9AE}" pid="7" name="ShortReport">
    <vt:lpwstr>No</vt:lpwstr>
  </property>
  <property fmtid="{D5CDD505-2E9C-101B-9397-08002B2CF9AE}" pid="8" name="ContentTypeId">
    <vt:lpwstr>0x0101008747801E7A2C904FAC92F725580384C4</vt:lpwstr>
  </property>
  <property fmtid="{D5CDD505-2E9C-101B-9397-08002B2CF9AE}" pid="9" name="DocHub_Year">
    <vt:lpwstr>268;#2018|224abc7b-6f7e-4064-b773-6750976429b5</vt:lpwstr>
  </property>
  <property fmtid="{D5CDD505-2E9C-101B-9397-08002B2CF9AE}" pid="10" name="DocHub_Project">
    <vt:lpwstr>530;#Commercial Energy Efficiency|6535c027-9b85-4974-90e6-77b13a42077a</vt:lpwstr>
  </property>
  <property fmtid="{D5CDD505-2E9C-101B-9397-08002B2CF9AE}" pid="11" name="DocHub_Lifecycle1">
    <vt:lpwstr>578;#Final|21f488c8-8e5c-4bb0-bc93-482cbb072704</vt:lpwstr>
  </property>
  <property fmtid="{D5CDD505-2E9C-101B-9397-08002B2CF9AE}" pid="12" name="DocHub_WorkActivity">
    <vt:lpwstr>16;#Analysis|f03549ca-48e3-445d-9616-5df11514ff56</vt:lpwstr>
  </property>
  <property fmtid="{D5CDD505-2E9C-101B-9397-08002B2CF9AE}" pid="13" name="DocHub_DocumentType">
    <vt:lpwstr>70;#Analysis|48c54089-4c01-49cb-b266-0173afb66157</vt:lpwstr>
  </property>
  <property fmtid="{D5CDD505-2E9C-101B-9397-08002B2CF9AE}" pid="14" name="DocHub_SecurityClassification">
    <vt:lpwstr>48;#For Official Use Only|11f6fb0b-52ce-4109-8f7f-521b2a62f692</vt:lpwstr>
  </property>
  <property fmtid="{D5CDD505-2E9C-101B-9397-08002B2CF9AE}" pid="15" name="DocHub_Keywords">
    <vt:lpwstr/>
  </property>
  <property fmtid="{D5CDD505-2E9C-101B-9397-08002B2CF9AE}" pid="16" name="_dlc_DocIdItemGuid">
    <vt:lpwstr>97a4e8b1-8c53-4e86-ba21-a6a5c059bd97</vt:lpwstr>
  </property>
</Properties>
</file>